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121285</wp:posOffset>
            </wp:positionV>
            <wp:extent cx="2048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186690</wp:posOffset>
            </wp:positionV>
            <wp:extent cx="2048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165100</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Carlyle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158750</wp:posOffset>
            </wp:positionV>
            <wp:extent cx="2048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420" w:type="dxa"/>
        <w:tblCellMar>
          <w:top w:w="0" w:type="dxa"/>
          <w:left w:w="0" w:type="dxa"/>
          <w:bottom w:w="0" w:type="dxa"/>
          <w:right w:w="0" w:type="dxa"/>
        </w:tblCellMar>
      </w:tblPr>
      <w:tr>
        <w:trPr>
          <w:trHeight w:val="225"/>
        </w:trPr>
        <w:tc>
          <w:tcPr>
            <w:tcW w:w="36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001-35538</w:t>
            </w:r>
          </w:p>
        </w:tc>
        <w:tc>
          <w:tcPr>
            <w:tcW w:w="2200" w:type="dxa"/>
            <w:vAlign w:val="bottom"/>
          </w:tcPr>
          <w:p>
            <w:pPr>
              <w:jc w:val="center"/>
              <w:ind w:left="981"/>
              <w:spacing w:after="0"/>
              <w:rPr>
                <w:sz w:val="20"/>
                <w:szCs w:val="20"/>
                <w:color w:val="auto"/>
              </w:rPr>
            </w:pPr>
            <w:r>
              <w:rPr>
                <w:rFonts w:ascii="Arial" w:cs="Arial" w:eastAsia="Arial" w:hAnsi="Arial"/>
                <w:sz w:val="18"/>
                <w:szCs w:val="18"/>
                <w:b w:val="1"/>
                <w:bCs w:val="1"/>
                <w:color w:val="auto"/>
                <w:w w:val="89"/>
              </w:rPr>
              <w:t>45-2832612</w:t>
            </w:r>
          </w:p>
        </w:tc>
      </w:tr>
      <w:tr>
        <w:trPr>
          <w:trHeight w:val="148"/>
        </w:trPr>
        <w:tc>
          <w:tcPr>
            <w:tcW w:w="366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(Commission</w:t>
            </w:r>
          </w:p>
        </w:tc>
        <w:tc>
          <w:tcPr>
            <w:tcW w:w="2200" w:type="dxa"/>
            <w:vAlign w:val="bottom"/>
          </w:tcPr>
          <w:p>
            <w:pPr>
              <w:jc w:val="center"/>
              <w:ind w:left="9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File Number)</w:t>
            </w:r>
          </w:p>
        </w:tc>
        <w:tc>
          <w:tcPr>
            <w:tcW w:w="2200" w:type="dxa"/>
            <w:vAlign w:val="bottom"/>
          </w:tcPr>
          <w:p>
            <w:pPr>
              <w:jc w:val="center"/>
              <w:ind w:left="100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3660" w:type="dxa"/>
            <w:vAlign w:val="bottom"/>
          </w:tcPr>
          <w:p>
            <w:pPr>
              <w:ind w:left="1180"/>
              <w:spacing w:after="0"/>
              <w:rPr>
                <w:sz w:val="20"/>
                <w:szCs w:val="20"/>
                <w:color w:val="auto"/>
              </w:rPr>
            </w:pPr>
            <w:r>
              <w:rPr>
                <w:rFonts w:ascii="Arial" w:cs="Arial" w:eastAsia="Arial" w:hAnsi="Arial"/>
                <w:sz w:val="18"/>
                <w:szCs w:val="18"/>
                <w:b w:val="1"/>
                <w:bCs w:val="1"/>
                <w:color w:val="auto"/>
                <w:w w:val="91"/>
              </w:rPr>
              <w:t>1001 Pennsylvania Avenue, NW</w:t>
            </w:r>
          </w:p>
        </w:tc>
        <w:tc>
          <w:tcPr>
            <w:tcW w:w="19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5"/>
        </w:trPr>
        <w:tc>
          <w:tcPr>
            <w:tcW w:w="3660" w:type="dxa"/>
            <w:vAlign w:val="bottom"/>
          </w:tcPr>
          <w:p>
            <w:pPr>
              <w:ind w:left="1980"/>
              <w:spacing w:after="0"/>
              <w:rPr>
                <w:sz w:val="20"/>
                <w:szCs w:val="20"/>
                <w:color w:val="auto"/>
              </w:rPr>
            </w:pPr>
            <w:r>
              <w:rPr>
                <w:rFonts w:ascii="Arial" w:cs="Arial" w:eastAsia="Arial" w:hAnsi="Arial"/>
                <w:sz w:val="18"/>
                <w:szCs w:val="18"/>
                <w:b w:val="1"/>
                <w:bCs w:val="1"/>
                <w:color w:val="auto"/>
              </w:rPr>
              <w:t>Washington, DC</w:t>
            </w:r>
          </w:p>
        </w:tc>
        <w:tc>
          <w:tcPr>
            <w:tcW w:w="1960" w:type="dxa"/>
            <w:vAlign w:val="bottom"/>
          </w:tcPr>
          <w:p>
            <w:pPr>
              <w:spacing w:after="0"/>
              <w:rPr>
                <w:sz w:val="19"/>
                <w:szCs w:val="19"/>
                <w:color w:val="auto"/>
              </w:rPr>
            </w:pPr>
          </w:p>
        </w:tc>
        <w:tc>
          <w:tcPr>
            <w:tcW w:w="2200" w:type="dxa"/>
            <w:vAlign w:val="bottom"/>
          </w:tcPr>
          <w:p>
            <w:pPr>
              <w:jc w:val="center"/>
              <w:ind w:left="981"/>
              <w:spacing w:after="0"/>
              <w:rPr>
                <w:sz w:val="20"/>
                <w:szCs w:val="20"/>
                <w:color w:val="auto"/>
              </w:rPr>
            </w:pPr>
            <w:r>
              <w:rPr>
                <w:rFonts w:ascii="Arial" w:cs="Arial" w:eastAsia="Arial" w:hAnsi="Arial"/>
                <w:sz w:val="18"/>
                <w:szCs w:val="18"/>
                <w:b w:val="1"/>
                <w:bCs w:val="1"/>
                <w:color w:val="auto"/>
                <w:w w:val="89"/>
              </w:rPr>
              <w:t>20004-2505</w:t>
            </w:r>
          </w:p>
        </w:tc>
      </w:tr>
      <w:tr>
        <w:trPr>
          <w:trHeight w:val="186"/>
        </w:trPr>
        <w:tc>
          <w:tcPr>
            <w:tcW w:w="3660" w:type="dxa"/>
            <w:vAlign w:val="bottom"/>
          </w:tcPr>
          <w:p>
            <w:pPr>
              <w:ind w:left="1160"/>
              <w:spacing w:after="0"/>
              <w:rPr>
                <w:sz w:val="20"/>
                <w:szCs w:val="20"/>
                <w:color w:val="auto"/>
              </w:rPr>
            </w:pPr>
            <w:r>
              <w:rPr>
                <w:rFonts w:ascii="Arial" w:cs="Arial" w:eastAsia="Arial" w:hAnsi="Arial"/>
                <w:sz w:val="14"/>
                <w:szCs w:val="14"/>
                <w:b w:val="1"/>
                <w:bCs w:val="1"/>
                <w:color w:val="auto"/>
                <w:w w:val="93"/>
              </w:rPr>
              <w:t>(Address of Principal Executive Offices)</w:t>
            </w:r>
          </w:p>
        </w:tc>
        <w:tc>
          <w:tcPr>
            <w:tcW w:w="1960" w:type="dxa"/>
            <w:vAlign w:val="bottom"/>
          </w:tcPr>
          <w:p>
            <w:pPr>
              <w:spacing w:after="0"/>
              <w:rPr>
                <w:sz w:val="16"/>
                <w:szCs w:val="16"/>
                <w:color w:val="auto"/>
              </w:rPr>
            </w:pPr>
          </w:p>
        </w:tc>
        <w:tc>
          <w:tcPr>
            <w:tcW w:w="2200" w:type="dxa"/>
            <w:vAlign w:val="bottom"/>
          </w:tcPr>
          <w:p>
            <w:pPr>
              <w:jc w:val="center"/>
              <w:ind w:left="98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729-5626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2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30" w:type="dxa"/>
        <w:tblCellMar>
          <w:top w:w="0" w:type="dxa"/>
          <w:left w:w="0" w:type="dxa"/>
          <w:bottom w:w="0" w:type="dxa"/>
          <w:right w:w="0" w:type="dxa"/>
        </w:tblCellMar>
      </w:tblPr>
      <w:tr>
        <w:trPr>
          <w:trHeight w:val="209"/>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4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Common Stock</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CG</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The Nasdaq Global Select Market</w:t>
            </w:r>
          </w:p>
        </w:tc>
      </w:tr>
      <w:tr>
        <w:trPr>
          <w:trHeight w:val="20"/>
        </w:trPr>
        <w:tc>
          <w:tcPr>
            <w:tcW w:w="4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5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4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4.625% Subordinated Notes due 2061 of Carlyle Finance L.L.C.</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CGABL</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The Nasdaq Global Select Market</w:t>
            </w:r>
          </w:p>
        </w:tc>
      </w:tr>
      <w:tr>
        <w:trPr>
          <w:trHeight w:val="20"/>
        </w:trPr>
        <w:tc>
          <w:tcPr>
            <w:tcW w:w="4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4520" w:type="dxa"/>
            <w:vAlign w:val="bottom"/>
            <w:tcBorders>
              <w:bottom w:val="single" w:sz="8" w:color="auto"/>
              <w:right w:val="single" w:sz="8" w:color="auto"/>
            </w:tcBorders>
          </w:tcPr>
          <w:p>
            <w:pPr>
              <w:spacing w:after="0" w:line="20" w:lineRule="exact"/>
              <w:rPr>
                <w:sz w:val="1"/>
                <w:szCs w:val="1"/>
                <w:color w:val="auto"/>
              </w:rPr>
            </w:pPr>
          </w:p>
        </w:tc>
      </w:tr>
    </w:tbl>
    <w:p>
      <w:pPr>
        <w:spacing w:after="0" w:line="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5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78740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104140</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ind w:left="1140" w:right="140" w:hanging="1119"/>
        <w:spacing w:after="0" w:line="237"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 Changes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6, 2023, The Carlyle Group Inc. (the “Company”) announced that the Board of Directors of the Company (the “Board”) has appointed Harvey M. Schwartz as Chief Executive Officer of the Company and a member of the Board, effective February 15, 2023. At that time, Bill Conway will step down as Interim Chief Executive Officer, maintaining his role as Co-Chairman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Harvey M. Schwartz, 58, is the former President and Co-Chief Operating Officer of The Goldman Sachs Group, Inc.</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Mr. Schwartz joined Goldman Sachs in 1997 and subsequently held numerous senior leadership positions including Chief Financial Officer, Global Co-Head of the Securities Division, Head of Securities Division Sales, Head of North American Sales and Co-Head of the Americas Financing Group. He additionally served as a member of the firm’s Management Committee and co-headed its Risk Committee, Steering Committee on Regulatory Reform, Capital Committee and Finance Committee. Mr. Schwartz established the firm’s Investment Policy Committee on which he also served as a member.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Prior to Goldman Sachs, Mr. Schwartz spent a decade working at several financial firms, including at Citicorp, from 1990 through 1997.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both an investor and advisor, he is currently involved in a range of investment and philanthropic endeavors. These efforts include a focus on mental health and developing future business leaders, including women and young people seeking a career in finance.</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He serves as the group chairperson and non-executive director of The Bank of London, a clearing and payments bank with operations in London and New York City. In addition, Mr. Schwartz serves on the board of SoFi Technologies, Inc., a San Francisco-based fintech company, and One Mind, a nonprofit that accelerates collaborative research and advocacy to enable all individuals facing brain health challenges to build healthy, productive lives.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Mr. Schwartz earned his BA from Rutgers University, where he is a member of the university’s Board of Governors and its Hall of Distinguished Alumni.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 received his MBA from Columbia University.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Mr. Schwartz</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Mr. Schwartz’s appointment, the Company and the Company’s indirectly wholly owned subsidiary, The Carlyle Group Employee Co., L.L.C. (together, “Carlyle”) have entered into an employment agreement with Mr. Schwartz (the “Employment Agreement”), dated February 5, 2023.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Position; Reporting</w:t>
      </w:r>
      <w:r>
        <w:rPr>
          <w:rFonts w:ascii="Arial" w:cs="Arial" w:eastAsia="Arial" w:hAnsi="Arial"/>
          <w:sz w:val="18"/>
          <w:szCs w:val="18"/>
          <w:color w:val="auto"/>
        </w:rPr>
        <w:t>. Under the Employment Agreement, Mr. Schwartz will serve as the Company’s Chief Executive Officer and will report directly to the Board. Mr. Schwartz will also be appointed to serve as a member of the Board.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 The Employment Agreement provides that Mr. Schwartz’s annual base salary will be $1,000,000 and his target annual bonus opportunity will be $3,000,000, with a maximum bonus opportunity equal to 200% of target.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Inducement Equity Awards</w:t>
      </w:r>
      <w:r>
        <w:rPr>
          <w:rFonts w:ascii="Arial" w:cs="Arial" w:eastAsia="Arial" w:hAnsi="Arial"/>
          <w:sz w:val="17"/>
          <w:szCs w:val="17"/>
          <w:color w:val="auto"/>
        </w:rPr>
        <w:t>. On his employment start date, Mr. Schwartz will receive inducement equity awards with a combined grant date value of $180 million, of which $108 million will be granted in the form of performance-based restricted stock units (the “PSU Award”) and $72 million will be granted in the form of time-based restricted stock units (the “RSU Award”). The awards are intended to serve as Mr. Schwartz’s annual equity award opportunity for his initial five years of employment with Carlyle. The number of shares of Company common stock underlying the PSU Award will be determined by dividing the grant value by the per share accounting fair value on the grant date. As we anticipate that such accounting value will be less than the per share closing stock price on the grant date, we expect that the total face value of the PSU Award (i.e., number of shares multiplied by the closing price on the grant date) will be greater than $108 million. The number of shares underlying the RSU Award will be determined by dividing the grant value by the per share closing stock price on the grant date.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PSU Award is eligible to vest in five equal tranches, with each tranche subject to a performance-based vesting condition that requires achievement of an absolute stock price hurdle (representing 125%, 150%, 170%, 190%, and 210%, respectively, of the starting share price) and the 190% and 210% tranches are also subject to performance-based vesting conditions relating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both"/>
        <w:spacing w:after="0" w:line="254" w:lineRule="auto"/>
        <w:rPr>
          <w:sz w:val="20"/>
          <w:szCs w:val="20"/>
          <w:color w:val="auto"/>
        </w:rPr>
      </w:pPr>
      <w:r>
        <w:rPr>
          <w:rFonts w:ascii="Arial" w:cs="Arial" w:eastAsia="Arial" w:hAnsi="Arial"/>
          <w:sz w:val="18"/>
          <w:szCs w:val="18"/>
          <w:color w:val="auto"/>
        </w:rPr>
        <w:t>to total shareholder return (linked to the 60th percentile of the constituent companies in the S&amp;P 500® Financials Index). In addition, each tranche is subject to time-based vesting conditions requiring minimum service periods of one year, two years, three years, four years, and five years, respectively. Dividend equivalent units will be credited on the PSU Award and will be subject to the same terms and conditions, including with respect to vesting and settlement, that apply to the PSU Award. The PSU Award includes certain termination-related vesting provisions generally providing for, in the event of an involuntary termination of employment without cause or resignation for good reason, full acceleration of vesting for previously earned tranches and certain additional prorated vesting if performance goals are achieved between the date of termination and the end of the performance period (or vesting without proration based on performance through the date of a change in control if such termination or resignation occurs in certain change in control related circumstances).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RSU Award will vest ratably in four equal installments, and requires Mr. Schwartz’s continuous service through February 1 of each of 2024, 2025, 2026 and 2027, in each case, with settlement to occur in December of the prior year, subject to clawback if the service requirement is not met. Dividend equivalent units will be credited on the RSU Award and will be subject to the same terms and conditions, including with respect to vesting and settlement, that apply to the RSU Award. The RSU Award includes certain termination-related vesting provisions generally providing for acceleration of vesting of one tranche of the award in the event of an involuntary termination of employment without cause or resignation for good reason (or full vesting of all remaining tranches if such termination or resignation occurs in certain change in control related circumstances).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Make-Whole Compensation</w:t>
      </w:r>
      <w:r>
        <w:rPr>
          <w:rFonts w:ascii="Arial" w:cs="Arial" w:eastAsia="Arial" w:hAnsi="Arial"/>
          <w:sz w:val="17"/>
          <w:szCs w:val="17"/>
          <w:color w:val="auto"/>
        </w:rPr>
        <w:t>. If, as a result of his employment with Carlyle, Mr. Schwartz forfeits a cash long-term incentive award previously granted by his former employer and/or the right to make recommendations with respect to a donor-advised fund through an arrangement provided by his former employer, Carlyle has agreed to make him whole for these forfeitures by granting a new cash long-term incentive award equal to the forfeited amount (up to a maximum of $19.5 million) and/or funding a new donor-advised fund in the amount of the forfeiture (up to a maximum of $3.1 million).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Certain Severance Benefits</w:t>
      </w:r>
      <w:r>
        <w:rPr>
          <w:rFonts w:ascii="Arial" w:cs="Arial" w:eastAsia="Arial" w:hAnsi="Arial"/>
          <w:sz w:val="18"/>
          <w:szCs w:val="18"/>
          <w:color w:val="auto"/>
        </w:rPr>
        <w:t>. In the event that Carlyle involuntarily terminates Mr. Schwartz’s employment without cause or he resigns for good reason outside of a change in control period, Mr. Schwartz will be entitled to receive a cash payment equal to 1.5 times the sum of base salary and target annual bonus, a prorated annual bonus payment (at target), healthcare subsidy for up to 18 months, vesting of the cash make-whole award (if granted) and retention of rights relating to the make-whole donor-advised fund (if provided), and treatment of RSU Award and PSU Award in accordance with the terms of the applicable award agreement (as summarized above).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involuntary termination without cause or resignation for good reason occurs during the two-year period following a change in control of the Company, or during the period in which a signed merger agreement relating to a change in control of the Company is in effect, Mr. Schwartz’s severance benefits would be the same as described immediately above, except that the cash severance payment described above would be increased to 2x the sum of base salary and target annual bonus and Mr. Schwartz would be entitled to more favorable vesting of the RSU Award and PSU Award in accordance with the terms of the applicable award agreement (as summarized above).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Under the Employment Agreement, Mr. Schwartz is subject to employee and customer non-solicitation covenants and a non-competition covenant, in each case, during his employment and for a period of 12 months thereafter. The Employment Agreement also includes perpetual confidentiality and mutual non-disparagement covenants.</w:t>
      </w:r>
    </w:p>
    <w:p>
      <w:pPr>
        <w:spacing w:after="0" w:line="22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release regarding the matters described above has been furnished as Exhibit 99.1 to this Current Report on Form 8-K.</w:t>
      </w:r>
    </w:p>
    <w:p>
      <w:pPr>
        <w:spacing w:after="0" w:line="31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540" w:type="dxa"/>
            <w:vAlign w:val="bottom"/>
          </w:tcPr>
          <w:p>
            <w:pPr>
              <w:spacing w:after="0"/>
              <w:rPr>
                <w:sz w:val="14"/>
                <w:szCs w:val="14"/>
                <w:color w:val="auto"/>
              </w:rPr>
            </w:pPr>
          </w:p>
        </w:tc>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77"/>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0000FF"/>
              </w:rPr>
              <w:t>Press release of The Carlyle Group Inc., dated February 6, 2023.</w:t>
            </w: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04"/>
        </w:trPr>
        <w:tc>
          <w:tcPr>
            <w:tcW w:w="340" w:type="dxa"/>
            <w:vAlign w:val="bottom"/>
          </w:tcPr>
          <w:p>
            <w:pPr>
              <w:ind w:left="20"/>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08"/>
        </w:trPr>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820" w:type="dxa"/>
            <w:vAlign w:val="bottom"/>
            <w:gridSpan w:val="2"/>
          </w:tcPr>
          <w:p>
            <w:pPr>
              <w:ind w:left="1320"/>
              <w:spacing w:after="0"/>
              <w:rPr>
                <w:sz w:val="20"/>
                <w:szCs w:val="20"/>
                <w:color w:val="auto"/>
              </w:rPr>
            </w:pPr>
            <w:r>
              <w:rPr>
                <w:rFonts w:ascii="Arial" w:cs="Arial" w:eastAsia="Arial" w:hAnsi="Arial"/>
                <w:sz w:val="18"/>
                <w:szCs w:val="18"/>
                <w:b w:val="1"/>
                <w:bCs w:val="1"/>
                <w:color w:val="auto"/>
              </w:rPr>
              <w:t>The Carlyle Group Inc.</w:t>
            </w:r>
          </w:p>
        </w:tc>
      </w:tr>
      <w:tr>
        <w:trPr>
          <w:trHeight w:val="769"/>
        </w:trPr>
        <w:tc>
          <w:tcPr>
            <w:tcW w:w="3000" w:type="dxa"/>
            <w:vAlign w:val="bottom"/>
          </w:tcPr>
          <w:p>
            <w:pPr>
              <w:spacing w:after="0"/>
              <w:rPr>
                <w:sz w:val="20"/>
                <w:szCs w:val="20"/>
                <w:color w:val="auto"/>
              </w:rPr>
            </w:pPr>
            <w:r>
              <w:rPr>
                <w:rFonts w:ascii="Arial" w:cs="Arial" w:eastAsia="Arial" w:hAnsi="Arial"/>
                <w:sz w:val="18"/>
                <w:szCs w:val="18"/>
                <w:color w:val="auto"/>
              </w:rPr>
              <w:t>Date: February 6, 2023</w:t>
            </w:r>
          </w:p>
        </w:tc>
        <w:tc>
          <w:tcPr>
            <w:tcW w:w="2840" w:type="dxa"/>
            <w:vAlign w:val="bottom"/>
          </w:tcPr>
          <w:p>
            <w:pPr>
              <w:ind w:left="19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W. Ferguson</w:t>
            </w:r>
          </w:p>
        </w:tc>
      </w:tr>
      <w:tr>
        <w:trPr>
          <w:trHeight w:val="222"/>
        </w:trPr>
        <w:tc>
          <w:tcPr>
            <w:tcW w:w="3000" w:type="dxa"/>
            <w:vAlign w:val="bottom"/>
          </w:tcPr>
          <w:p>
            <w:pPr>
              <w:spacing w:after="0"/>
              <w:rPr>
                <w:sz w:val="19"/>
                <w:szCs w:val="19"/>
                <w:color w:val="auto"/>
              </w:rPr>
            </w:pPr>
          </w:p>
        </w:tc>
        <w:tc>
          <w:tcPr>
            <w:tcW w:w="2840" w:type="dxa"/>
            <w:vAlign w:val="bottom"/>
          </w:tcPr>
          <w:p>
            <w:pPr>
              <w:ind w:left="1940"/>
              <w:spacing w:after="0"/>
              <w:rPr>
                <w:sz w:val="20"/>
                <w:szCs w:val="20"/>
                <w:color w:val="auto"/>
              </w:rPr>
            </w:pPr>
            <w:r>
              <w:rPr>
                <w:rFonts w:ascii="Arial" w:cs="Arial" w:eastAsia="Arial" w:hAnsi="Arial"/>
                <w:sz w:val="18"/>
                <w:szCs w:val="18"/>
                <w:color w:val="auto"/>
              </w:rPr>
              <w:t>Name:</w:t>
            </w:r>
          </w:p>
        </w:tc>
        <w:tc>
          <w:tcPr>
            <w:tcW w:w="3980" w:type="dxa"/>
            <w:vAlign w:val="bottom"/>
          </w:tcPr>
          <w:p>
            <w:pPr>
              <w:ind w:left="20"/>
              <w:spacing w:after="0"/>
              <w:rPr>
                <w:sz w:val="20"/>
                <w:szCs w:val="20"/>
                <w:color w:val="auto"/>
              </w:rPr>
            </w:pPr>
            <w:r>
              <w:rPr>
                <w:rFonts w:ascii="Arial" w:cs="Arial" w:eastAsia="Arial" w:hAnsi="Arial"/>
                <w:sz w:val="18"/>
                <w:szCs w:val="18"/>
                <w:color w:val="auto"/>
              </w:rPr>
              <w:t>Jeffrey W. Ferguson</w:t>
            </w:r>
          </w:p>
        </w:tc>
      </w:tr>
      <w:tr>
        <w:trPr>
          <w:trHeight w:val="230"/>
        </w:trPr>
        <w:tc>
          <w:tcPr>
            <w:tcW w:w="3000" w:type="dxa"/>
            <w:vAlign w:val="bottom"/>
          </w:tcPr>
          <w:p>
            <w:pPr>
              <w:spacing w:after="0"/>
              <w:rPr>
                <w:sz w:val="20"/>
                <w:szCs w:val="20"/>
                <w:color w:val="auto"/>
              </w:rPr>
            </w:pPr>
          </w:p>
        </w:tc>
        <w:tc>
          <w:tcPr>
            <w:tcW w:w="2840" w:type="dxa"/>
            <w:vAlign w:val="bottom"/>
          </w:tcPr>
          <w:p>
            <w:pPr>
              <w:ind w:left="1940"/>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180"/>
          </w:cols>
          <w:pgMar w:left="320" w:top="1134"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Press Release -- FOR IMMEDIATE RELEASE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6, 2023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Harvey Schwartz Named CEO of Carlyle and Member of the Board</w:t>
      </w: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Washington, D.C. and New York, NY </w:t>
      </w:r>
      <w:r>
        <w:rPr>
          <w:rFonts w:ascii="Arial" w:cs="Arial" w:eastAsia="Arial" w:hAnsi="Arial"/>
          <w:sz w:val="20"/>
          <w:szCs w:val="20"/>
          <w:color w:val="auto"/>
        </w:rPr>
        <w:t>– Global investment firm Carlyle (NASDAQ: CG) today announced that its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has unanimously agreed to appoint Harvey M. Schwartz as Chief Executive Officer and a member of the Board, effective February 15, 2023. At that time, Bill Conway will step down as Interim CEO, maintaining his role as Co-Chairman of the Board.</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Mr. Schwartz is the former President and Co-Chief Operating Officer of The Goldman Sachs Group, Inc. (NYSE: GS), and prior to that, served as the firm’s Chief Financial Officer, where he oversaw its most critical financial and risk management processes as well as its capital allocation strategy. He also held leadership roles across a broad range of the firm’s operations, including its Securities and Investment Banking divisions, where he was instrumental in driving the growth of a number of the firm’s client franchises.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With a career spanning more than 35 years in the industry, Mr. Schwartz brings to Carlyle extensive experience leading and expanding a wide range of large, profitable businesses, as well as a deep understanding of global capital markets and the needs of clients. Importantly, he has a proven track record as a seasoned operator and a demonstrated ability to develop high-performing talent and teams in order to capitalize fully on growth opportunities, in all macroeconomic and regulatory environments.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At Carlyle, Mr. Schwartz will be responsible for setting and executing a strategy that advances and accelerates the diversification plan the firm has successfully pursued, as well as identifying new investment opportunities to further grow and scale the firm, drive sustained performance for fund investors, and create significant shareholder value.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Carlyle Co-Chairmen Bill Conway and David Rubenstein, said, “Harvey is a widely respected business builder with significant leadership experience in a high-performing, highly competitive global financial institution. Given his experience, track record, and skillset, the Board was unanimous in its determination that he is the right leader to drive Carlyle forward, building upon the firm’s strong operational foundation, world-class brand, and collaborative, performance-oriented culture.”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Mr. Conway, who has also been serving as Interim Chief Executive Officer, added, “I am grateful to the senior leadership team who have supported the continued execution of our plan during this transition period. I look forward to stepping back to my role on the Board as Harvey steps in to lead and run the firm with the leadership team and position Carlyle to capture the significant opportunities ahead.”</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Incoming Carlyle Chief Executive Officer Harvey Schwartz, said, “I am thrilled to be joining Carlyle, a premier investment firm with a world-class brand and differentiated global platform supported by one of the most talented teams in the industry. I believe there is tremendous opportunity ahead to continue to transform and grow the firm, and enhance its ability to deliver on its mission of driving long-term value for its investors, shareholders and all stakeholders. I’m excited to get started and look forward to working closely with the firm’s senior leaders, along with the entire global team, as we build on Carlyle’s</w:t>
      </w:r>
    </w:p>
    <w:p>
      <w:pPr>
        <w:sectPr>
          <w:pgSz w:w="11900" w:h="16838" w:orient="portrait"/>
          <w:cols w:equalWidth="0" w:num="1">
            <w:col w:w="11240"/>
          </w:cols>
          <w:pgMar w:left="320" w:top="125" w:right="339" w:bottom="1440" w:gutter="0" w:footer="0" w:header="0"/>
        </w:sectPr>
      </w:pPr>
    </w:p>
    <w:bookmarkStart w:id="5" w:name="page6"/>
    <w:bookmarkEnd w:id="5"/>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strong foundation to navigate and capture the opportunities in the current market environment and in the future.”</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Carlyle Lead Independent Director Lawton Fitt, said, “I am delighted that the Search Committee of the Board’s robust and competitive process has culminated in the selection of a leader of Harvey’s caliber and depth of experience. I would like to thank Bill, on behalf of the entire Board, for stepping in as Interim CEO during this transition and for working with the leadership team to position Carlyle for further success under Harvey. As we look to the future, the Board is confident Harvey will leverage the firm’s strengths and momentum to enhance Carlyle’s position and create significant value for shareholders and all stakeholders. We look forward to working with him.”</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 previously announced, the firm will host a conference call to review fourth quarter and full year 2022 results on February 7, 2023 at 8:30 AM EST.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Harvey Schwartz Biography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Harvey M. Schwartz, 58, is the former President and Co-Chief Operating Officer of The Goldman Sachs Group, Inc.</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Mr. Schwartz joined Goldman Sachs in 1997 and subsequently held numerous senior leadership positions including Chief Financial Officer, Global Co-Head of the Securities Division, Head of Securities Division Sales, Head of North American Sales and Co-Head of the Americas Financing Group. He additionally served as a member of the firm’s Management Committee and co-headed its Risk Committee, Steering Committee on Regulatory Reform, Capital Committee and Finance Committee. Mr. Schwartz established the firm’s Investment Policy Committee on which he also served as a member.</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 to Goldman Sachs, Mr. Schwartz spent a decade working at several financial firms, including at Citicorp, from 1990 through 1997.</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both an investor and advisor, he is currently involved in a range of investment and philanthropic endeavors. These efforts include a focus on mental health and developing future business leaders, including women and young people seeking a career in finance.</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He serves as the group chairperson and non-executive director of The Bank of London, a clearing and payments bank with operations in London and New York City. In addition, Mr. Schwartz serves on the board of SoFi Technologies, Inc., a San Francisco-based fintech company, and One Mind, a nonprofit that accelerates collaborative research and advocacy to enable all individuals facing brain health challenges to build healthy, productive lives.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Schwartz earned his BA from Rutgers University, where he is member of the university’s Board of Governors and its Hall of Distinguished Alumni. He received his MBA from Columbia University.</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Carlyle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Carlyle (NASDAQ: CG) is a global investment firm with deep industry expertise that deploys private capital across three</w:t>
      </w:r>
    </w:p>
    <w:p>
      <w:pPr>
        <w:jc w:val="both"/>
        <w:spacing w:after="0" w:line="251" w:lineRule="auto"/>
        <w:rPr>
          <w:sz w:val="20"/>
          <w:szCs w:val="20"/>
          <w:color w:val="auto"/>
        </w:rPr>
      </w:pPr>
      <w:r>
        <w:rPr>
          <w:rFonts w:ascii="Arial" w:cs="Arial" w:eastAsia="Arial" w:hAnsi="Arial"/>
          <w:sz w:val="20"/>
          <w:szCs w:val="20"/>
          <w:color w:val="auto"/>
        </w:rPr>
        <w:t>business segments: Global Private Equity, Global Credit and Global Investment Solutions. With $369 billion of assets under management as of September 30, 2022, Carlyle’s purpose is to invest wisely and create value on behalf of its investors, portfolio companies and the communities in which we live and invest. Carlyle employs more than 2,100 people in 29 offices across five continents.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Further information is available at www.carlyle.com. Follow Carlyle on Twitter @OneCarlyle.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Leigh Farris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 (212) 813-4815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leigh.farris@carlyle.com</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 Market Investor Relations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Dan Harris</w:t>
      </w:r>
    </w:p>
    <w:p>
      <w:pPr>
        <w:spacing w:after="0"/>
        <w:rPr>
          <w:sz w:val="20"/>
          <w:szCs w:val="20"/>
          <w:color w:val="auto"/>
        </w:rPr>
      </w:pPr>
      <w:r>
        <w:rPr>
          <w:rFonts w:ascii="Arial" w:cs="Arial" w:eastAsia="Arial" w:hAnsi="Arial"/>
          <w:sz w:val="20"/>
          <w:szCs w:val="20"/>
          <w:color w:val="auto"/>
        </w:rPr>
        <w:t>+1 (212) 813-4527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dan.harris@carlyle.com</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press release may contain forward-looking statements within the meaning of Section 27A of the Securities Act of 1933 and Section 21E of the Securities Exchange Act of 1934. These statements include, but are not limited to, statements related to our expectations, estimates, beliefs, projections, future plans and strategies, anticipated events or trends and similar expressions and statements that are not historical facts.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and those described under the section entitled “Risk Factors” in our Annual Report on Form 10-K for the year ended December 31, 2021 filed with the SEC on February 10, 2022,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release and in our filings with the SEC. We undertake no obligation to publicly update or review any forward-looking statements, whether as a result of new information, future developments or otherwise, except as required by applicable law. This release does not constitute an offer for any Carlyle fund.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2023-02-06T16:20:50Z</dcterms:created>
  <dcterms:modified xsi:type="dcterms:W3CDTF">2023-02-06T16:20:50Z</dcterms:modified>
</cp:coreProperties>
</file>