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950949.xml.htm"/>
      <w:bookmarkStart w:id="1" w:name="kswkform4_178795094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Plouffe Justin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 PENNSYLVANIA AVENUE, NW</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Carlyle Group Inc.</w:t>
              </w:r>
            </w:hyperlink>
            <w:r>
              <w:rPr/>
              <w:t xml:space="preserve"> [ </w:t>
            </w:r>
            <w:r>
              <w:rPr>
                <w:rFonts w:ascii="Times;serif" w:hAnsi="Times;serif"/>
                <w:color w:val="0000FF"/>
                <w:sz w:val="24"/>
                <w:shd w:fill="FFFFFF" w:val="clear"/>
              </w:rPr>
              <w:t>CG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3,769</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852,461</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dividend equivalent units accrued on certain existing restricted stock unit awards, the grant of which was previously reported, in connection with the issuer's quarterly dividend. Such dividend equivalent units will vest on the same schedule and subject to the same terms and conditions as the underlying awards.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Anne K. Frederick by Power of Attorney for Justin Plouffe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92041" TargetMode="External"/><Relationship Id="rId5" Type="http://schemas.openxmlformats.org/officeDocument/2006/relationships/hyperlink" Target="http://www.sec.gov/cgi-bin/browse-edgar?action=getcompany&amp;CIK=000152716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619</Words>
  <Characters>3379</Characters>
  <CharactersWithSpaces>3930</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