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7568.xml.htm"/>
      <w:bookmarkStart w:id="1" w:name="kswkform4_17858775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Jenkins Mark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Carlyle Group Inc.</w:t>
              </w:r>
            </w:hyperlink>
            <w:r>
              <w:rPr/>
              <w:t xml:space="preserve"> [ </w:t>
            </w:r>
            <w:r>
              <w:rPr>
                <w:rFonts w:ascii="Times;serif" w:hAnsi="Times;serif"/>
                <w:color w:val="0000FF"/>
                <w:sz w:val="24"/>
                <w:shd w:fill="FFFFFF" w:val="clear"/>
              </w:rPr>
              <w:t>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06"/>
        <w:gridCol w:w="440"/>
        <w:gridCol w:w="747"/>
        <w:gridCol w:w="1262"/>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124,793</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46.02</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1,409,214</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that have been withheld by the Issuer in connection with the payment of taxes resulting from the vesting of previously reported restricted stock unit awards (including previously reported dividend equivalent units accrued thereon, as applicable). No shares of common stock were sold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Mark Jenkins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0761" TargetMode="External"/><Relationship Id="rId5" Type="http://schemas.openxmlformats.org/officeDocument/2006/relationships/hyperlink" Target="http://www.sec.gov/cgi-bin/browse-edgar?action=getcompany&amp;CIK=00015271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621</Words>
  <Characters>3394</Characters>
  <CharactersWithSpaces>3947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