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1433195</wp:posOffset>
            </wp:positionH>
            <wp:positionV relativeFrom="page">
              <wp:posOffset>142240</wp:posOffset>
            </wp:positionV>
            <wp:extent cx="4681855" cy="6053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81855" cy="605345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11, 2025</w:t>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The Carlyle Group Inc.</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08" w:lineRule="exact"/>
        <w:rPr>
          <w:sz w:val="24"/>
          <w:szCs w:val="24"/>
          <w:color w:val="auto"/>
        </w:rPr>
      </w:pPr>
    </w:p>
    <w:tbl>
      <w:tblPr>
        <w:tblLayout w:type="fixed"/>
        <w:tblInd w:w="2080" w:type="dxa"/>
        <w:tblCellMar>
          <w:top w:w="0" w:type="dxa"/>
          <w:left w:w="0" w:type="dxa"/>
          <w:bottom w:w="0" w:type="dxa"/>
          <w:right w:w="0" w:type="dxa"/>
        </w:tblCellMar>
      </w:tblPr>
      <w:tr>
        <w:trPr>
          <w:trHeight w:val="159"/>
        </w:trPr>
        <w:tc>
          <w:tcPr>
            <w:tcW w:w="1740" w:type="dxa"/>
            <w:vAlign w:val="bottom"/>
          </w:tcPr>
          <w:p>
            <w:pPr>
              <w:jc w:val="center"/>
              <w:ind w:right="547"/>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1860" w:type="dxa"/>
            <w:vAlign w:val="bottom"/>
          </w:tcPr>
          <w:p>
            <w:pPr>
              <w:jc w:val="center"/>
              <w:ind w:right="525"/>
              <w:spacing w:after="0"/>
              <w:rPr>
                <w:sz w:val="20"/>
                <w:szCs w:val="20"/>
                <w:color w:val="auto"/>
              </w:rPr>
            </w:pPr>
            <w:r>
              <w:rPr>
                <w:rFonts w:ascii="Times New Roman" w:cs="Times New Roman" w:eastAsia="Times New Roman" w:hAnsi="Times New Roman"/>
                <w:sz w:val="12"/>
                <w:szCs w:val="12"/>
                <w:b w:val="1"/>
                <w:bCs w:val="1"/>
                <w:color w:val="auto"/>
                <w:w w:val="99"/>
              </w:rPr>
              <w:t>001-35538</w:t>
            </w:r>
          </w:p>
        </w:tc>
        <w:tc>
          <w:tcPr>
            <w:tcW w:w="840" w:type="dxa"/>
            <w:vAlign w:val="bottom"/>
          </w:tcPr>
          <w:p>
            <w:pPr>
              <w:jc w:val="center"/>
              <w:ind w:left="47"/>
              <w:spacing w:after="0"/>
              <w:rPr>
                <w:sz w:val="20"/>
                <w:szCs w:val="20"/>
                <w:color w:val="auto"/>
              </w:rPr>
            </w:pPr>
            <w:r>
              <w:rPr>
                <w:rFonts w:ascii="Times New Roman" w:cs="Times New Roman" w:eastAsia="Times New Roman" w:hAnsi="Times New Roman"/>
                <w:sz w:val="12"/>
                <w:szCs w:val="12"/>
                <w:b w:val="1"/>
                <w:bCs w:val="1"/>
                <w:color w:val="auto"/>
                <w:w w:val="99"/>
              </w:rPr>
              <w:t>45-2832612</w:t>
            </w:r>
          </w:p>
        </w:tc>
      </w:tr>
      <w:tr>
        <w:trPr>
          <w:trHeight w:val="99"/>
        </w:trPr>
        <w:tc>
          <w:tcPr>
            <w:tcW w:w="1740" w:type="dxa"/>
            <w:vAlign w:val="bottom"/>
          </w:tcPr>
          <w:p>
            <w:pPr>
              <w:jc w:val="center"/>
              <w:ind w:right="547"/>
              <w:spacing w:after="0" w:line="99"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1860" w:type="dxa"/>
            <w:vAlign w:val="bottom"/>
          </w:tcPr>
          <w:p>
            <w:pPr>
              <w:jc w:val="center"/>
              <w:ind w:right="545"/>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(Commission</w:t>
            </w:r>
          </w:p>
        </w:tc>
        <w:tc>
          <w:tcPr>
            <w:tcW w:w="840" w:type="dxa"/>
            <w:vAlign w:val="bottom"/>
          </w:tcPr>
          <w:p>
            <w:pPr>
              <w:jc w:val="center"/>
              <w:ind w:left="47"/>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1740" w:type="dxa"/>
            <w:vAlign w:val="bottom"/>
          </w:tcPr>
          <w:p>
            <w:pPr>
              <w:jc w:val="center"/>
              <w:ind w:right="547"/>
              <w:spacing w:after="0"/>
              <w:rPr>
                <w:sz w:val="20"/>
                <w:szCs w:val="20"/>
                <w:color w:val="auto"/>
              </w:rPr>
            </w:pPr>
            <w:r>
              <w:rPr>
                <w:rFonts w:ascii="Times New Roman" w:cs="Times New Roman" w:eastAsia="Times New Roman" w:hAnsi="Times New Roman"/>
                <w:sz w:val="10"/>
                <w:szCs w:val="10"/>
                <w:b w:val="1"/>
                <w:bCs w:val="1"/>
                <w:color w:val="auto"/>
                <w:w w:val="94"/>
              </w:rPr>
              <w:t>of Incorporation)</w:t>
            </w:r>
          </w:p>
        </w:tc>
        <w:tc>
          <w:tcPr>
            <w:tcW w:w="1860" w:type="dxa"/>
            <w:vAlign w:val="bottom"/>
          </w:tcPr>
          <w:p>
            <w:pPr>
              <w:jc w:val="center"/>
              <w:ind w:right="525"/>
              <w:spacing w:after="0"/>
              <w:rPr>
                <w:sz w:val="20"/>
                <w:szCs w:val="20"/>
                <w:color w:val="auto"/>
              </w:rPr>
            </w:pPr>
            <w:r>
              <w:rPr>
                <w:rFonts w:ascii="Times New Roman" w:cs="Times New Roman" w:eastAsia="Times New Roman" w:hAnsi="Times New Roman"/>
                <w:sz w:val="10"/>
                <w:szCs w:val="10"/>
                <w:b w:val="1"/>
                <w:bCs w:val="1"/>
                <w:color w:val="auto"/>
                <w:w w:val="97"/>
              </w:rPr>
              <w:t>File Number)</w:t>
            </w:r>
          </w:p>
        </w:tc>
        <w:tc>
          <w:tcPr>
            <w:tcW w:w="840" w:type="dxa"/>
            <w:vAlign w:val="bottom"/>
          </w:tcPr>
          <w:p>
            <w:pPr>
              <w:jc w:val="center"/>
              <w:ind w:left="47"/>
              <w:spacing w:after="0"/>
              <w:rPr>
                <w:sz w:val="20"/>
                <w:szCs w:val="20"/>
                <w:color w:val="auto"/>
              </w:rPr>
            </w:pPr>
            <w:r>
              <w:rPr>
                <w:rFonts w:ascii="Times New Roman" w:cs="Times New Roman" w:eastAsia="Times New Roman" w:hAnsi="Times New Roman"/>
                <w:sz w:val="10"/>
                <w:szCs w:val="10"/>
                <w:b w:val="1"/>
                <w:bCs w:val="1"/>
                <w:color w:val="auto"/>
                <w:w w:val="94"/>
              </w:rPr>
              <w:t>Identification No.)</w:t>
            </w:r>
          </w:p>
        </w:tc>
      </w:tr>
      <w:tr>
        <w:trPr>
          <w:trHeight w:val="244"/>
        </w:trPr>
        <w:tc>
          <w:tcPr>
            <w:tcW w:w="3600" w:type="dxa"/>
            <w:vAlign w:val="bottom"/>
            <w:gridSpan w:val="2"/>
          </w:tcPr>
          <w:p>
            <w:pPr>
              <w:ind w:left="600"/>
              <w:spacing w:after="0"/>
              <w:rPr>
                <w:sz w:val="20"/>
                <w:szCs w:val="20"/>
                <w:color w:val="auto"/>
              </w:rPr>
            </w:pPr>
            <w:r>
              <w:rPr>
                <w:rFonts w:ascii="Times New Roman" w:cs="Times New Roman" w:eastAsia="Times New Roman" w:hAnsi="Times New Roman"/>
                <w:sz w:val="12"/>
                <w:szCs w:val="12"/>
                <w:b w:val="1"/>
                <w:bCs w:val="1"/>
                <w:color w:val="auto"/>
              </w:rPr>
              <w:t>1001 Pennsylvania Avenue, NW</w:t>
            </w:r>
          </w:p>
        </w:tc>
        <w:tc>
          <w:tcPr>
            <w:tcW w:w="840" w:type="dxa"/>
            <w:vAlign w:val="bottom"/>
          </w:tcPr>
          <w:p>
            <w:pPr>
              <w:spacing w:after="0"/>
              <w:rPr>
                <w:sz w:val="21"/>
                <w:szCs w:val="21"/>
                <w:color w:val="auto"/>
              </w:rPr>
            </w:pPr>
          </w:p>
        </w:tc>
      </w:tr>
      <w:tr>
        <w:trPr>
          <w:trHeight w:val="171"/>
        </w:trPr>
        <w:tc>
          <w:tcPr>
            <w:tcW w:w="1740" w:type="dxa"/>
            <w:vAlign w:val="bottom"/>
          </w:tcPr>
          <w:p>
            <w:pPr>
              <w:ind w:left="1060"/>
              <w:spacing w:after="0"/>
              <w:rPr>
                <w:sz w:val="20"/>
                <w:szCs w:val="20"/>
                <w:color w:val="auto"/>
              </w:rPr>
            </w:pPr>
            <w:r>
              <w:rPr>
                <w:rFonts w:ascii="Times New Roman" w:cs="Times New Roman" w:eastAsia="Times New Roman" w:hAnsi="Times New Roman"/>
                <w:sz w:val="12"/>
                <w:szCs w:val="12"/>
                <w:b w:val="1"/>
                <w:bCs w:val="1"/>
                <w:color w:val="auto"/>
              </w:rPr>
              <w:t>Washington,</w:t>
            </w:r>
          </w:p>
        </w:tc>
        <w:tc>
          <w:tcPr>
            <w:tcW w:w="18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DC</w:t>
            </w:r>
          </w:p>
        </w:tc>
        <w:tc>
          <w:tcPr>
            <w:tcW w:w="840" w:type="dxa"/>
            <w:vAlign w:val="bottom"/>
          </w:tcPr>
          <w:p>
            <w:pPr>
              <w:jc w:val="center"/>
              <w:ind w:left="47"/>
              <w:spacing w:after="0"/>
              <w:rPr>
                <w:sz w:val="20"/>
                <w:szCs w:val="20"/>
                <w:color w:val="auto"/>
              </w:rPr>
            </w:pPr>
            <w:r>
              <w:rPr>
                <w:rFonts w:ascii="Times New Roman" w:cs="Times New Roman" w:eastAsia="Times New Roman" w:hAnsi="Times New Roman"/>
                <w:sz w:val="12"/>
                <w:szCs w:val="12"/>
                <w:b w:val="1"/>
                <w:bCs w:val="1"/>
                <w:color w:val="auto"/>
                <w:w w:val="99"/>
              </w:rPr>
              <w:t>20004-2505</w:t>
            </w:r>
          </w:p>
        </w:tc>
      </w:tr>
      <w:tr>
        <w:trPr>
          <w:trHeight w:val="127"/>
        </w:trPr>
        <w:tc>
          <w:tcPr>
            <w:tcW w:w="3600" w:type="dxa"/>
            <w:vAlign w:val="bottom"/>
            <w:gridSpan w:val="2"/>
          </w:tcPr>
          <w:p>
            <w:pPr>
              <w:ind w:left="60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840" w:type="dxa"/>
            <w:vAlign w:val="bottom"/>
          </w:tcPr>
          <w:p>
            <w:pPr>
              <w:jc w:val="center"/>
              <w:ind w:left="27"/>
              <w:spacing w:after="0"/>
              <w:rPr>
                <w:sz w:val="20"/>
                <w:szCs w:val="20"/>
                <w:color w:val="auto"/>
              </w:rPr>
            </w:pPr>
            <w:r>
              <w:rPr>
                <w:rFonts w:ascii="Times New Roman" w:cs="Times New Roman" w:eastAsia="Times New Roman" w:hAnsi="Times New Roman"/>
                <w:sz w:val="10"/>
                <w:szCs w:val="10"/>
                <w:b w:val="1"/>
                <w:bCs w:val="1"/>
                <w:color w:val="auto"/>
                <w:w w:val="94"/>
              </w:rPr>
              <w:t>(Zip Code)</w:t>
            </w:r>
          </w:p>
        </w:tc>
      </w:tr>
      <w:tr>
        <w:trPr>
          <w:trHeight w:val="226"/>
        </w:trPr>
        <w:tc>
          <w:tcPr>
            <w:tcW w:w="1740" w:type="dxa"/>
            <w:vAlign w:val="bottom"/>
          </w:tcPr>
          <w:p>
            <w:pPr>
              <w:spacing w:after="0"/>
              <w:rPr>
                <w:sz w:val="19"/>
                <w:szCs w:val="19"/>
                <w:color w:val="auto"/>
              </w:rPr>
            </w:pPr>
          </w:p>
        </w:tc>
        <w:tc>
          <w:tcPr>
            <w:tcW w:w="1860" w:type="dxa"/>
            <w:vAlign w:val="bottom"/>
          </w:tcPr>
          <w:p>
            <w:pPr>
              <w:jc w:val="center"/>
              <w:ind w:right="485"/>
              <w:spacing w:after="0"/>
              <w:rPr>
                <w:sz w:val="20"/>
                <w:szCs w:val="20"/>
                <w:color w:val="auto"/>
              </w:rPr>
            </w:pPr>
            <w:r>
              <w:rPr>
                <w:rFonts w:ascii="Times New Roman" w:cs="Times New Roman" w:eastAsia="Times New Roman" w:hAnsi="Times New Roman"/>
                <w:sz w:val="12"/>
                <w:szCs w:val="12"/>
                <w:b w:val="1"/>
                <w:bCs w:val="1"/>
                <w:color w:val="auto"/>
              </w:rPr>
              <w:t>(202) 729-5626</w:t>
            </w:r>
          </w:p>
        </w:tc>
        <w:tc>
          <w:tcPr>
            <w:tcW w:w="840" w:type="dxa"/>
            <w:vAlign w:val="bottom"/>
          </w:tcPr>
          <w:p>
            <w:pPr>
              <w:spacing w:after="0"/>
              <w:rPr>
                <w:sz w:val="19"/>
                <w:szCs w:val="19"/>
                <w:color w:val="auto"/>
              </w:rPr>
            </w:pPr>
          </w:p>
        </w:tc>
      </w:tr>
      <w:tr>
        <w:trPr>
          <w:trHeight w:val="125"/>
        </w:trPr>
        <w:tc>
          <w:tcPr>
            <w:tcW w:w="3600" w:type="dxa"/>
            <w:vAlign w:val="bottom"/>
            <w:gridSpan w:val="2"/>
          </w:tcPr>
          <w:p>
            <w:pPr>
              <w:jc w:val="center"/>
              <w:ind w:left="1127"/>
              <w:spacing w:after="0"/>
              <w:rPr>
                <w:sz w:val="20"/>
                <w:szCs w:val="20"/>
                <w:color w:val="auto"/>
              </w:rPr>
            </w:pPr>
            <w:r>
              <w:rPr>
                <w:rFonts w:ascii="Times New Roman" w:cs="Times New Roman" w:eastAsia="Times New Roman" w:hAnsi="Times New Roman"/>
                <w:sz w:val="10"/>
                <w:szCs w:val="10"/>
                <w:b w:val="1"/>
                <w:bCs w:val="1"/>
                <w:color w:val="auto"/>
                <w:w w:val="94"/>
              </w:rPr>
              <w:t>(Registrant’s Telephone Number, Including Area Code)</w:t>
            </w:r>
          </w:p>
        </w:tc>
        <w:tc>
          <w:tcPr>
            <w:tcW w:w="840" w:type="dxa"/>
            <w:vAlign w:val="bottom"/>
          </w:tcPr>
          <w:p>
            <w:pPr>
              <w:spacing w:after="0"/>
              <w:rPr>
                <w:sz w:val="10"/>
                <w:szCs w:val="10"/>
                <w:color w:val="auto"/>
              </w:rPr>
            </w:pPr>
          </w:p>
        </w:tc>
      </w:tr>
    </w:tbl>
    <w:p>
      <w:pPr>
        <w:spacing w:after="0" w:line="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62" w:lineRule="exact"/>
        <w:rPr>
          <w:sz w:val="24"/>
          <w:szCs w:val="24"/>
          <w:color w:val="auto"/>
        </w:rPr>
      </w:pPr>
    </w:p>
    <w:p>
      <w:pPr>
        <w:ind w:left="1380" w:right="1479"/>
        <w:spacing w:after="0" w:line="265" w:lineRule="auto"/>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 (see General Instruction A.2. below):</w:t>
      </w:r>
    </w:p>
    <w:p>
      <w:pPr>
        <w:spacing w:after="0" w:line="90" w:lineRule="exact"/>
        <w:rPr>
          <w:sz w:val="24"/>
          <w:szCs w:val="24"/>
          <w:color w:val="auto"/>
        </w:rPr>
      </w:pPr>
    </w:p>
    <w:p>
      <w:pPr>
        <w:ind w:left="1760" w:hanging="357"/>
        <w:spacing w:after="0"/>
        <w:tabs>
          <w:tab w:leader="none" w:pos="17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760" w:hanging="357"/>
        <w:spacing w:after="0"/>
        <w:tabs>
          <w:tab w:leader="none" w:pos="17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760" w:hanging="357"/>
        <w:spacing w:after="0"/>
        <w:tabs>
          <w:tab w:leader="none" w:pos="17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760" w:hanging="357"/>
        <w:spacing w:after="0"/>
        <w:tabs>
          <w:tab w:leader="none" w:pos="17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70" w:lineRule="exact"/>
        <w:rPr>
          <w:sz w:val="24"/>
          <w:szCs w:val="24"/>
          <w:color w:val="auto"/>
        </w:rPr>
      </w:pPr>
    </w:p>
    <w:tbl>
      <w:tblPr>
        <w:tblLayout w:type="fixed"/>
        <w:tblInd w:w="1410" w:type="dxa"/>
        <w:tblCellMar>
          <w:top w:w="0" w:type="dxa"/>
          <w:left w:w="0" w:type="dxa"/>
          <w:bottom w:w="0" w:type="dxa"/>
          <w:right w:w="0" w:type="dxa"/>
        </w:tblCellMar>
      </w:tblPr>
      <w:tr>
        <w:trPr>
          <w:trHeight w:val="140"/>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c>
          <w:tcPr>
            <w:tcW w:w="0" w:type="dxa"/>
            <w:vAlign w:val="bottom"/>
          </w:tcPr>
          <w:p>
            <w:pPr>
              <w:spacing w:after="0"/>
              <w:rPr>
                <w:sz w:val="1"/>
                <w:szCs w:val="1"/>
                <w:color w:val="auto"/>
              </w:rPr>
            </w:pPr>
          </w:p>
        </w:tc>
      </w:tr>
      <w:tr>
        <w:trPr>
          <w:trHeight w:val="124"/>
        </w:trPr>
        <w:tc>
          <w:tcPr>
            <w:tcW w:w="2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Common Stock</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CG</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The Nasdaq Global Select Market</w:t>
            </w:r>
          </w:p>
        </w:tc>
        <w:tc>
          <w:tcPr>
            <w:tcW w:w="0" w:type="dxa"/>
            <w:vAlign w:val="bottom"/>
          </w:tcPr>
          <w:p>
            <w:pPr>
              <w:spacing w:after="0"/>
              <w:rPr>
                <w:sz w:val="1"/>
                <w:szCs w:val="1"/>
                <w:color w:val="auto"/>
              </w:rPr>
            </w:pPr>
          </w:p>
        </w:tc>
      </w:tr>
      <w:tr>
        <w:trPr>
          <w:trHeight w:val="96"/>
        </w:trPr>
        <w:tc>
          <w:tcPr>
            <w:tcW w:w="2540" w:type="dxa"/>
            <w:vAlign w:val="bottom"/>
            <w:tcBorders>
              <w:left w:val="single" w:sz="8" w:color="auto"/>
              <w:right w:val="single" w:sz="8" w:color="auto"/>
            </w:tcBorders>
          </w:tcPr>
          <w:p>
            <w:pPr>
              <w:jc w:val="center"/>
              <w:spacing w:after="0" w:line="96" w:lineRule="exact"/>
              <w:rPr>
                <w:sz w:val="20"/>
                <w:szCs w:val="20"/>
                <w:color w:val="auto"/>
              </w:rPr>
            </w:pPr>
            <w:r>
              <w:rPr>
                <w:rFonts w:ascii="Times New Roman" w:cs="Times New Roman" w:eastAsia="Times New Roman" w:hAnsi="Times New Roman"/>
                <w:sz w:val="10"/>
                <w:szCs w:val="10"/>
                <w:color w:val="auto"/>
                <w:w w:val="96"/>
              </w:rPr>
              <w:t>4.625% Subordinated Notes due 2061 of Carlyle Finance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CGABL</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5"/>
              </w:rPr>
              <w:t>The Nasdaq Global Select Market</w:t>
            </w:r>
          </w:p>
        </w:tc>
        <w:tc>
          <w:tcPr>
            <w:tcW w:w="0" w:type="dxa"/>
            <w:vAlign w:val="bottom"/>
          </w:tcPr>
          <w:p>
            <w:pPr>
              <w:spacing w:after="0"/>
              <w:rPr>
                <w:sz w:val="1"/>
                <w:szCs w:val="1"/>
                <w:color w:val="auto"/>
              </w:rPr>
            </w:pPr>
          </w:p>
        </w:tc>
      </w:tr>
      <w:tr>
        <w:trPr>
          <w:trHeight w:val="69"/>
        </w:trPr>
        <w:tc>
          <w:tcPr>
            <w:tcW w:w="2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color w:val="auto"/>
                <w:w w:val="90"/>
              </w:rPr>
              <w:t>L.L.C.</w:t>
            </w:r>
          </w:p>
        </w:tc>
        <w:tc>
          <w:tcPr>
            <w:tcW w:w="1140" w:type="dxa"/>
            <w:vAlign w:val="bottom"/>
            <w:tcBorders>
              <w:right w:val="single" w:sz="8" w:color="auto"/>
            </w:tcBorders>
            <w:vMerge w:val="continue"/>
          </w:tcPr>
          <w:p>
            <w:pPr>
              <w:spacing w:after="0"/>
              <w:rPr>
                <w:sz w:val="6"/>
                <w:szCs w:val="6"/>
                <w:color w:val="auto"/>
              </w:rPr>
            </w:pPr>
          </w:p>
        </w:tc>
        <w:tc>
          <w:tcPr>
            <w:tcW w:w="24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5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1380" w:right="1519"/>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 w:lineRule="exact"/>
        <w:rPr>
          <w:sz w:val="24"/>
          <w:szCs w:val="24"/>
          <w:color w:val="auto"/>
        </w:rPr>
      </w:pPr>
    </w:p>
    <w:p>
      <w:pPr>
        <w:ind w:left="516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87" w:lineRule="exact"/>
        <w:rPr>
          <w:sz w:val="24"/>
          <w:szCs w:val="24"/>
          <w:color w:val="auto"/>
        </w:rPr>
      </w:pPr>
    </w:p>
    <w:p>
      <w:pPr>
        <w:ind w:left="1380" w:right="1619"/>
        <w:spacing w:after="0" w:line="14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518795</wp:posOffset>
            </wp:positionH>
            <wp:positionV relativeFrom="paragraph">
              <wp:posOffset>509270</wp:posOffset>
            </wp:positionV>
            <wp:extent cx="4681855" cy="4358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81855" cy="4358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1400"/>
        <w:spacing w:after="0"/>
        <w:tabs>
          <w:tab w:leader="none" w:pos="22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154" w:lineRule="exact"/>
        <w:rPr>
          <w:sz w:val="24"/>
          <w:szCs w:val="24"/>
          <w:color w:val="auto"/>
        </w:rPr>
      </w:pPr>
    </w:p>
    <w:p>
      <w:pPr>
        <w:ind w:left="1380" w:right="1539"/>
        <w:spacing w:after="0" w:line="298" w:lineRule="auto"/>
        <w:rPr>
          <w:sz w:val="20"/>
          <w:szCs w:val="20"/>
          <w:color w:val="auto"/>
        </w:rPr>
      </w:pPr>
      <w:r>
        <w:rPr>
          <w:rFonts w:ascii="Times New Roman" w:cs="Times New Roman" w:eastAsia="Times New Roman" w:hAnsi="Times New Roman"/>
          <w:sz w:val="11"/>
          <w:szCs w:val="11"/>
          <w:color w:val="auto"/>
        </w:rPr>
        <w:t xml:space="preserve">On February 11, 2025, The Carlyle Group Inc. issued a summary press release and a detailed earnings presentation announcing financial results for its fourth quarter and full-year ended December 31, 2024. The summary press release and the earnings presentation are furnished as Exhibit 99.1 and Exhibit 99.2, respectively, to this Current Report on Form 8-K (this </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Report</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w:t>
      </w:r>
    </w:p>
    <w:p>
      <w:pPr>
        <w:spacing w:after="0" w:line="69" w:lineRule="exact"/>
        <w:rPr>
          <w:sz w:val="24"/>
          <w:szCs w:val="24"/>
          <w:color w:val="auto"/>
        </w:rPr>
      </w:pPr>
    </w:p>
    <w:p>
      <w:pPr>
        <w:ind w:left="1380" w:right="1619"/>
        <w:spacing w:after="0" w:line="260" w:lineRule="auto"/>
        <w:rPr>
          <w:sz w:val="20"/>
          <w:szCs w:val="20"/>
          <w:color w:val="auto"/>
        </w:rPr>
      </w:pPr>
      <w:r>
        <w:rPr>
          <w:rFonts w:ascii="Times New Roman" w:cs="Times New Roman" w:eastAsia="Times New Roman" w:hAnsi="Times New Roman"/>
          <w:sz w:val="12"/>
          <w:szCs w:val="12"/>
          <w:color w:val="auto"/>
        </w:rPr>
        <w:t xml:space="preserve">The information in this Report, including the exhibits hereto, shall not be deemed </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filed</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a filing.</w:t>
      </w:r>
    </w:p>
    <w:p>
      <w:pPr>
        <w:spacing w:after="0" w:line="172" w:lineRule="exact"/>
        <w:rPr>
          <w:sz w:val="24"/>
          <w:szCs w:val="24"/>
          <w:color w:val="auto"/>
        </w:rPr>
      </w:pPr>
    </w:p>
    <w:p>
      <w:pPr>
        <w:ind w:left="1400"/>
        <w:spacing w:after="0"/>
        <w:tabs>
          <w:tab w:leader="none" w:pos="22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76" w:lineRule="exact"/>
        <w:rPr>
          <w:sz w:val="24"/>
          <w:szCs w:val="24"/>
          <w:color w:val="auto"/>
        </w:rPr>
      </w:pPr>
    </w:p>
    <w:tbl>
      <w:tblPr>
        <w:tblLayout w:type="fixed"/>
        <w:tblInd w:w="1400" w:type="dxa"/>
        <w:tblCellMar>
          <w:top w:w="0" w:type="dxa"/>
          <w:left w:w="0" w:type="dxa"/>
          <w:bottom w:w="0" w:type="dxa"/>
          <w:right w:w="0" w:type="dxa"/>
        </w:tblCellMar>
      </w:tblPr>
      <w:tr>
        <w:trPr>
          <w:trHeight w:val="115"/>
        </w:trPr>
        <w:tc>
          <w:tcPr>
            <w:tcW w:w="120" w:type="dxa"/>
            <w:vAlign w:val="bottom"/>
          </w:tcPr>
          <w:p>
            <w:pPr>
              <w:spacing w:after="0"/>
              <w:rPr>
                <w:sz w:val="9"/>
                <w:szCs w:val="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89"/>
              </w:rPr>
              <w:t>Exhibit No.</w:t>
            </w:r>
          </w:p>
        </w:tc>
        <w:tc>
          <w:tcPr>
            <w:tcW w:w="260" w:type="dxa"/>
            <w:vAlign w:val="bottom"/>
          </w:tcPr>
          <w:p>
            <w:pPr>
              <w:spacing w:after="0"/>
              <w:rPr>
                <w:sz w:val="9"/>
                <w:szCs w:val="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99.1</w:t>
            </w:r>
          </w:p>
        </w:tc>
        <w:tc>
          <w:tcPr>
            <w:tcW w:w="260" w:type="dxa"/>
            <w:vAlign w:val="bottom"/>
          </w:tcPr>
          <w:p>
            <w:pPr>
              <w:spacing w:after="0"/>
              <w:rPr>
                <w:sz w:val="17"/>
                <w:szCs w:val="17"/>
                <w:color w:val="auto"/>
              </w:rPr>
            </w:pPr>
          </w:p>
        </w:tc>
        <w:tc>
          <w:tcPr>
            <w:tcW w:w="4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Summary earnings press release of The Carlyle Group Inc., dated February 11, 2025.</w:t>
            </w:r>
          </w:p>
        </w:tc>
      </w:tr>
      <w:tr>
        <w:trPr>
          <w:trHeight w:val="187"/>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99.2</w:t>
            </w:r>
          </w:p>
        </w:tc>
        <w:tc>
          <w:tcPr>
            <w:tcW w:w="260" w:type="dxa"/>
            <w:vAlign w:val="bottom"/>
          </w:tcPr>
          <w:p>
            <w:pPr>
              <w:spacing w:after="0"/>
              <w:rPr>
                <w:sz w:val="16"/>
                <w:szCs w:val="16"/>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Earnings presentation of The Carlyle Group Inc., dated February 11, 2025.</w:t>
            </w:r>
          </w:p>
        </w:tc>
      </w:tr>
      <w:tr>
        <w:trPr>
          <w:trHeight w:val="20"/>
        </w:trPr>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23"/>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104</w:t>
            </w:r>
          </w:p>
        </w:tc>
        <w:tc>
          <w:tcPr>
            <w:tcW w:w="26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ectPr>
          <w:pgSz w:w="11900" w:h="16838" w:orient="portrait"/>
          <w:cols w:equalWidth="0" w:num="1">
            <w:col w:w="9019"/>
          </w:cols>
          <w:pgMar w:left="1440" w:top="81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1433195</wp:posOffset>
            </wp:positionH>
            <wp:positionV relativeFrom="page">
              <wp:posOffset>88900</wp:posOffset>
            </wp:positionV>
            <wp:extent cx="4681855" cy="7787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81855" cy="778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18" w:lineRule="exact"/>
        <w:rPr>
          <w:sz w:val="20"/>
          <w:szCs w:val="20"/>
          <w:color w:val="auto"/>
        </w:rPr>
      </w:pPr>
    </w:p>
    <w:p>
      <w:pPr>
        <w:ind w:left="1380" w:right="145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68" w:lineRule="exact"/>
        <w:rPr>
          <w:sz w:val="20"/>
          <w:szCs w:val="20"/>
          <w:color w:val="auto"/>
        </w:rPr>
      </w:pPr>
    </w:p>
    <w:tbl>
      <w:tblPr>
        <w:tblLayout w:type="fixed"/>
        <w:tblInd w:w="1400" w:type="dxa"/>
        <w:tblCellMar>
          <w:top w:w="0" w:type="dxa"/>
          <w:left w:w="0" w:type="dxa"/>
          <w:bottom w:w="0" w:type="dxa"/>
          <w:right w:w="0" w:type="dxa"/>
        </w:tblCellMar>
      </w:tblPr>
      <w:tr>
        <w:trPr>
          <w:trHeight w:val="159"/>
        </w:trPr>
        <w:tc>
          <w:tcPr>
            <w:tcW w:w="1940" w:type="dxa"/>
            <w:vAlign w:val="bottom"/>
          </w:tcPr>
          <w:p>
            <w:pPr>
              <w:spacing w:after="0"/>
              <w:rPr>
                <w:sz w:val="13"/>
                <w:szCs w:val="13"/>
                <w:color w:val="auto"/>
              </w:rPr>
            </w:pPr>
          </w:p>
        </w:tc>
        <w:tc>
          <w:tcPr>
            <w:tcW w:w="3440" w:type="dxa"/>
            <w:vAlign w:val="bottom"/>
            <w:gridSpan w:val="2"/>
          </w:tcPr>
          <w:p>
            <w:pPr>
              <w:ind w:left="780"/>
              <w:spacing w:after="0"/>
              <w:rPr>
                <w:sz w:val="20"/>
                <w:szCs w:val="20"/>
                <w:color w:val="auto"/>
              </w:rPr>
            </w:pPr>
            <w:r>
              <w:rPr>
                <w:rFonts w:ascii="Times New Roman" w:cs="Times New Roman" w:eastAsia="Times New Roman" w:hAnsi="Times New Roman"/>
                <w:sz w:val="12"/>
                <w:szCs w:val="12"/>
                <w:b w:val="1"/>
                <w:bCs w:val="1"/>
                <w:color w:val="auto"/>
              </w:rPr>
              <w:t>The Carlyle Group Inc.</w:t>
            </w:r>
          </w:p>
        </w:tc>
      </w:tr>
      <w:tr>
        <w:trPr>
          <w:trHeight w:val="531"/>
        </w:trPr>
        <w:tc>
          <w:tcPr>
            <w:tcW w:w="194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10, 2025</w:t>
            </w:r>
          </w:p>
        </w:tc>
        <w:tc>
          <w:tcPr>
            <w:tcW w:w="122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By:</w:t>
            </w:r>
          </w:p>
        </w:tc>
        <w:tc>
          <w:tcPr>
            <w:tcW w:w="2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 John C. Redett</w:t>
            </w:r>
          </w:p>
        </w:tc>
      </w:tr>
      <w:tr>
        <w:trPr>
          <w:trHeight w:val="151"/>
        </w:trPr>
        <w:tc>
          <w:tcPr>
            <w:tcW w:w="1940" w:type="dxa"/>
            <w:vAlign w:val="bottom"/>
          </w:tcPr>
          <w:p>
            <w:pPr>
              <w:spacing w:after="0"/>
              <w:rPr>
                <w:sz w:val="13"/>
                <w:szCs w:val="13"/>
                <w:color w:val="auto"/>
              </w:rPr>
            </w:pPr>
          </w:p>
        </w:tc>
        <w:tc>
          <w:tcPr>
            <w:tcW w:w="122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Name:</w:t>
            </w:r>
          </w:p>
        </w:tc>
        <w:tc>
          <w:tcPr>
            <w:tcW w:w="2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John C. Redett</w:t>
            </w:r>
          </w:p>
        </w:tc>
      </w:tr>
      <w:tr>
        <w:trPr>
          <w:trHeight w:val="171"/>
        </w:trPr>
        <w:tc>
          <w:tcPr>
            <w:tcW w:w="1940" w:type="dxa"/>
            <w:vAlign w:val="bottom"/>
          </w:tcPr>
          <w:p>
            <w:pPr>
              <w:spacing w:after="0"/>
              <w:rPr>
                <w:sz w:val="14"/>
                <w:szCs w:val="14"/>
                <w:color w:val="auto"/>
              </w:rPr>
            </w:pPr>
          </w:p>
        </w:tc>
        <w:tc>
          <w:tcPr>
            <w:tcW w:w="122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Title:</w:t>
            </w:r>
          </w:p>
        </w:tc>
        <w:tc>
          <w:tcPr>
            <w:tcW w:w="2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9019"/>
          </w:cols>
          <w:pgMar w:left="1440" w:top="1440" w:right="1440" w:bottom="1440" w:gutter="0" w:footer="0" w:header="0"/>
        </w:sectPr>
      </w:pPr>
    </w:p>
    <w:bookmarkStart w:id="2" w:name="page3"/>
    <w:bookmarkEnd w:id="2"/>
    <w:p>
      <w:pPr>
        <w:ind w:left="696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051560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Carlyle Reports Fourth Quarter and Full-Year 2024 Financial Results</w:t>
      </w:r>
    </w:p>
    <w:p>
      <w:pPr>
        <w:spacing w:after="0" w:line="293" w:lineRule="exact"/>
        <w:rPr>
          <w:sz w:val="20"/>
          <w:szCs w:val="20"/>
          <w:color w:val="auto"/>
        </w:rPr>
      </w:pPr>
    </w:p>
    <w:p>
      <w:pPr>
        <w:ind w:left="1420" w:right="1399"/>
        <w:spacing w:after="0" w:line="262" w:lineRule="auto"/>
        <w:rPr>
          <w:sz w:val="20"/>
          <w:szCs w:val="20"/>
          <w:color w:val="auto"/>
        </w:rPr>
      </w:pPr>
      <w:r>
        <w:rPr>
          <w:rFonts w:ascii="Times New Roman" w:cs="Times New Roman" w:eastAsia="Times New Roman" w:hAnsi="Times New Roman"/>
          <w:sz w:val="13"/>
          <w:szCs w:val="13"/>
          <w:b w:val="1"/>
          <w:bCs w:val="1"/>
          <w:color w:val="auto"/>
        </w:rPr>
        <w:t xml:space="preserve">Washington, DC and New York, NY – February 11, 2025 </w:t>
      </w:r>
      <w:r>
        <w:rPr>
          <w:rFonts w:ascii="Times New Roman" w:cs="Times New Roman" w:eastAsia="Times New Roman" w:hAnsi="Times New Roman"/>
          <w:sz w:val="13"/>
          <w:szCs w:val="13"/>
          <w:color w:val="auto"/>
        </w:rPr>
        <w:t>– Global investment firm The Carlyle Group Inc.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(NASDAQ: CG) today reported its unau </w:t>
      </w:r>
      <w:r>
        <w:rPr>
          <w:rFonts w:ascii="Times New Roman" w:cs="Times New Roman" w:eastAsia="Times New Roman" w:hAnsi="Times New Roman"/>
          <w:sz w:val="13"/>
          <w:szCs w:val="13"/>
          <w:color w:val="auto"/>
          <w:highlight w:val="white"/>
        </w:rPr>
        <w:t>dited results for the fourth quarter and full-year ended December 31, 2024.</w:t>
      </w:r>
      <w:r>
        <w:rPr>
          <w:sz w:val="1"/>
          <w:szCs w:val="1"/>
          <w:color w:val="auto"/>
        </w:rPr>
        <w:drawing>
          <wp:inline distT="0" distB="0" distL="0" distR="0">
            <wp:extent cx="22860" cy="914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 cy="91440"/>
                    </a:xfrm>
                    <a:prstGeom prst="rect">
                      <a:avLst/>
                    </a:prstGeom>
                    <a:noFill/>
                    <a:ln>
                      <a:noFill/>
                    </a:ln>
                  </pic:spPr>
                </pic:pic>
              </a:graphicData>
            </a:graphic>
          </wp:inline>
        </w:drawing>
      </w:r>
      <w:r>
        <w:rPr>
          <w:rFonts w:ascii="Times New Roman" w:cs="Times New Roman" w:eastAsia="Times New Roman" w:hAnsi="Times New Roman"/>
          <w:sz w:val="13"/>
          <w:szCs w:val="13"/>
          <w:color w:val="auto"/>
          <w:highlight w:val="white"/>
        </w:rPr>
        <w:t xml:space="preserve"> The full detailed presentation of </w:t>
      </w:r>
      <w:r>
        <w:rPr>
          <w:rFonts w:ascii="Times New Roman" w:cs="Times New Roman" w:eastAsia="Times New Roman" w:hAnsi="Times New Roman"/>
          <w:sz w:val="13"/>
          <w:szCs w:val="13"/>
          <w:color w:val="auto"/>
        </w:rPr>
        <w:t>Carlyle’s fourth quarter and full-year 2024 results can be viewed at ir.carlyle.com.</w:t>
      </w:r>
    </w:p>
    <w:p>
      <w:pPr>
        <w:spacing w:after="0" w:line="129" w:lineRule="exact"/>
        <w:rPr>
          <w:sz w:val="20"/>
          <w:szCs w:val="20"/>
          <w:color w:val="auto"/>
        </w:rPr>
      </w:pPr>
    </w:p>
    <w:p>
      <w:pPr>
        <w:jc w:val="both"/>
        <w:ind w:left="1420" w:right="1439"/>
        <w:spacing w:after="0" w:line="270" w:lineRule="auto"/>
        <w:rPr>
          <w:sz w:val="20"/>
          <w:szCs w:val="20"/>
          <w:color w:val="auto"/>
        </w:rPr>
      </w:pPr>
      <w:r>
        <w:rPr>
          <w:rFonts w:ascii="Times New Roman" w:cs="Times New Roman" w:eastAsia="Times New Roman" w:hAnsi="Times New Roman"/>
          <w:sz w:val="13"/>
          <w:szCs w:val="13"/>
          <w:color w:val="auto"/>
        </w:rPr>
        <w:t xml:space="preserve">For </w:t>
      </w:r>
      <w:r>
        <w:rPr>
          <w:rFonts w:ascii="Times New Roman" w:cs="Times New Roman" w:eastAsia="Times New Roman" w:hAnsi="Times New Roman"/>
          <w:sz w:val="13"/>
          <w:szCs w:val="13"/>
          <w:color w:val="auto"/>
          <w:highlight w:val="white"/>
        </w:rPr>
        <w:t>the fourth quarter and full-year ended December 31, 2024</w:t>
      </w:r>
      <w:r>
        <w:rPr>
          <w:rFonts w:ascii="Times New Roman" w:cs="Times New Roman" w:eastAsia="Times New Roman" w:hAnsi="Times New Roman"/>
          <w:sz w:val="13"/>
          <w:szCs w:val="13"/>
          <w:color w:val="auto"/>
        </w:rPr>
        <w:t>, U.S. GAAP results included income before provision for income taxes of $265 million and $1.4 billion, respectively, and a margin on income before provision for income taxes of 25.7% and 25.7%, respectively.</w:t>
      </w:r>
    </w:p>
    <w:p>
      <w:pPr>
        <w:spacing w:after="0" w:line="125" w:lineRule="exact"/>
        <w:rPr>
          <w:sz w:val="20"/>
          <w:szCs w:val="20"/>
          <w:color w:val="auto"/>
        </w:rPr>
      </w:pPr>
    </w:p>
    <w:p>
      <w:pPr>
        <w:ind w:left="1420" w:right="1599"/>
        <w:spacing w:after="0" w:line="267" w:lineRule="auto"/>
        <w:rPr>
          <w:sz w:val="20"/>
          <w:szCs w:val="20"/>
          <w:color w:val="auto"/>
        </w:rPr>
      </w:pPr>
      <w:r>
        <w:rPr>
          <w:rFonts w:ascii="Times New Roman" w:cs="Times New Roman" w:eastAsia="Times New Roman" w:hAnsi="Times New Roman"/>
          <w:sz w:val="13"/>
          <w:szCs w:val="13"/>
          <w:color w:val="auto"/>
        </w:rPr>
        <w:t>Carlyle Chief Executive Officer Harvey M. Schwartz said, “Carlyle delivered a strong 2024, meeting every financial target we set, including record Fee Related Earnings and FRE margin, and robust inflows. As we enter 2025, we expect a high level of activity across our platform and remain focused on driving long-term shareholder value.”</w:t>
      </w:r>
    </w:p>
    <w:p>
      <w:pPr>
        <w:spacing w:after="0" w:line="1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u w:val="single" w:color="auto"/>
          <w:color w:val="auto"/>
        </w:rPr>
        <w:t>Dividend</w:t>
      </w:r>
    </w:p>
    <w:p>
      <w:pPr>
        <w:spacing w:after="0" w:line="123" w:lineRule="exact"/>
        <w:rPr>
          <w:sz w:val="20"/>
          <w:szCs w:val="20"/>
          <w:color w:val="auto"/>
        </w:rPr>
      </w:pPr>
    </w:p>
    <w:p>
      <w:pPr>
        <w:ind w:left="1420" w:right="1479"/>
        <w:spacing w:after="0" w:line="270" w:lineRule="auto"/>
        <w:rPr>
          <w:sz w:val="20"/>
          <w:szCs w:val="20"/>
          <w:color w:val="auto"/>
        </w:rPr>
      </w:pPr>
      <w:r>
        <w:rPr>
          <w:rFonts w:ascii="Times New Roman" w:cs="Times New Roman" w:eastAsia="Times New Roman" w:hAnsi="Times New Roman"/>
          <w:sz w:val="13"/>
          <w:szCs w:val="13"/>
          <w:color w:val="auto"/>
        </w:rPr>
        <w:t>The Board of Directors has declared a quarterly dividend of $0.35 per common share to holders of record at the close of business on February 21, 2025 , payable on February 28, 2025 . For full-year 2024, the Board of Directors declared $1.40 in aggregate distributions to common shareholders.</w:t>
      </w:r>
    </w:p>
    <w:p>
      <w:pPr>
        <w:spacing w:after="0" w:line="13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w:t>
      </w:r>
    </w:p>
    <w:p>
      <w:pPr>
        <w:spacing w:after="0" w:line="123" w:lineRule="exact"/>
        <w:rPr>
          <w:sz w:val="20"/>
          <w:szCs w:val="20"/>
          <w:color w:val="auto"/>
        </w:rPr>
      </w:pPr>
    </w:p>
    <w:p>
      <w:pPr>
        <w:ind w:left="1420" w:right="1559"/>
        <w:spacing w:after="0" w:line="267" w:lineRule="auto"/>
        <w:rPr>
          <w:sz w:val="20"/>
          <w:szCs w:val="20"/>
          <w:color w:val="auto"/>
        </w:rPr>
      </w:pPr>
      <w:r>
        <w:rPr>
          <w:rFonts w:ascii="Times New Roman" w:cs="Times New Roman" w:eastAsia="Times New Roman" w:hAnsi="Times New Roman"/>
          <w:sz w:val="13"/>
          <w:szCs w:val="13"/>
          <w:color w:val="auto"/>
        </w:rPr>
        <w:t>Carlyle will host a conference call at 8:30 a.m. EST on Tuesday, February 11, 2025, to announce its fourth quarter and full-year 2024 financial results. The conference call will be available via public webcast from the Events &amp; Presentations section of ir.carlyle.com and a replay will also be available on our website soon after the call’s completion.</w:t>
      </w:r>
    </w:p>
    <w:p>
      <w:pPr>
        <w:spacing w:after="0" w:line="1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u w:val="single" w:color="auto"/>
          <w:color w:val="auto"/>
        </w:rPr>
        <w:t>About Carlyle</w:t>
      </w:r>
    </w:p>
    <w:p>
      <w:pPr>
        <w:spacing w:after="0" w:line="1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color w:val="auto"/>
        </w:rPr>
        <w:t>Carlyle (NASDAQ: CG) is a global investment firm with deep industry expertise that deploys private capital across</w:t>
      </w:r>
    </w:p>
    <w:p>
      <w:pPr>
        <w:spacing w:after="0" w:line="18" w:lineRule="exact"/>
        <w:rPr>
          <w:sz w:val="20"/>
          <w:szCs w:val="20"/>
          <w:color w:val="auto"/>
        </w:rPr>
      </w:pPr>
    </w:p>
    <w:p>
      <w:pPr>
        <w:ind w:left="1420" w:right="1439"/>
        <w:spacing w:after="0" w:line="259" w:lineRule="auto"/>
        <w:rPr>
          <w:sz w:val="20"/>
          <w:szCs w:val="20"/>
          <w:color w:val="auto"/>
        </w:rPr>
      </w:pPr>
      <w:r>
        <w:rPr>
          <w:rFonts w:ascii="Times New Roman" w:cs="Times New Roman" w:eastAsia="Times New Roman" w:hAnsi="Times New Roman"/>
          <w:sz w:val="13"/>
          <w:szCs w:val="13"/>
          <w:color w:val="auto"/>
        </w:rPr>
        <w:t>three business segments: Global Private Equity, Global Credit, and Global Investment Solutions. With $441 billion of assets under management as of December 31, 2024, Carlyle’s purpose is to invest wisely and create value on behalf of its investors, portfolio companies, and the communities in which we live and invest. Carlyle employs more than 2,300 people in 29 offices across four continents. Further information is available at www.carlyle.com. Follow Carlyle on X @OneCarlyle and LinkedIn at The Carlyle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color w:val="auto"/>
        </w:rPr>
        <w:t>Page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u w:val="single" w:color="auto"/>
          <w:color w:val="auto"/>
        </w:rPr>
        <w:t>Forward-Looking Statements</w:t>
      </w:r>
    </w:p>
    <w:p>
      <w:pPr>
        <w:spacing w:after="0" w:line="123" w:lineRule="exact"/>
        <w:rPr>
          <w:sz w:val="20"/>
          <w:szCs w:val="20"/>
          <w:color w:val="auto"/>
        </w:rPr>
      </w:pPr>
    </w:p>
    <w:p>
      <w:pPr>
        <w:ind w:left="1420" w:right="1439"/>
        <w:spacing w:after="0" w:line="264" w:lineRule="auto"/>
        <w:rPr>
          <w:sz w:val="20"/>
          <w:szCs w:val="20"/>
          <w:color w:val="auto"/>
        </w:rPr>
      </w:pPr>
      <w:r>
        <w:rPr>
          <w:rFonts w:ascii="Times New Roman" w:cs="Times New Roman" w:eastAsia="Times New Roman" w:hAnsi="Times New Roman"/>
          <w:sz w:val="13"/>
          <w:szCs w:val="13"/>
          <w:color w:val="auto"/>
        </w:rPr>
        <w:t>This press release may contain forward-looking statements within the meaning of Section 27A of the Securities Act of 1933, as amended, and Section 21E of the Securities Exchange Act of 1934, as amended. These statements include, but are not limited to, statements related to our expectations, estimates, beliefs, projections, future plans and strategies, anticipated events or trends, and similar expressions and statements that are not historical facts, including our expectations regarding the performance of our business, our financial results, our liquidity and capital resources, contingencies, and our dividend policy. You can identify these forward-looking statements by the use of words such as “outlook,” “believes,” “expects,” “potential,” “continues,” “may,” “will,” “should,” “seeks,” “approximately,” “predicts,” “intends,” “plans,” “estimates,” “anticipates,” or the negative version of these words or other comparable words. Such forward-looking statements are subject to various risks, uncertainties, and assumptions. Accordingly, there are or will be important factors that could cause actual outcomes or results to differ materially from those indicated in these statements including, but not limited to, those described in this press release and under the section entitled “Risk Factors” in our Annual Report on Form 10-K for the year ended December 31, 2023, filed with the U.S. Securities and Exchange Commission (“SEC”) on February 22, 2024, as such factors may be updated from time to time in our periodic filings with the SEC, which are accessible on the SEC’s website at www.sec.gov. These factors should not be construed as exhaustive and should be read in conjunction with the other cautionary statements that are included in this press release and in our other periodic filings with the SEC. We undertake no obligation to publicly update or review any forward-looking statements, whether as a result of new information, future developments, or otherwise, except as required by applicable law.</w:t>
      </w:r>
    </w:p>
    <w:p>
      <w:pPr>
        <w:spacing w:after="0" w:line="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3"/>
          <w:szCs w:val="13"/>
          <w:b w:val="1"/>
          <w:bCs w:val="1"/>
          <w:i w:val="1"/>
          <w:iCs w:val="1"/>
          <w:color w:val="auto"/>
        </w:rPr>
        <w:t>This press release does not constitute an offer for any Carlyle fund.</w:t>
      </w:r>
    </w:p>
    <w:p>
      <w:pPr>
        <w:spacing w:after="0" w:line="200" w:lineRule="exact"/>
        <w:rPr>
          <w:sz w:val="20"/>
          <w:szCs w:val="20"/>
          <w:color w:val="auto"/>
        </w:rPr>
      </w:pPr>
    </w:p>
    <w:p>
      <w:pPr>
        <w:spacing w:after="0" w:line="247" w:lineRule="exact"/>
        <w:rPr>
          <w:sz w:val="20"/>
          <w:szCs w:val="20"/>
          <w:color w:val="auto"/>
        </w:rPr>
      </w:pPr>
    </w:p>
    <w:tbl>
      <w:tblPr>
        <w:tblLayout w:type="fixed"/>
        <w:tblInd w:w="1420" w:type="dxa"/>
        <w:tblCellMar>
          <w:top w:w="0" w:type="dxa"/>
          <w:left w:w="0" w:type="dxa"/>
          <w:bottom w:w="0" w:type="dxa"/>
          <w:right w:w="0" w:type="dxa"/>
        </w:tblCellMar>
      </w:tblPr>
      <w:tr>
        <w:trPr>
          <w:trHeight w:val="174"/>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Contacts:</w:t>
            </w:r>
          </w:p>
        </w:tc>
        <w:tc>
          <w:tcPr>
            <w:tcW w:w="1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3"/>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Public Market Investor Relations</w:t>
            </w:r>
          </w:p>
        </w:tc>
        <w:tc>
          <w:tcPr>
            <w:tcW w:w="19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Media</w:t>
            </w:r>
          </w:p>
        </w:tc>
        <w:tc>
          <w:tcPr>
            <w:tcW w:w="3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171"/>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Daniel Harris</w:t>
            </w:r>
          </w:p>
        </w:tc>
        <w:tc>
          <w:tcPr>
            <w:tcW w:w="1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Brittany Berliner</w:t>
            </w:r>
          </w:p>
        </w:tc>
        <w:tc>
          <w:tcPr>
            <w:tcW w:w="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OR</w:t>
            </w:r>
          </w:p>
        </w:tc>
        <w:tc>
          <w:tcPr>
            <w:tcW w:w="1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Kristen Ashton</w:t>
            </w:r>
          </w:p>
        </w:tc>
      </w:tr>
      <w:tr>
        <w:trPr>
          <w:trHeight w:val="171"/>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Phone: +1 (212) 813-4527</w:t>
            </w:r>
          </w:p>
        </w:tc>
        <w:tc>
          <w:tcPr>
            <w:tcW w:w="1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Phone: +1 (212) 813-4839</w:t>
            </w:r>
          </w:p>
        </w:tc>
        <w:tc>
          <w:tcPr>
            <w:tcW w:w="38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Phone: +1 (212) 813-4763</w:t>
            </w:r>
          </w:p>
        </w:tc>
      </w:tr>
      <w:tr>
        <w:trPr>
          <w:trHeight w:val="172"/>
        </w:trPr>
        <w:tc>
          <w:tcPr>
            <w:tcW w:w="2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daniel.harris@carlyle.com</w:t>
            </w:r>
          </w:p>
        </w:tc>
        <w:tc>
          <w:tcPr>
            <w:tcW w:w="1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brittany.berliner@carlyle.com</w:t>
            </w:r>
          </w:p>
        </w:tc>
        <w:tc>
          <w:tcPr>
            <w:tcW w:w="38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kristen.ashton@carlyle.com</w:t>
            </w:r>
          </w:p>
        </w:tc>
      </w:tr>
    </w:tbl>
    <w:p>
      <w:pPr>
        <w:sectPr>
          <w:pgSz w:w="11900" w:h="16838" w:orient="portrait"/>
          <w:cols w:equalWidth="0" w:num="1">
            <w:col w:w="9019"/>
          </w:cols>
          <w:pgMar w:left="1440" w:top="62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1626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62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2"/>
          <w:szCs w:val="12"/>
          <w:color w:val="auto"/>
        </w:rPr>
        <w:t>Page | 2</w:t>
      </w:r>
    </w:p>
    <w:p>
      <w:pPr>
        <w:sectPr>
          <w:pgSz w:w="11900" w:h="16838" w:orient="portrait"/>
          <w:cols w:equalWidth="0" w:num="1">
            <w:col w:w="9019"/>
          </w:cols>
          <w:pgMar w:left="1440" w:top="1440"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72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7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2025-02-11T05:08:15Z</dcterms:created>
  <dcterms:modified xsi:type="dcterms:W3CDTF">2025-02-11T05:08:15Z</dcterms:modified>
</cp:coreProperties>
</file>