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 2026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Carlyle Group Inc.</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420" w:type="dxa"/>
            <w:vAlign w:val="bottom"/>
          </w:tcPr>
          <w:p>
            <w:pPr>
              <w:jc w:val="center"/>
              <w:ind w:right="6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001-35538</w:t>
            </w:r>
          </w:p>
        </w:tc>
        <w:tc>
          <w:tcPr>
            <w:tcW w:w="1920" w:type="dxa"/>
            <w:vAlign w:val="bottom"/>
          </w:tcPr>
          <w:p>
            <w:pPr>
              <w:jc w:val="center"/>
              <w:ind w:left="702"/>
              <w:spacing w:after="0"/>
              <w:rPr>
                <w:sz w:val="20"/>
                <w:szCs w:val="20"/>
                <w:color w:val="auto"/>
              </w:rPr>
            </w:pPr>
            <w:r>
              <w:rPr>
                <w:rFonts w:ascii="Times New Roman" w:cs="Times New Roman" w:eastAsia="Times New Roman" w:hAnsi="Times New Roman"/>
                <w:sz w:val="18"/>
                <w:szCs w:val="18"/>
                <w:b w:val="1"/>
                <w:bCs w:val="1"/>
                <w:color w:val="auto"/>
                <w:w w:val="98"/>
              </w:rPr>
              <w:t>45-2832612</w:t>
            </w:r>
          </w:p>
        </w:tc>
      </w:tr>
      <w:tr>
        <w:trPr>
          <w:trHeight w:val="151"/>
        </w:trPr>
        <w:tc>
          <w:tcPr>
            <w:tcW w:w="2420" w:type="dxa"/>
            <w:vAlign w:val="bottom"/>
          </w:tcPr>
          <w:p>
            <w:pPr>
              <w:jc w:val="center"/>
              <w:ind w:right="642"/>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740"/>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920" w:type="dxa"/>
            <w:vAlign w:val="bottom"/>
          </w:tcPr>
          <w:p>
            <w:pPr>
              <w:jc w:val="center"/>
              <w:ind w:left="702"/>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20" w:type="dxa"/>
            <w:vAlign w:val="bottom"/>
          </w:tcPr>
          <w:p>
            <w:pPr>
              <w:jc w:val="center"/>
              <w:ind w:right="6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920" w:type="dxa"/>
            <w:vAlign w:val="bottom"/>
          </w:tcPr>
          <w:p>
            <w:pPr>
              <w:jc w:val="center"/>
              <w:ind w:left="7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1001 Pennsylvania Avenue, NW</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20004-2505</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 729-5626</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88" w:lineRule="exact"/>
        <w:rPr>
          <w:sz w:val="24"/>
          <w:szCs w:val="24"/>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10" w:lineRule="exact"/>
        <w:rPr>
          <w:sz w:val="24"/>
          <w:szCs w:val="24"/>
          <w:color w:val="auto"/>
        </w:rPr>
      </w:pPr>
    </w:p>
    <w:p>
      <w:pPr>
        <w:ind w:left="600" w:hanging="532"/>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600" w:hanging="532"/>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600" w:hanging="532"/>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right="1400" w:firstLine="68"/>
        <w:spacing w:after="0" w:line="396" w:lineRule="auto"/>
        <w:tabs>
          <w:tab w:leader="none" w:pos="5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7"/>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1"/>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CG</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51"/>
        </w:trPr>
        <w:tc>
          <w:tcPr>
            <w:tcW w:w="3800" w:type="dxa"/>
            <w:vAlign w:val="bottom"/>
            <w:tcBorders>
              <w:left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color w:val="auto"/>
              </w:rPr>
              <w:t>4.625% Subordinated Notes due 2061 of Carlyle Finance</w:t>
            </w: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CGABL</w:t>
            </w:r>
          </w:p>
        </w:tc>
        <w:tc>
          <w:tcPr>
            <w:tcW w:w="3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3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L.L.C.</w:t>
            </w:r>
          </w:p>
        </w:tc>
        <w:tc>
          <w:tcPr>
            <w:tcW w:w="1720" w:type="dxa"/>
            <w:vAlign w:val="bottom"/>
            <w:tcBorders>
              <w:right w:val="single" w:sz="8" w:color="auto"/>
            </w:tcBorders>
            <w:vMerge w:val="continue"/>
          </w:tcPr>
          <w:p>
            <w:pPr>
              <w:spacing w:after="0"/>
              <w:rPr>
                <w:sz w:val="9"/>
                <w:szCs w:val="9"/>
                <w:color w:val="auto"/>
              </w:rPr>
            </w:pPr>
          </w:p>
        </w:tc>
        <w:tc>
          <w:tcPr>
            <w:tcW w:w="3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8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3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5" w:lineRule="exact"/>
        <w:rPr>
          <w:sz w:val="24"/>
          <w:szCs w:val="24"/>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 w:lineRule="exact"/>
        <w:rPr>
          <w:sz w:val="24"/>
          <w:szCs w:val="24"/>
          <w:color w:val="auto"/>
        </w:rPr>
      </w:pPr>
    </w:p>
    <w:p>
      <w:pPr>
        <w:ind w:left="56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6" w:lineRule="exact"/>
        <w:rPr>
          <w:sz w:val="24"/>
          <w:szCs w:val="24"/>
          <w:color w:val="auto"/>
        </w:rPr>
      </w:pPr>
    </w:p>
    <w:p>
      <w:pPr>
        <w:ind w:right="1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9240"/>
          </w:cols>
          <w:pgMar w:left="1320" w:top="1375" w:right="1339" w:bottom="1440" w:gutter="0" w:footer="0" w:header="0"/>
        </w:sectPr>
      </w:pPr>
    </w:p>
    <w:bookmarkStart w:id="1" w:name="page2"/>
    <w:bookmarkEnd w:id="1"/>
    <w:p>
      <w:pPr>
        <w:ind w:left="1340" w:right="1600" w:hanging="1268"/>
        <w:spacing w:after="0" w:line="255"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050505"/>
        </w:rPr>
        <w:t>As previously disclosed on December 5, 2025, Jeffrey W. Ferguson, General Counsel of The Carlyle Group Inc. (the “Company” or “Carlyle”), informed the Company of his intention to retire as General Counsel in 2026. On June 1, 2026, Carlyle announced that it had appointed Kate Heinzelman as the Company’s General Counsel, effective June 29, 2026, at which time Mr. Ferguson will become a Senior Advisor to Carlyle.</w:t>
      </w:r>
    </w:p>
    <w:p>
      <w:pPr>
        <w:spacing w:after="0" w:line="230"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9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050505"/>
        </w:rPr>
        <w:t>A copy of the Company’s press release regarding the matters described above has been furnished as Exhibit 99.1 to this Current Report on Form 8-K.</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2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4"/>
                <w:szCs w:val="24"/>
                <w:color w:val="auto"/>
              </w:rPr>
            </w:pPr>
          </w:p>
        </w:tc>
        <w:tc>
          <w:tcPr>
            <w:tcW w:w="43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of The Carlyle Group Inc., dated June 1, 2026.</w:t>
            </w:r>
          </w:p>
        </w:tc>
        <w:tc>
          <w:tcPr>
            <w:tcW w:w="148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9220"/>
          </w:cols>
          <w:pgMar w:left="1320" w:top="1089" w:right="135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SIGNATURES</w:t>
      </w:r>
    </w:p>
    <w:p>
      <w:pPr>
        <w:spacing w:after="0" w:line="229" w:lineRule="exact"/>
        <w:rPr>
          <w:sz w:val="20"/>
          <w:szCs w:val="20"/>
          <w:color w:val="auto"/>
        </w:rPr>
      </w:pPr>
    </w:p>
    <w:p>
      <w:pPr>
        <w:ind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532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The Carlyle Group Inc.</w:t>
            </w:r>
          </w:p>
        </w:tc>
      </w:tr>
      <w:tr>
        <w:trPr>
          <w:trHeight w:val="527"/>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20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Justin V. Plouffe</w:t>
            </w:r>
          </w:p>
        </w:tc>
      </w:tr>
      <w:tr>
        <w:trPr>
          <w:trHeight w:val="236"/>
        </w:trPr>
        <w:tc>
          <w:tcPr>
            <w:tcW w:w="2720" w:type="dxa"/>
            <w:vAlign w:val="bottom"/>
          </w:tcPr>
          <w:p>
            <w:pPr>
              <w:spacing w:after="0"/>
              <w:rPr>
                <w:sz w:val="20"/>
                <w:szCs w:val="20"/>
                <w:color w:val="auto"/>
              </w:rPr>
            </w:pPr>
          </w:p>
        </w:tc>
        <w:tc>
          <w:tcPr>
            <w:tcW w:w="20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Name:</w:t>
            </w: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Justin V. Plouffe</w:t>
            </w:r>
          </w:p>
        </w:tc>
      </w:tr>
      <w:tr>
        <w:trPr>
          <w:trHeight w:val="257"/>
        </w:trPr>
        <w:tc>
          <w:tcPr>
            <w:tcW w:w="2720" w:type="dxa"/>
            <w:vAlign w:val="bottom"/>
          </w:tcPr>
          <w:p>
            <w:pPr>
              <w:spacing w:after="0"/>
              <w:rPr>
                <w:sz w:val="22"/>
                <w:szCs w:val="22"/>
                <w:color w:val="auto"/>
              </w:rPr>
            </w:pPr>
          </w:p>
        </w:tc>
        <w:tc>
          <w:tcPr>
            <w:tcW w:w="20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Title:</w:t>
            </w: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9139"/>
          </w:cols>
          <w:pgMar w:left="1320" w:top="1022" w:right="1440" w:bottom="1440" w:gutter="0" w:footer="0" w:header="0"/>
        </w:sectPr>
      </w:pPr>
    </w:p>
    <w:bookmarkStart w:id="3" w:name="page4"/>
    <w:bookmarkEnd w:id="3"/>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Carlyle Appoints Kate Heinzelman as General Counsel</w:t>
      </w:r>
    </w:p>
    <w:p>
      <w:pPr>
        <w:spacing w:after="0" w:line="25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Washington, D.C. and New York, NY, June 1, 2026 – </w:t>
      </w:r>
      <w:r>
        <w:rPr>
          <w:rFonts w:ascii="Times New Roman" w:cs="Times New Roman" w:eastAsia="Times New Roman" w:hAnsi="Times New Roman"/>
          <w:sz w:val="20"/>
          <w:szCs w:val="20"/>
          <w:color w:val="auto"/>
        </w:rPr>
        <w:t>Global investment firm Carlyle (NASDAQ: CG) today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announced that Kate Heinzelman will join the firm as General Counsel effective June 29, 2026. Heinzelman will report directly to Chief Executive Officer Harvey Schwartz and will oversee Carlyle’s global legal and compliance organization.</w:t>
      </w:r>
    </w:p>
    <w:p>
      <w:pPr>
        <w:spacing w:after="0" w:line="19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Heinzelman is an accomplished legal and strategic advisor with experience in both the public and private sectors. From 2022 to 2025, she served as General Counsel of the Central Intelligence Agency, where she was the agency’s chief legal officer. Prior to the CIA, Heinzelman served as Chief Counselor to the U.S. Attorney General at the Department of Justice and held senior roles in government and private practice, including as Partner at Sidley Austin LLP, Deputy General Counsel at the U.S. Department of Health &amp; Human Services and Associate Counsel to the President in the White House Counsel’s Office.</w:t>
      </w:r>
    </w:p>
    <w:p>
      <w:pPr>
        <w:spacing w:after="0" w:line="20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Harvey Schwartz, Chief Executive Officer of Carlyle, said, “Kate is a world-class legal leader whose work at senior levels of government, breadth of experience, and ability to advise through highly complex, mission-critical situations make her exceptionally well suited for this role. She brings extraordinary judgment, leadership and strategic perspective, and she will be an outstanding partner to our leadership team as we continue to drive long-term growth.”</w:t>
      </w:r>
    </w:p>
    <w:p>
      <w:pPr>
        <w:spacing w:after="0" w:line="219"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Kate Heinzelman said, “I’m honored to join Carlyle and excited to partner with the firm’s exceptional leadership and talented teams around the world. Carlyle has built a leading global platform with a strong culture and reputation, and I look forward to helping the firm navigate the dynamic legal and regulatory landscape while supporting its continued growth and evolution.”</w:t>
      </w:r>
    </w:p>
    <w:p>
      <w:pPr>
        <w:spacing w:after="0" w:line="214" w:lineRule="exact"/>
        <w:rPr>
          <w:sz w:val="20"/>
          <w:szCs w:val="20"/>
          <w:color w:val="auto"/>
        </w:rPr>
      </w:pPr>
    </w:p>
    <w:p>
      <w:pPr>
        <w:jc w:val="both"/>
        <w:ind w:right="820"/>
        <w:spacing w:after="0" w:line="261" w:lineRule="auto"/>
        <w:rPr>
          <w:sz w:val="20"/>
          <w:szCs w:val="20"/>
          <w:color w:val="auto"/>
        </w:rPr>
      </w:pPr>
      <w:r>
        <w:rPr>
          <w:rFonts w:ascii="Times New Roman" w:cs="Times New Roman" w:eastAsia="Times New Roman" w:hAnsi="Times New Roman"/>
          <w:sz w:val="20"/>
          <w:szCs w:val="20"/>
          <w:color w:val="auto"/>
        </w:rPr>
        <w:t>As previously announced, Jeffrey Ferguson, who has served as Carlyle’s General Counsel since 1999, will transition to a Senior Advisor role effective June 29, 2026. As a Senior Advisor, Ferguson will support the leadership transition and continue advising the firm on strategic matters.</w:t>
      </w:r>
    </w:p>
    <w:p>
      <w:pPr>
        <w:spacing w:after="0" w:line="19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color w:val="auto"/>
        </w:rPr>
        <w:t>Schwartz continued, “Jeff has played a defining role in shaping Carlyle’s legal, governance and compliance framework over more than 25 years. We are grateful for his leadership and many contributions to the firm, and we look forward to continuing to work closely with him during this transition.”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Kate Heinzelman</w:t>
      </w:r>
    </w:p>
    <w:p>
      <w:pPr>
        <w:spacing w:after="0" w:line="274"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Kate Heinzelman will join Carlyle as General Counsel effective June 29, 2026, and will be based in Washington, D.C.</w:t>
      </w:r>
    </w:p>
    <w:p>
      <w:pPr>
        <w:spacing w:after="0" w:line="186" w:lineRule="exact"/>
        <w:rPr>
          <w:sz w:val="20"/>
          <w:szCs w:val="20"/>
          <w:color w:val="auto"/>
        </w:rPr>
      </w:pPr>
    </w:p>
    <w:p>
      <w:pPr>
        <w:ind w:right="180"/>
        <w:spacing w:after="0" w:line="310" w:lineRule="auto"/>
        <w:rPr>
          <w:sz w:val="20"/>
          <w:szCs w:val="20"/>
          <w:color w:val="auto"/>
        </w:rPr>
      </w:pPr>
      <w:r>
        <w:rPr>
          <w:rFonts w:ascii="Times New Roman" w:cs="Times New Roman" w:eastAsia="Times New Roman" w:hAnsi="Times New Roman"/>
          <w:sz w:val="19"/>
          <w:szCs w:val="19"/>
          <w:color w:val="auto"/>
        </w:rPr>
        <w:t>Heinzelman served as General Counsel of the Central Intelligence Agency from July 2022 to January 2025, where she oversaw legal advice across Agency operations, advised senior leadership, and managed the legal workforce.</w:t>
      </w:r>
    </w:p>
    <w:p>
      <w:pPr>
        <w:spacing w:after="0" w:line="1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Prior to the CIA, Heinzelman served as Chief Counselor to the U.S. Attorney General at the Department of Justice and previously held senior roles in government and private practice, including as Partner at Sidley Austin LLP, Deputy General Counsel at the U.S. Department of Health &amp; Human Services and Associate Counsel to the President in the White House Counsel’s Office.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She has also served as a visiting lecturer at both Harvard Law School and Yale Law School.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Heinzelman received her J.D. from Yale Law School and her B.A., summa cum laude, from Yale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Carlyle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Carlyle (NASDAQ: CG) is a global investment firm with deep industry expertise that deploys private capital across</w:t>
      </w:r>
    </w:p>
    <w:p>
      <w:pPr>
        <w:spacing w:after="0" w:line="40"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9"/>
          <w:szCs w:val="19"/>
          <w:color w:val="auto"/>
        </w:rPr>
        <w:t>three business segments: Global Private Equity, Global Credit, and Carlyle AlpInvest. With $475 billion of assets under management as of March 31, 2026, Carlyle’s purpose is to invest wisely and create value on behalf of its investors, portfolio companies, and the communities in which we live and invest. Carlyle employs more than 2,500</w:t>
      </w:r>
    </w:p>
    <w:p>
      <w:pPr>
        <w:sectPr>
          <w:pgSz w:w="11900" w:h="16951" w:orient="portrait"/>
          <w:cols w:equalWidth="0" w:num="1">
            <w:col w:w="9240"/>
          </w:cols>
          <w:pgMar w:left="1320" w:top="842" w:right="1339" w:bottom="0" w:gutter="0" w:footer="0" w:header="0"/>
        </w:sectPr>
      </w:pPr>
    </w:p>
    <w:bookmarkStart w:id="4" w:name="page5"/>
    <w:bookmarkEnd w:id="4"/>
    <w:p>
      <w:pPr>
        <w:ind w:right="100"/>
        <w:spacing w:after="0" w:line="269" w:lineRule="auto"/>
        <w:rPr>
          <w:sz w:val="20"/>
          <w:szCs w:val="20"/>
          <w:color w:val="auto"/>
        </w:rPr>
      </w:pPr>
      <w:r>
        <w:rPr>
          <w:rFonts w:ascii="Times New Roman" w:cs="Times New Roman" w:eastAsia="Times New Roman" w:hAnsi="Times New Roman"/>
          <w:sz w:val="20"/>
          <w:szCs w:val="20"/>
          <w:color w:val="auto"/>
        </w:rPr>
        <w:t>people in 28 offices across four continents. Further information is available at www.carlyle.com. Follow Carlyle on X @OneCarlyle and LinkedIn at The Carlyle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-320675</wp:posOffset>
            </wp:positionV>
            <wp:extent cx="7132320" cy="7700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770001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Brittany Bensaull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(212) 813-4839</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brittany.bensaull@carlyle.com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Public Investor Relations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Daniel Harris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(212) 813-4527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daniel.harris@carlyle.com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181F38"/>
        </w:rPr>
        <w:t>This press release may contain forward-looking statements within the meaning of Section 27A of the Securities Act of 1933, as amended, and Section 21E of the Securities Exchange Act of 1934, as amended. These statements include, but are not limited to, statements related to our expectations, estimates, beliefs, projections, future plans and strategies, anticipated events or trends, and similar expressions and statements that are not historical facts, including our expectations regarding the performance of our business, our financial results, our liquidity and capital resources, contingencies, and our dividend policy.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uncertainties, and assumptions. Accordingly, there are or will be important factors that could cause actual outcomes or results to differ materially from those indicated in these statements including, but not limited to, those described in this press release and under the section entitled “Risk Factors” in our Annual Report on Form 10-K for the year ended December 31, 2025, filed with the U.S. Securities and Exchange Commission (“SEC”) on February 27, 2026, as such factors may be updated from time to time in our periodic filings with the SEC, which are accessible on the SEC’s website at www.sec.gov. These factors should not be construed as exhaustive and should be read in conjunction with the other cautionary statements that are included in this press release and in our other periodic filings with the SEC. We undertake no obligation to publicly update or review any forward-looking statements, whether as a result of new information, future developments, or otherwise, except as required by applicable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81F38"/>
        </w:rPr>
        <w:t>This press release does not constitute an offer for any Carlyle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 2</w:t>
      </w:r>
    </w:p>
    <w:sectPr>
      <w:pgSz w:w="11900" w:h="16838" w:orient="portrait"/>
      <w:cols w:equalWidth="0" w:num="1">
        <w:col w:w="9240"/>
      </w:cols>
      <w:pgMar w:left="1320" w:top="130"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2026-06-01T07:03:20Z</dcterms:created>
  <dcterms:modified xsi:type="dcterms:W3CDTF">2026-06-01T07:03:20Z</dcterms:modified>
</cp:coreProperties>
</file>