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Carlyle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25,084,207.00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26,522,385.00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26,522,385.00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Carlyle Group,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1001 Pennsylvania Avenue, N.W. Washington DC 20004</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26522385</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7.4  %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25084207</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26522385</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Carlyle Group, Inc.. No one person's interest in the common stock of Carlyle Group, Inc.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France SAS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(Luxembourg) S.A.</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Asset Management North Asia Limited</w:t>
      </w:r>
    </w:p>
    <w:p>
      <w:pPr>
        <w:pStyle w:val="PreformattedText"/>
        <w:bidi w:val="0"/>
        <w:spacing w:before="0" w:after="0"/>
        <w:jc w:val="left"/>
        <w:rPr/>
      </w:pPr>
      <w:r>
        <w:rPr/>
        <w:t xml:space="preserve"> </w:t>
      </w:r>
      <w:r>
        <w:rPr/>
        <w:t>BlackRock (Singapore)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1334</Words>
  <Characters>7096</Characters>
  <CharactersWithSpaces>8344</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