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UNITED STATES</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ind w:left="600" w:hanging="546"/>
        <w:spacing w:after="0" w:line="189" w:lineRule="auto"/>
        <w:tabs>
          <w:tab w:leader="none" w:pos="60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5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OR</w:t>
      </w:r>
    </w:p>
    <w:p>
      <w:pPr>
        <w:ind w:left="600" w:hanging="546"/>
        <w:spacing w:after="0" w:line="210" w:lineRule="auto"/>
        <w:tabs>
          <w:tab w:leader="none" w:pos="600"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37" w:lineRule="exact"/>
        <w:rPr>
          <w:sz w:val="24"/>
          <w:szCs w:val="24"/>
          <w:color w:val="auto"/>
        </w:rPr>
      </w:pPr>
    </w:p>
    <w:tbl>
      <w:tblPr>
        <w:tblLayout w:type="fixed"/>
        <w:tblInd w:w="1580" w:type="dxa"/>
        <w:tblCellMar>
          <w:top w:w="0" w:type="dxa"/>
          <w:left w:w="0" w:type="dxa"/>
          <w:bottom w:w="0" w:type="dxa"/>
          <w:right w:w="0" w:type="dxa"/>
        </w:tblCellMar>
      </w:tblPr>
      <w:tr>
        <w:trPr>
          <w:trHeight w:val="216"/>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2"/>
              </w:rPr>
              <w:t>TO</w:t>
            </w:r>
          </w:p>
        </w:tc>
      </w:tr>
      <w:tr>
        <w:trPr>
          <w:trHeight w:val="238"/>
        </w:trPr>
        <w:tc>
          <w:tcPr>
            <w:tcW w:w="4260" w:type="dxa"/>
            <w:vAlign w:val="bottom"/>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Commission File Number: 001-35538</w:t>
            </w:r>
          </w:p>
        </w:tc>
        <w:tc>
          <w:tcPr>
            <w:tcW w:w="320" w:type="dxa"/>
            <w:vAlign w:val="bottom"/>
          </w:tcPr>
          <w:p>
            <w:pPr>
              <w:spacing w:after="0"/>
              <w:rPr>
                <w:sz w:val="20"/>
                <w:szCs w:val="20"/>
                <w:color w:val="auto"/>
              </w:rPr>
            </w:pPr>
          </w:p>
        </w:tc>
      </w:tr>
      <w:tr>
        <w:trPr>
          <w:trHeight w:val="135"/>
        </w:trPr>
        <w:tc>
          <w:tcPr>
            <w:tcW w:w="1600" w:type="dxa"/>
            <w:vAlign w:val="bottom"/>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r>
    </w:tbl>
    <w:p>
      <w:pPr>
        <w:spacing w:after="0" w:line="200" w:lineRule="exact"/>
        <w:rPr>
          <w:sz w:val="24"/>
          <w:szCs w:val="24"/>
          <w:color w:val="auto"/>
        </w:rPr>
      </w:pPr>
    </w:p>
    <w:p>
      <w:pPr>
        <w:spacing w:after="0" w:line="356"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29"/>
          <w:szCs w:val="29"/>
          <w:b w:val="1"/>
          <w:bCs w:val="1"/>
          <w:color w:val="auto"/>
        </w:rPr>
        <w:t>The Carlyle Group Inc.</w:t>
      </w:r>
    </w:p>
    <w:p>
      <w:pPr>
        <w:spacing w:after="0" w:line="53"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62"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2660" w:type="dxa"/>
            <w:vAlign w:val="bottom"/>
          </w:tcPr>
          <w:p>
            <w:pPr>
              <w:jc w:val="center"/>
              <w:ind w:left="184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40" w:type="dxa"/>
            <w:vAlign w:val="bottom"/>
          </w:tcPr>
          <w:p>
            <w:pPr>
              <w:jc w:val="center"/>
              <w:ind w:right="1024"/>
              <w:spacing w:after="0"/>
              <w:rPr>
                <w:sz w:val="20"/>
                <w:szCs w:val="20"/>
                <w:color w:val="auto"/>
              </w:rPr>
            </w:pPr>
            <w:r>
              <w:rPr>
                <w:rFonts w:ascii="Times New Roman" w:cs="Times New Roman" w:eastAsia="Times New Roman" w:hAnsi="Times New Roman"/>
                <w:sz w:val="16"/>
                <w:szCs w:val="16"/>
                <w:b w:val="1"/>
                <w:bCs w:val="1"/>
                <w:color w:val="auto"/>
              </w:rPr>
              <w:t>45-2832612</w:t>
            </w:r>
          </w:p>
        </w:tc>
        <w:tc>
          <w:tcPr>
            <w:tcW w:w="0" w:type="dxa"/>
            <w:vAlign w:val="bottom"/>
          </w:tcPr>
          <w:p>
            <w:pPr>
              <w:spacing w:after="0"/>
              <w:rPr>
                <w:sz w:val="1"/>
                <w:szCs w:val="1"/>
                <w:color w:val="auto"/>
              </w:rPr>
            </w:pPr>
          </w:p>
        </w:tc>
      </w:tr>
      <w:tr>
        <w:trPr>
          <w:trHeight w:val="164"/>
        </w:trPr>
        <w:tc>
          <w:tcPr>
            <w:tcW w:w="3320" w:type="dxa"/>
            <w:vAlign w:val="bottom"/>
            <w:gridSpan w:val="3"/>
          </w:tcPr>
          <w:p>
            <w:pPr>
              <w:jc w:val="center"/>
              <w:ind w:left="1185"/>
              <w:spacing w:after="0" w:line="165" w:lineRule="exact"/>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40" w:type="dxa"/>
            <w:vAlign w:val="bottom"/>
          </w:tcPr>
          <w:p>
            <w:pPr>
              <w:jc w:val="center"/>
              <w:ind w:right="1024"/>
              <w:spacing w:after="0" w:line="165" w:lineRule="exact"/>
              <w:rPr>
                <w:sz w:val="20"/>
                <w:szCs w:val="20"/>
                <w:color w:val="auto"/>
              </w:rPr>
            </w:pPr>
            <w:r>
              <w:rPr>
                <w:rFonts w:ascii="Times New Roman" w:cs="Times New Roman" w:eastAsia="Times New Roman" w:hAnsi="Times New Roman"/>
                <w:sz w:val="16"/>
                <w:szCs w:val="16"/>
                <w:b w:val="1"/>
                <w:bCs w:val="1"/>
                <w:color w:val="auto"/>
              </w:rPr>
              <w:t>(I.R.S. Employer</w:t>
            </w:r>
          </w:p>
        </w:tc>
        <w:tc>
          <w:tcPr>
            <w:tcW w:w="0" w:type="dxa"/>
            <w:vAlign w:val="bottom"/>
          </w:tcPr>
          <w:p>
            <w:pPr>
              <w:spacing w:after="0"/>
              <w:rPr>
                <w:sz w:val="1"/>
                <w:szCs w:val="1"/>
                <w:color w:val="auto"/>
              </w:rPr>
            </w:pPr>
          </w:p>
        </w:tc>
      </w:tr>
      <w:tr>
        <w:trPr>
          <w:trHeight w:val="212"/>
        </w:trPr>
        <w:tc>
          <w:tcPr>
            <w:tcW w:w="5960" w:type="dxa"/>
            <w:vAlign w:val="bottom"/>
            <w:gridSpan w:val="5"/>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240" w:type="dxa"/>
            <w:vAlign w:val="bottom"/>
          </w:tcPr>
          <w:p>
            <w:pPr>
              <w:jc w:val="center"/>
              <w:ind w:right="1024"/>
              <w:spacing w:after="0"/>
              <w:rPr>
                <w:sz w:val="20"/>
                <w:szCs w:val="20"/>
                <w:color w:val="auto"/>
              </w:rPr>
            </w:pPr>
            <w:r>
              <w:rPr>
                <w:rFonts w:ascii="Times New Roman" w:cs="Times New Roman" w:eastAsia="Times New Roman" w:hAnsi="Times New Roman"/>
                <w:sz w:val="16"/>
                <w:szCs w:val="16"/>
                <w:b w:val="1"/>
                <w:bCs w:val="1"/>
                <w:color w:val="auto"/>
              </w:rPr>
              <w:t>Identification No.)</w:t>
            </w:r>
          </w:p>
        </w:tc>
        <w:tc>
          <w:tcPr>
            <w:tcW w:w="0" w:type="dxa"/>
            <w:vAlign w:val="bottom"/>
          </w:tcPr>
          <w:p>
            <w:pPr>
              <w:spacing w:after="0"/>
              <w:rPr>
                <w:sz w:val="1"/>
                <w:szCs w:val="1"/>
                <w:color w:val="auto"/>
              </w:rPr>
            </w:pPr>
          </w:p>
        </w:tc>
      </w:tr>
      <w:tr>
        <w:trPr>
          <w:trHeight w:val="244"/>
        </w:trPr>
        <w:tc>
          <w:tcPr>
            <w:tcW w:w="2660" w:type="dxa"/>
            <w:vAlign w:val="bottom"/>
          </w:tcPr>
          <w:p>
            <w:pPr>
              <w:spacing w:after="0"/>
              <w:rPr>
                <w:sz w:val="21"/>
                <w:szCs w:val="21"/>
                <w:color w:val="auto"/>
              </w:rPr>
            </w:pPr>
          </w:p>
        </w:tc>
        <w:tc>
          <w:tcPr>
            <w:tcW w:w="33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1001 Pennsylvania Avenue, NW</w:t>
            </w:r>
          </w:p>
        </w:tc>
        <w:tc>
          <w:tcPr>
            <w:tcW w:w="3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40" w:type="dxa"/>
            <w:vAlign w:val="bottom"/>
            <w:gridSpan w:val="2"/>
          </w:tcPr>
          <w:p>
            <w:pPr>
              <w:jc w:val="center"/>
              <w:ind w:right="600"/>
              <w:spacing w:after="0" w:line="180" w:lineRule="exact"/>
              <w:rPr>
                <w:sz w:val="20"/>
                <w:szCs w:val="20"/>
                <w:color w:val="auto"/>
              </w:rPr>
            </w:pPr>
            <w:r>
              <w:rPr>
                <w:rFonts w:ascii="Times New Roman" w:cs="Times New Roman" w:eastAsia="Times New Roman" w:hAnsi="Times New Roman"/>
                <w:sz w:val="16"/>
                <w:szCs w:val="16"/>
                <w:b w:val="1"/>
                <w:bCs w:val="1"/>
                <w:color w:val="auto"/>
              </w:rPr>
              <w:t>Washington, DC, 20004-2505</w:t>
            </w:r>
          </w:p>
        </w:tc>
        <w:tc>
          <w:tcPr>
            <w:tcW w:w="3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660" w:type="dxa"/>
            <w:vAlign w:val="bottom"/>
          </w:tcPr>
          <w:p>
            <w:pPr>
              <w:spacing w:after="0"/>
              <w:rPr>
                <w:sz w:val="16"/>
                <w:szCs w:val="16"/>
                <w:color w:val="auto"/>
              </w:rPr>
            </w:pPr>
          </w:p>
        </w:tc>
        <w:tc>
          <w:tcPr>
            <w:tcW w:w="3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 729-5626</w:t>
            </w:r>
          </w:p>
        </w:tc>
        <w:tc>
          <w:tcPr>
            <w:tcW w:w="5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660" w:type="dxa"/>
            <w:vAlign w:val="bottom"/>
          </w:tcPr>
          <w:p>
            <w:pPr>
              <w:spacing w:after="0"/>
              <w:rPr>
                <w:sz w:val="16"/>
                <w:szCs w:val="16"/>
                <w:color w:val="auto"/>
              </w:rPr>
            </w:pPr>
          </w:p>
        </w:tc>
        <w:tc>
          <w:tcPr>
            <w:tcW w:w="3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9200" w:type="dxa"/>
            <w:vAlign w:val="bottom"/>
            <w:gridSpan w:val="6"/>
          </w:tcPr>
          <w:p>
            <w:pPr>
              <w:jc w:val="center"/>
              <w:ind w:right="464"/>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243"/>
        </w:trPr>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6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660" w:type="dxa"/>
            <w:vAlign w:val="bottom"/>
            <w:tcBorders>
              <w:left w:val="single" w:sz="8" w:color="auto"/>
              <w:bottom w:val="single" w:sz="8" w:color="auto"/>
            </w:tcBorders>
          </w:tcPr>
          <w:p>
            <w:pPr>
              <w:jc w:val="center"/>
              <w:ind w:left="54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4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40" w:type="dxa"/>
            <w:vAlign w:val="bottom"/>
            <w:tcBorders>
              <w:bottom w:val="single" w:sz="8" w:color="auto"/>
            </w:tcBorders>
          </w:tcPr>
          <w:p>
            <w:pPr>
              <w:spacing w:after="0"/>
              <w:rPr>
                <w:sz w:val="15"/>
                <w:szCs w:val="15"/>
                <w:color w:val="auto"/>
              </w:rPr>
            </w:pPr>
          </w:p>
        </w:tc>
        <w:tc>
          <w:tcPr>
            <w:tcW w:w="3240" w:type="dxa"/>
            <w:vAlign w:val="bottom"/>
            <w:tcBorders>
              <w:bottom w:val="single" w:sz="8" w:color="auto"/>
              <w:right w:val="single" w:sz="8" w:color="auto"/>
            </w:tcBorders>
          </w:tcPr>
          <w:p>
            <w:pPr>
              <w:jc w:val="center"/>
              <w:ind w:right="50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3"/>
        </w:trPr>
        <w:tc>
          <w:tcPr>
            <w:tcW w:w="2660" w:type="dxa"/>
            <w:vAlign w:val="bottom"/>
            <w:tcBorders>
              <w:left w:val="single" w:sz="8" w:color="auto"/>
              <w:bottom w:val="single" w:sz="8" w:color="auto"/>
            </w:tcBorders>
          </w:tcPr>
          <w:p>
            <w:pPr>
              <w:jc w:val="center"/>
              <w:ind w:left="565"/>
              <w:spacing w:after="0"/>
              <w:rPr>
                <w:sz w:val="20"/>
                <w:szCs w:val="20"/>
                <w:color w:val="auto"/>
              </w:rPr>
            </w:pPr>
            <w:r>
              <w:rPr>
                <w:rFonts w:ascii="Times New Roman" w:cs="Times New Roman" w:eastAsia="Times New Roman" w:hAnsi="Times New Roman"/>
                <w:sz w:val="14"/>
                <w:szCs w:val="14"/>
                <w:color w:val="auto"/>
              </w:rPr>
              <w:t>Common Stock</w:t>
            </w:r>
          </w:p>
        </w:tc>
        <w:tc>
          <w:tcPr>
            <w:tcW w:w="64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CG</w:t>
            </w:r>
          </w:p>
        </w:tc>
        <w:tc>
          <w:tcPr>
            <w:tcW w:w="540" w:type="dxa"/>
            <w:vAlign w:val="bottom"/>
            <w:tcBorders>
              <w:bottom w:val="single" w:sz="8" w:color="auto"/>
            </w:tcBorders>
          </w:tcPr>
          <w:p>
            <w:pPr>
              <w:spacing w:after="0"/>
              <w:rPr>
                <w:sz w:val="15"/>
                <w:szCs w:val="15"/>
                <w:color w:val="auto"/>
              </w:rPr>
            </w:pPr>
          </w:p>
        </w:tc>
        <w:tc>
          <w:tcPr>
            <w:tcW w:w="3240" w:type="dxa"/>
            <w:vAlign w:val="bottom"/>
            <w:tcBorders>
              <w:bottom w:val="single" w:sz="8" w:color="auto"/>
              <w:right w:val="single" w:sz="8" w:color="auto"/>
            </w:tcBorders>
          </w:tcPr>
          <w:p>
            <w:pPr>
              <w:jc w:val="center"/>
              <w:ind w:right="484"/>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60"/>
        </w:trPr>
        <w:tc>
          <w:tcPr>
            <w:tcW w:w="3300" w:type="dxa"/>
            <w:vAlign w:val="bottom"/>
            <w:tcBorders>
              <w:left w:val="single" w:sz="8" w:color="auto"/>
              <w:right w:val="single" w:sz="8" w:color="auto"/>
            </w:tcBorders>
            <w:gridSpan w:val="2"/>
          </w:tcPr>
          <w:p>
            <w:pPr>
              <w:jc w:val="center"/>
              <w:spacing w:after="0" w:line="160" w:lineRule="exact"/>
              <w:rPr>
                <w:sz w:val="20"/>
                <w:szCs w:val="20"/>
                <w:color w:val="auto"/>
              </w:rPr>
            </w:pPr>
            <w:r>
              <w:rPr>
                <w:rFonts w:ascii="Times New Roman" w:cs="Times New Roman" w:eastAsia="Times New Roman" w:hAnsi="Times New Roman"/>
                <w:sz w:val="14"/>
                <w:szCs w:val="14"/>
                <w:color w:val="auto"/>
              </w:rPr>
              <w:t>4.625% Subordinated Notes due 2061 of Carlyle</w:t>
            </w:r>
          </w:p>
        </w:tc>
        <w:tc>
          <w:tcPr>
            <w:tcW w:w="20" w:type="dxa"/>
            <w:vAlign w:val="bottom"/>
          </w:tcPr>
          <w:p>
            <w:pPr>
              <w:spacing w:after="0"/>
              <w:rPr>
                <w:sz w:val="13"/>
                <w:szCs w:val="13"/>
                <w:color w:val="auto"/>
              </w:rPr>
            </w:pPr>
          </w:p>
        </w:tc>
        <w:tc>
          <w:tcPr>
            <w:tcW w:w="2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CGABL</w:t>
            </w:r>
          </w:p>
        </w:tc>
        <w:tc>
          <w:tcPr>
            <w:tcW w:w="540" w:type="dxa"/>
            <w:vAlign w:val="bottom"/>
          </w:tcPr>
          <w:p>
            <w:pPr>
              <w:spacing w:after="0"/>
              <w:rPr>
                <w:sz w:val="13"/>
                <w:szCs w:val="13"/>
                <w:color w:val="auto"/>
              </w:rPr>
            </w:pPr>
          </w:p>
        </w:tc>
        <w:tc>
          <w:tcPr>
            <w:tcW w:w="3240" w:type="dxa"/>
            <w:vAlign w:val="bottom"/>
            <w:tcBorders>
              <w:right w:val="single" w:sz="8" w:color="auto"/>
            </w:tcBorders>
            <w:vMerge w:val="restart"/>
          </w:tcPr>
          <w:p>
            <w:pPr>
              <w:jc w:val="center"/>
              <w:ind w:right="484"/>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07"/>
        </w:trPr>
        <w:tc>
          <w:tcPr>
            <w:tcW w:w="2660" w:type="dxa"/>
            <w:vAlign w:val="bottom"/>
            <w:tcBorders>
              <w:left w:val="single" w:sz="8" w:color="auto"/>
            </w:tcBorders>
            <w:vMerge w:val="restart"/>
          </w:tcPr>
          <w:p>
            <w:pPr>
              <w:jc w:val="center"/>
              <w:ind w:left="565"/>
              <w:spacing w:after="0"/>
              <w:rPr>
                <w:sz w:val="20"/>
                <w:szCs w:val="20"/>
                <w:color w:val="auto"/>
              </w:rPr>
            </w:pPr>
            <w:r>
              <w:rPr>
                <w:rFonts w:ascii="Times New Roman" w:cs="Times New Roman" w:eastAsia="Times New Roman" w:hAnsi="Times New Roman"/>
                <w:sz w:val="14"/>
                <w:szCs w:val="14"/>
                <w:color w:val="auto"/>
              </w:rPr>
              <w:t>Finance L.L.C.</w:t>
            </w:r>
          </w:p>
        </w:tc>
        <w:tc>
          <w:tcPr>
            <w:tcW w:w="6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Borders>
              <w:right w:val="single" w:sz="8" w:color="auto"/>
            </w:tcBorders>
            <w:vMerge w:val="continue"/>
          </w:tcPr>
          <w:p>
            <w:pPr>
              <w:spacing w:after="0"/>
              <w:rPr>
                <w:sz w:val="9"/>
                <w:szCs w:val="9"/>
                <w:color w:val="auto"/>
              </w:rPr>
            </w:pPr>
          </w:p>
        </w:tc>
        <w:tc>
          <w:tcPr>
            <w:tcW w:w="540" w:type="dxa"/>
            <w:vAlign w:val="bottom"/>
          </w:tcPr>
          <w:p>
            <w:pPr>
              <w:spacing w:after="0"/>
              <w:rPr>
                <w:sz w:val="9"/>
                <w:szCs w:val="9"/>
                <w:color w:val="auto"/>
              </w:rPr>
            </w:pPr>
          </w:p>
        </w:tc>
        <w:tc>
          <w:tcPr>
            <w:tcW w:w="3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660" w:type="dxa"/>
            <w:vAlign w:val="bottom"/>
            <w:tcBorders>
              <w:left w:val="single" w:sz="8" w:color="auto"/>
              <w:bottom w:val="single" w:sz="8" w:color="auto"/>
            </w:tcBorders>
            <w:vMerge w:val="continue"/>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2, 2024, there were 359,880,497 shares of common stock of the registrant outstanding.</w:t>
      </w:r>
    </w:p>
    <w:p>
      <w:pPr>
        <w:spacing w:after="0" w:line="69" w:lineRule="exact"/>
        <w:rPr>
          <w:sz w:val="24"/>
          <w:szCs w:val="24"/>
          <w:color w:val="auto"/>
        </w:rPr>
      </w:pPr>
    </w:p>
    <w:p>
      <w:pPr>
        <w:jc w:val="both"/>
        <w:spacing w:after="0" w:line="18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 w:lineRule="exact"/>
        <w:rPr>
          <w:sz w:val="24"/>
          <w:szCs w:val="24"/>
          <w:color w:val="auto"/>
        </w:rPr>
      </w:pPr>
    </w:p>
    <w:p>
      <w:pPr>
        <w:ind w:right="500"/>
        <w:spacing w:after="0" w:line="19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27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 w:lineRule="exact"/>
        <w:rPr>
          <w:sz w:val="24"/>
          <w:szCs w:val="24"/>
          <w:color w:val="auto"/>
        </w:rPr>
      </w:pPr>
    </w:p>
    <w:tbl>
      <w:tblPr>
        <w:tblLayout w:type="fixed"/>
        <w:tblInd w:w="60" w:type="dxa"/>
        <w:tblCellMar>
          <w:top w:w="0" w:type="dxa"/>
          <w:left w:w="0" w:type="dxa"/>
          <w:bottom w:w="0" w:type="dxa"/>
          <w:right w:w="0" w:type="dxa"/>
        </w:tblCellMar>
      </w:tblPr>
      <w:tr>
        <w:trPr>
          <w:trHeight w:val="270"/>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120" w:type="dxa"/>
            <w:vAlign w:val="bottom"/>
          </w:tcPr>
          <w:p>
            <w:pPr>
              <w:ind w:left="2100"/>
              <w:spacing w:after="0"/>
              <w:rPr>
                <w:sz w:val="20"/>
                <w:szCs w:val="20"/>
                <w:color w:val="auto"/>
              </w:rPr>
            </w:pPr>
            <w:r>
              <w:rPr>
                <w:rFonts w:ascii="Times New Roman" w:cs="Times New Roman" w:eastAsia="Times New Roman" w:hAnsi="Times New Roman"/>
                <w:sz w:val="14"/>
                <w:szCs w:val="14"/>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1" w:lineRule="exact"/>
        <w:rPr>
          <w:sz w:val="24"/>
          <w:szCs w:val="24"/>
          <w:color w:val="auto"/>
        </w:rPr>
      </w:pPr>
    </w:p>
    <w:p>
      <w:pPr>
        <w:ind w:right="18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96" w:lineRule="exact"/>
        <w:tabs>
          <w:tab w:leader="none" w:pos="6660" w:val="left"/>
          <w:tab w:leader="none" w:pos="7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-571500</wp:posOffset>
            </wp:positionH>
            <wp:positionV relativeFrom="paragraph">
              <wp:posOffset>946150</wp:posOffset>
            </wp:positionV>
            <wp:extent cx="7016115" cy="127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1276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4"/>
          <w:szCs w:val="24"/>
          <w:color w:val="auto"/>
        </w:rPr>
      </w:pPr>
    </w:p>
    <w:p>
      <w:pPr>
        <w:spacing w:after="0" w:line="228" w:lineRule="exact"/>
        <w:rPr>
          <w:sz w:val="24"/>
          <w:szCs w:val="24"/>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0000FF"/>
        </w:rPr>
        <w:t>PART I – FINANCIAL INFORMATION</w:t>
      </w:r>
    </w:p>
    <w:p>
      <w:pPr>
        <w:sectPr>
          <w:pgSz w:w="11900" w:h="16838" w:orient="portrait"/>
          <w:cols w:equalWidth="0" w:num="1">
            <w:col w:w="9200"/>
          </w:cols>
          <w:pgMar w:left="1320" w:top="1184" w:right="1379" w:bottom="0" w:gutter="0" w:footer="0" w:header="0"/>
        </w:sectPr>
      </w:pPr>
    </w:p>
    <w:bookmarkStart w:id="1" w:name="page2"/>
    <w:bookmarkEnd w:id="1"/>
    <w:p>
      <w:pPr>
        <w:ind w:left="60"/>
        <w:spacing w:after="0"/>
        <w:tabs>
          <w:tab w:leader="none" w:pos="960" w:val="left"/>
          <w:tab w:leader="none" w:pos="906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u w:val="single" w:color="auto"/>
          <w:color w:val="0000FF"/>
        </w:rPr>
        <w:t>Financial Statements</w:t>
      </w:r>
      <w:r>
        <w:rPr>
          <w:sz w:val="20"/>
          <w:szCs w:val="20"/>
          <w:color w:val="auto"/>
        </w:rPr>
        <w:tab/>
      </w:r>
      <w:r>
        <w:rPr>
          <w:rFonts w:ascii="Times New Roman" w:cs="Times New Roman" w:eastAsia="Times New Roman" w:hAnsi="Times New Roman"/>
          <w:sz w:val="16"/>
          <w:szCs w:val="16"/>
          <w:u w:val="single" w:color="auto"/>
          <w:color w:val="0000F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-110490</wp:posOffset>
            </wp:positionV>
            <wp:extent cx="7016115" cy="7785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7785735"/>
                    </a:xfrm>
                    <a:prstGeom prst="rect">
                      <a:avLst/>
                    </a:prstGeom>
                    <a:noFill/>
                  </pic:spPr>
                </pic:pic>
              </a:graphicData>
            </a:graphic>
          </wp:anchor>
        </w:drawing>
      </w:r>
    </w:p>
    <w:p>
      <w:pPr>
        <w:spacing w:after="0" w:line="1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Unaudited Condensed Consolidated Financial Statements – March 31, 2024 and 2023:</w:t>
      </w:r>
    </w:p>
    <w:p>
      <w:pPr>
        <w:sectPr>
          <w:pgSz w:w="11900" w:h="16838" w:orient="portrait"/>
          <w:cols w:equalWidth="0" w:num="1">
            <w:col w:w="9220"/>
          </w:cols>
          <w:pgMar w:left="1320" w:top="108" w:right="1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Item 2.</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Item 3.</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Item 4.</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66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2024 and December 31, 2023</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20" w:type="dxa"/>
            <w:vAlign w:val="bottom"/>
          </w:tcPr>
          <w:p>
            <w:pPr>
              <w:spacing w:after="0"/>
              <w:rPr>
                <w:sz w:val="24"/>
                <w:szCs w:val="24"/>
                <w:color w:val="auto"/>
              </w:rPr>
            </w:pPr>
          </w:p>
        </w:tc>
        <w:tc>
          <w:tcPr>
            <w:tcW w:w="66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w:t>
            </w:r>
          </w:p>
        </w:tc>
        <w:tc>
          <w:tcPr>
            <w:tcW w:w="1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80" w:type="dxa"/>
            <w:vAlign w:val="bottom"/>
            <w:tcBorders>
              <w:top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2024 and 2023</w:t>
            </w:r>
          </w:p>
        </w:tc>
        <w:tc>
          <w:tcPr>
            <w:tcW w:w="5500" w:type="dxa"/>
            <w:vAlign w:val="bottom"/>
            <w:tcBorders>
              <w:top w:val="single" w:sz="8" w:color="0000FF"/>
            </w:tcBorders>
            <w:gridSpan w:val="9"/>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20" w:type="dxa"/>
            <w:vAlign w:val="bottom"/>
          </w:tcPr>
          <w:p>
            <w:pPr>
              <w:spacing w:after="0"/>
              <w:rPr>
                <w:sz w:val="24"/>
                <w:szCs w:val="24"/>
                <w:color w:val="auto"/>
              </w:rPr>
            </w:pPr>
          </w:p>
        </w:tc>
        <w:tc>
          <w:tcPr>
            <w:tcW w:w="66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Months</w:t>
            </w:r>
          </w:p>
        </w:tc>
        <w:tc>
          <w:tcPr>
            <w:tcW w:w="1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628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Ended March 31, 2024 and 2023</w:t>
            </w:r>
          </w:p>
        </w:tc>
        <w:tc>
          <w:tcPr>
            <w:tcW w:w="6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tcPr>
          <w:p>
            <w:pPr>
              <w:spacing w:after="0"/>
              <w:rPr>
                <w:sz w:val="24"/>
                <w:szCs w:val="24"/>
                <w:color w:val="auto"/>
              </w:rPr>
            </w:pPr>
          </w:p>
        </w:tc>
        <w:tc>
          <w:tcPr>
            <w:tcW w:w="66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for the Three Months Ended</w:t>
            </w:r>
          </w:p>
        </w:tc>
        <w:tc>
          <w:tcPr>
            <w:tcW w:w="1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634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March 31, 2024 and 2023</w:t>
            </w:r>
          </w:p>
        </w:tc>
        <w:tc>
          <w:tcPr>
            <w:tcW w:w="300" w:type="dxa"/>
            <w:vAlign w:val="bottom"/>
            <w:gridSpan w:val="2"/>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20" w:type="dxa"/>
            <w:vAlign w:val="bottom"/>
          </w:tcPr>
          <w:p>
            <w:pPr>
              <w:spacing w:after="0"/>
              <w:rPr>
                <w:sz w:val="24"/>
                <w:szCs w:val="24"/>
                <w:color w:val="auto"/>
              </w:rPr>
            </w:pPr>
          </w:p>
        </w:tc>
        <w:tc>
          <w:tcPr>
            <w:tcW w:w="66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w:t>
            </w:r>
          </w:p>
        </w:tc>
        <w:tc>
          <w:tcPr>
            <w:tcW w:w="1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0000FF"/>
                <w:w w:val="99"/>
              </w:rPr>
              <w:t>2024 and 2023</w:t>
            </w:r>
          </w:p>
        </w:tc>
        <w:tc>
          <w:tcPr>
            <w:tcW w:w="5560" w:type="dxa"/>
            <w:vAlign w:val="bottom"/>
            <w:gridSpan w:val="10"/>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20" w:type="dxa"/>
            <w:vAlign w:val="bottom"/>
          </w:tcPr>
          <w:p>
            <w:pPr>
              <w:spacing w:after="0"/>
              <w:rPr>
                <w:sz w:val="24"/>
                <w:szCs w:val="24"/>
                <w:color w:val="auto"/>
              </w:rPr>
            </w:pPr>
          </w:p>
        </w:tc>
        <w:tc>
          <w:tcPr>
            <w:tcW w:w="66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65</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00" w:type="dxa"/>
            <w:vAlign w:val="bottom"/>
            <w:gridSpan w:val="4"/>
          </w:tcPr>
          <w:p>
            <w:pPr>
              <w:spacing w:after="0"/>
              <w:rPr>
                <w:sz w:val="24"/>
                <w:szCs w:val="24"/>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118</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3"/>
          </w:tcPr>
          <w:p>
            <w:pPr>
              <w:spacing w:after="0"/>
              <w:rPr>
                <w:sz w:val="24"/>
                <w:szCs w:val="24"/>
                <w:color w:val="auto"/>
              </w:rPr>
            </w:pPr>
          </w:p>
        </w:tc>
        <w:tc>
          <w:tcPr>
            <w:tcW w:w="2600" w:type="dxa"/>
            <w:vAlign w:val="bottom"/>
            <w:gridSpan w:val="6"/>
          </w:tcPr>
          <w:p>
            <w:pPr>
              <w:spacing w:after="0"/>
              <w:rPr>
                <w:sz w:val="24"/>
                <w:szCs w:val="24"/>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118</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ectPr>
          <w:pgSz w:w="11900" w:h="16838" w:orient="portrait"/>
          <w:cols w:equalWidth="0" w:num="2">
            <w:col w:w="560" w:space="420"/>
            <w:col w:w="8240"/>
          </w:cols>
          <w:pgMar w:left="1320" w:top="108" w:right="1359" w:bottom="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28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598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580" w:type="dxa"/>
            <w:vAlign w:val="bottom"/>
            <w:gridSpan w:val="5"/>
          </w:tcPr>
          <w:p>
            <w:pPr>
              <w:spacing w:after="0"/>
              <w:rPr>
                <w:sz w:val="24"/>
                <w:szCs w:val="24"/>
                <w:color w:val="auto"/>
              </w:rPr>
            </w:pP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120</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000" w:type="dxa"/>
            <w:vAlign w:val="bottom"/>
            <w:gridSpan w:val="7"/>
          </w:tcPr>
          <w:p>
            <w:pPr>
              <w:spacing w:after="0"/>
              <w:rPr>
                <w:sz w:val="24"/>
                <w:szCs w:val="24"/>
                <w:color w:val="auto"/>
              </w:rPr>
            </w:pP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120</w:t>
            </w: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5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120</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3.</w:t>
            </w: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vMerge w:val="continue"/>
          </w:tcPr>
          <w:p>
            <w:pPr>
              <w:spacing w:after="0"/>
              <w:rPr>
                <w:sz w:val="24"/>
                <w:szCs w:val="24"/>
                <w:color w:val="auto"/>
              </w:rPr>
            </w:pPr>
          </w:p>
        </w:tc>
        <w:tc>
          <w:tcPr>
            <w:tcW w:w="79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120</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2"/>
          </w:tcPr>
          <w:p>
            <w:pPr>
              <w:spacing w:after="0"/>
              <w:rPr>
                <w:sz w:val="24"/>
                <w:szCs w:val="24"/>
                <w:color w:val="auto"/>
              </w:rPr>
            </w:pPr>
          </w:p>
        </w:tc>
        <w:tc>
          <w:tcPr>
            <w:tcW w:w="5600" w:type="dxa"/>
            <w:vAlign w:val="bottom"/>
            <w:gridSpan w:val="2"/>
          </w:tcPr>
          <w:p>
            <w:pPr>
              <w:spacing w:after="0"/>
              <w:rPr>
                <w:sz w:val="24"/>
                <w:szCs w:val="24"/>
                <w:color w:val="auto"/>
              </w:rPr>
            </w:pP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120</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6600" w:type="dxa"/>
            <w:vAlign w:val="bottom"/>
            <w:gridSpan w:val="6"/>
          </w:tcPr>
          <w:p>
            <w:pPr>
              <w:spacing w:after="0"/>
              <w:rPr>
                <w:sz w:val="24"/>
                <w:szCs w:val="24"/>
                <w:color w:val="auto"/>
              </w:rPr>
            </w:pP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121</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79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Exhibits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122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320" w:type="dxa"/>
            <w:vAlign w:val="bottom"/>
            <w:gridSpan w:val="8"/>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7740" w:type="dxa"/>
            <w:vAlign w:val="bottom"/>
            <w:gridSpan w:val="9"/>
            <w:vMerge w:val="restart"/>
          </w:tcPr>
          <w:p>
            <w:pPr>
              <w:spacing w:after="0"/>
              <w:rPr>
                <w:sz w:val="24"/>
                <w:szCs w:val="24"/>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123</w:t>
            </w:r>
          </w:p>
        </w:tc>
        <w:tc>
          <w:tcPr>
            <w:tcW w:w="0" w:type="dxa"/>
            <w:vAlign w:val="bottom"/>
          </w:tcPr>
          <w:p>
            <w:pPr>
              <w:spacing w:after="0"/>
              <w:rPr>
                <w:sz w:val="1"/>
                <w:szCs w:val="1"/>
                <w:color w:val="auto"/>
              </w:rPr>
            </w:pPr>
          </w:p>
        </w:tc>
      </w:tr>
      <w:tr>
        <w:trPr>
          <w:trHeight w:val="25"/>
        </w:trPr>
        <w:tc>
          <w:tcPr>
            <w:tcW w:w="1100" w:type="dxa"/>
            <w:vAlign w:val="bottom"/>
            <w:gridSpan w:val="2"/>
          </w:tcPr>
          <w:p>
            <w:pPr>
              <w:spacing w:after="0" w:line="20" w:lineRule="exact"/>
              <w:rPr>
                <w:sz w:val="1"/>
                <w:szCs w:val="1"/>
                <w:color w:val="auto"/>
              </w:rPr>
            </w:pPr>
          </w:p>
        </w:tc>
        <w:tc>
          <w:tcPr>
            <w:tcW w:w="7740" w:type="dxa"/>
            <w:vAlign w:val="bottom"/>
            <w:gridSpan w:val="9"/>
            <w:vMerge w:val="continue"/>
          </w:tcPr>
          <w:p>
            <w:pPr>
              <w:spacing w:after="0" w:line="20" w:lineRule="exact"/>
              <w:rPr>
                <w:sz w:val="1"/>
                <w:szCs w:val="1"/>
                <w:color w:val="auto"/>
              </w:rPr>
            </w:pPr>
          </w:p>
        </w:tc>
        <w:tc>
          <w:tcPr>
            <w:tcW w:w="26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264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264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may contain forward-looking statements within the meaning of Section 27A of the Securities Act of 1933, as amended, and Section 21E of the Securities Exchange Act of 1934, as amended. These statements include, but are not limited to, statements related to our expectations, estimates, beliefs, projections, future plans and strategies, anticipated events or trends, and similar expressions and statements that are not historical facts, including our expectations regarding the performance of our business, our financial results, our liquidity and capital resources, contingencies, and our dividend policy.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uncertainties, and assumptions. Accordingly, there are or will be important factors that could cause actual outcomes or results to differ materially from those indicated in these statements including, but not limited to, those described in this report and under the section entitled “Risk Factors” in our Annual Report on Form 10-K for the year ended December 31, 2023, filed with the U.S. Securities and Exchange Commission (“SEC”) on February 22, 2024, as such factors may be updated from time to time in our periodic filings with the SEC, which are accessible on the SEC’s website at</w:t>
      </w:r>
    </w:p>
    <w:p>
      <w:pPr>
        <w:sectPr>
          <w:pgSz w:w="11900" w:h="16838" w:orient="portrait"/>
          <w:cols w:equalWidth="0" w:num="1">
            <w:col w:w="9220"/>
          </w:cols>
          <w:pgMar w:left="1320" w:top="108" w:right="1359" w:bottom="0" w:gutter="0" w:footer="0" w:header="0"/>
          <w:type w:val="continuous"/>
        </w:sectPr>
      </w:pPr>
    </w:p>
    <w:bookmarkStart w:id="2" w:name="page3"/>
    <w:bookmarkEnd w:id="2"/>
    <w:p>
      <w:pPr>
        <w:ind w:right="120"/>
        <w:spacing w:after="0" w:line="201" w:lineRule="auto"/>
        <w:rPr>
          <w:sz w:val="20"/>
          <w:szCs w:val="20"/>
          <w:color w:val="auto"/>
        </w:rPr>
      </w:pPr>
      <w:r>
        <w:rPr>
          <w:rFonts w:ascii="Times New Roman" w:cs="Times New Roman" w:eastAsia="Times New Roman" w:hAnsi="Times New Roman"/>
          <w:sz w:val="17"/>
          <w:szCs w:val="17"/>
          <w:color w:val="auto"/>
        </w:rPr>
        <w:t>www.sec.gov. These factors should not be construed as exhaustive and should be read in conjunction with the other cautionary statements that are included in this Quarterly Report on Form 10-Q and in our other periodic filings with the SEC.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-186690</wp:posOffset>
            </wp:positionV>
            <wp:extent cx="7016115" cy="6414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6414135"/>
                    </a:xfrm>
                    <a:prstGeom prst="rect">
                      <a:avLst/>
                    </a:prstGeom>
                    <a:noFill/>
                  </pic:spPr>
                </pic:pic>
              </a:graphicData>
            </a:graphic>
          </wp:anchor>
        </w:drawing>
      </w:r>
    </w:p>
    <w:p>
      <w:pPr>
        <w:ind w:right="200"/>
        <w:spacing w:after="0" w:line="260" w:lineRule="auto"/>
        <w:rPr>
          <w:sz w:val="20"/>
          <w:szCs w:val="20"/>
          <w:color w:val="auto"/>
        </w:rPr>
      </w:pPr>
      <w:r>
        <w:rPr>
          <w:rFonts w:ascii="Times New Roman" w:cs="Times New Roman" w:eastAsia="Times New Roman" w:hAnsi="Times New Roman"/>
          <w:sz w:val="18"/>
          <w:szCs w:val="18"/>
          <w:color w:val="auto"/>
        </w:rPr>
        <w:t>undertake no obligation to publicly update or review any forward-looking statements, whether as a result of new information, future developments, or otherwise, except as required by applicable law.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Website and Social Media Disclosure</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use our website (www.carlyle.com), our corporate Facebook page (www.facebook.com/onecarlyle), our corporate X account (@OneCarlyle or www.twitter.com/onecarlyle), our corporate Instagram account (@onecarlyle or www.instagram.com/onecarlyle), our corporate LinkedIn account (www.linkedin.com/company/the-carlyle-group), our corporate YouTube channel (www.youtube.com/user/onecarlyle), and our corporate WeChat account (ID: gh_3e34f090ec20) as channels of distribution of material company information. For example, financial and other material information regarding our company is routinely posted on and accessible at www.carlyle.com. Accordingly, investors should monitor these channels, in addition to following our press releases, SEC filings and public conference calls and webcasts. In addition, you may automatically receive email alerts and other information about Carlyle when you enroll your email address by visiting the “Email Alerts” section at http://ir.carlyle.com/email-alerts. The contents of our website and social media channels are not, however, a part of this Quarterly Report on Form 10-Q and are not incorporated by reference herein.</w:t>
      </w:r>
    </w:p>
    <w:p>
      <w:pPr>
        <w:spacing w:after="0" w:line="200" w:lineRule="exact"/>
        <w:rPr>
          <w:sz w:val="20"/>
          <w:szCs w:val="20"/>
          <w:color w:val="auto"/>
        </w:rPr>
      </w:pPr>
    </w:p>
    <w:p>
      <w:pPr>
        <w:spacing w:after="0" w:line="37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January 1, 2020, we completed our conversion from a Delaware limited partnership named The Carlyle Group L.P. into a Delaware Corporation named The Carlyle Group Inc. (the conversion, together with such restructuring steps and related transactions, the “Conversion”).</w:t>
      </w:r>
    </w:p>
    <w:p>
      <w:pPr>
        <w:spacing w:after="0" w:line="176"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17"/>
          <w:szCs w:val="17"/>
          <w:color w:val="auto"/>
        </w:rPr>
        <w:t>Unless the context suggests otherwise, references in this report to “Carlyle,” the “Company,” “we,” “us” and “our” refer to The Carlyle Group Inc. and its consolidated subsidiaries. When we refer to our “senior Carlyle professionals,” we are referring to the partner-level personnel of our firm. References in this report to the ownership of the senior Carlyle professionals include the ownership of personal planning vehicles of these individuals. When we refer to the “Carlyle Holdings partnerships” or “Carlyle Holdings,” we are referring to Carlyle Holdings I L.P., Carlyle Holdings II L.P., and Carlyle Holdings</w:t>
      </w:r>
    </w:p>
    <w:p>
      <w:pPr>
        <w:spacing w:after="0" w:line="3" w:lineRule="exact"/>
        <w:rPr>
          <w:sz w:val="20"/>
          <w:szCs w:val="20"/>
          <w:color w:val="auto"/>
        </w:rPr>
      </w:pPr>
    </w:p>
    <w:p>
      <w:pPr>
        <w:ind w:right="560" w:firstLine="7"/>
        <w:spacing w:after="0" w:line="290" w:lineRule="auto"/>
        <w:tabs>
          <w:tab w:leader="none" w:pos="22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L.P., which prior to the Conversion were the holding partnerships through which the Company and our senior Carlyle professionals and other holders of Carlyle Holdings partnership units owned their respective interests in our business.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“Carlyle funds,” “our funds” and “our investment funds” refer to the investment funds and vehicles advised by Carlyle.</w:t>
      </w:r>
    </w:p>
    <w:p>
      <w:pPr>
        <w:spacing w:after="0" w:line="237" w:lineRule="exact"/>
        <w:rPr>
          <w:sz w:val="20"/>
          <w:szCs w:val="20"/>
          <w:color w:val="auto"/>
        </w:rPr>
      </w:pPr>
    </w:p>
    <w:p>
      <w:pPr>
        <w:jc w:val="both"/>
        <w:ind w:right="440" w:firstLine="648"/>
        <w:spacing w:after="0" w:line="257" w:lineRule="auto"/>
        <w:rPr>
          <w:sz w:val="20"/>
          <w:szCs w:val="20"/>
          <w:color w:val="auto"/>
        </w:rPr>
      </w:pPr>
      <w:r>
        <w:rPr>
          <w:rFonts w:ascii="Times New Roman" w:cs="Times New Roman" w:eastAsia="Times New Roman" w:hAnsi="Times New Roman"/>
          <w:sz w:val="18"/>
          <w:szCs w:val="18"/>
          <w:color w:val="auto"/>
        </w:rPr>
        <w:t>“Carry funds” generally refers to closed-end investment vehicles, in which commitments are drawn down over a specified investment period, and in which the general partner receives a special residual allocation of income from limited partners, which we refer to as carried interest, in the event that specified investment returns are achieved by the fund.</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Disclosures referring to carry funds will also include the impact of certain commitments that do not earn carried interest, but are either part of or associated with our carry funds. The rate of carried interest, as well as the share of carried interest allocated to Carlyle, may vary across the carry fund platform. Carry funds generally include the following investment vehicles across our three business segments: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4019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401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right="420" w:hanging="329"/>
        <w:spacing w:after="0" w:line="289"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Private Equity: Buyout, middle market and growth capital, real estate, infrastructure and natural resources funds advised by Carlyle, as well as certain energy funds advised by our strategic partner NGP Energy Capital Management (“NGP”) in which Carlyle is entitled to receive a share of carried interest (“NGP Carry Funds”);</w:t>
      </w:r>
    </w:p>
    <w:p>
      <w:pPr>
        <w:spacing w:after="0" w:line="157" w:lineRule="exact"/>
        <w:rPr>
          <w:rFonts w:ascii="Times New Roman" w:cs="Times New Roman" w:eastAsia="Times New Roman" w:hAnsi="Times New Roman"/>
          <w:sz w:val="17"/>
          <w:szCs w:val="17"/>
          <w:color w:val="auto"/>
        </w:rPr>
      </w:pPr>
    </w:p>
    <w:p>
      <w:pPr>
        <w:ind w:left="660" w:hanging="329"/>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Credit: Opportunistic credit, aircraft finance, and other closed-end credit funds advised by Carlyle; and</w:t>
      </w:r>
    </w:p>
    <w:p>
      <w:pPr>
        <w:spacing w:after="0" w:line="225" w:lineRule="exact"/>
        <w:rPr>
          <w:rFonts w:ascii="Times New Roman" w:cs="Times New Roman" w:eastAsia="Times New Roman" w:hAnsi="Times New Roman"/>
          <w:sz w:val="18"/>
          <w:szCs w:val="18"/>
          <w:color w:val="auto"/>
        </w:rPr>
      </w:pPr>
    </w:p>
    <w:p>
      <w:pPr>
        <w:ind w:left="660" w:right="220" w:hanging="329"/>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Investment Solutions: Funds and vehicles advised by AlpInvest Partners B.V. and its affiliates (“AlpInvest”), which include primary fund, secondary and portfolio financing, and co-investment strategies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Carry funds specifically exclude certain legacy Abingworth funds in which Carlyle is not entitled to receive a share of carried interest, collateralized loan obligation vehicles (“CLOs”), our business development companies and associated managed accounts, as well as capital raised from strategic third-party investors which directly invest in Fortitude (defined below) alongside a carry fund.</w:t>
      </w:r>
    </w:p>
    <w:p>
      <w:pPr>
        <w:spacing w:after="0" w:line="180"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For an explanation of the fund acronyms used throughout this Quarterly Report on Form 10-Q, refer to “Item 2. Management’s Discussion and Analysis of Financial Condition and Results of Operation – Our Global Investment Offerings.”</w:t>
      </w:r>
    </w:p>
    <w:p>
      <w:pPr>
        <w:spacing w:after="0" w:line="140"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“Fortitude” refers to FGH Parent, L.P. (“FGH Parent”), the direct parent of Fortitude Group Holdings, LLC (“Fortitude Holdings”). See Note 4, Investments, to the condensed consolidated financial statements in Part I, Item 1 of this Quarterly Report on Form 10-Q for more information regarding the Company’s strategic investment in Fortitude.</w:t>
      </w:r>
    </w:p>
    <w:p>
      <w:pPr>
        <w:spacing w:after="0" w:line="176"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“Fee-earning assets under management” or “Fee-earning AUM” refers to the assets we manage or advise from which we derive recurring fund management fees. Our Fee-earning AUM is generally based on one of the following, once fees have been activated:</w:t>
      </w:r>
    </w:p>
    <w:p>
      <w:pPr>
        <w:sectPr>
          <w:pgSz w:w="11900" w:h="16838" w:orient="portrait"/>
          <w:cols w:equalWidth="0" w:num="1">
            <w:col w:w="9240"/>
          </w:cols>
          <w:pgMar w:left="1320" w:top="108" w:right="1339" w:bottom="0" w:gutter="0" w:footer="0" w:header="0"/>
        </w:sectPr>
      </w:pPr>
    </w:p>
    <w:bookmarkStart w:id="3" w:name="page4"/>
    <w:bookmarkEnd w:id="3"/>
    <w:p>
      <w:pPr>
        <w:ind w:left="660" w:right="60" w:hanging="329"/>
        <w:spacing w:after="0" w:line="19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limited partner capital commitments, generally for carry funds where the original investment period has not expired and for AlpInvest carry funds during the commitment fee period;</w:t>
      </w:r>
    </w:p>
    <w:p>
      <w:pPr>
        <w:spacing w:after="0" w:line="198" w:lineRule="exact"/>
        <w:rPr>
          <w:rFonts w:ascii="Times New Roman" w:cs="Times New Roman" w:eastAsia="Times New Roman" w:hAnsi="Times New Roman"/>
          <w:sz w:val="18"/>
          <w:szCs w:val="18"/>
          <w:color w:val="auto"/>
        </w:rPr>
      </w:pPr>
    </w:p>
    <w:p>
      <w:pPr>
        <w:ind w:left="660" w:right="220" w:hanging="329"/>
        <w:spacing w:after="0" w:line="312"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remaining amount of limited partner invested capital at cost, generally for carry funds and certain co-investment vehicles where the original investment period has expired, as well as one of our business development companies;</w:t>
      </w:r>
    </w:p>
    <w:p>
      <w:pPr>
        <w:spacing w:after="0" w:line="139" w:lineRule="exact"/>
        <w:rPr>
          <w:rFonts w:ascii="Times New Roman" w:cs="Times New Roman" w:eastAsia="Times New Roman" w:hAnsi="Times New Roman"/>
          <w:sz w:val="17"/>
          <w:szCs w:val="17"/>
          <w:color w:val="auto"/>
        </w:rPr>
      </w:pPr>
    </w:p>
    <w:p>
      <w:pPr>
        <w:jc w:val="both"/>
        <w:ind w:left="660" w:right="20" w:hanging="329"/>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aggregate fee-earning collateral balance of our CLOs and other securitization vehicles, as defined in the fund indentures (pre-2020 CLO vintages are generally exclusive of equities and defaulted positions) as of the quarterly cut-off date;</w:t>
      </w:r>
    </w:p>
    <w:p>
      <w:pPr>
        <w:spacing w:after="0" w:line="175"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external investor portion of the net asset value of certain carry funds;</w:t>
      </w:r>
    </w:p>
    <w:p>
      <w:pPr>
        <w:spacing w:after="0" w:line="225"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Fortitude’s general account assets invested under the strategic advisory services agreement;</w:t>
      </w:r>
    </w:p>
    <w:p>
      <w:pPr>
        <w:spacing w:after="0" w:line="225" w:lineRule="exact"/>
        <w:rPr>
          <w:rFonts w:ascii="Times New Roman" w:cs="Times New Roman" w:eastAsia="Times New Roman" w:hAnsi="Times New Roman"/>
          <w:sz w:val="18"/>
          <w:szCs w:val="18"/>
          <w:color w:val="auto"/>
        </w:rPr>
      </w:pPr>
    </w:p>
    <w:p>
      <w:pPr>
        <w:ind w:left="660" w:right="80" w:hanging="329"/>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assets (including assets acquired with leverage), excluding cash and cash equivalents, of one of our business development companies and certain carry funds; or</w:t>
      </w:r>
    </w:p>
    <w:p>
      <w:pPr>
        <w:spacing w:after="0" w:line="161" w:lineRule="exact"/>
        <w:rPr>
          <w:rFonts w:ascii="Times New Roman" w:cs="Times New Roman" w:eastAsia="Times New Roman" w:hAnsi="Times New Roman"/>
          <w:sz w:val="18"/>
          <w:szCs w:val="18"/>
          <w:color w:val="auto"/>
        </w:rPr>
      </w:pPr>
    </w:p>
    <w:p>
      <w:pPr>
        <w:ind w:left="660" w:right="480" w:hanging="329"/>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lower of cost or fair value of invested capital, generally for AlpInvest carry funds where the commitment fee period has expired and certain carry funds where the investment period has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-2542540</wp:posOffset>
            </wp:positionV>
            <wp:extent cx="7016115" cy="5042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5042535"/>
                    </a:xfrm>
                    <a:prstGeom prst="rect">
                      <a:avLst/>
                    </a:prstGeom>
                    <a:noFill/>
                  </pic:spPr>
                </pic:pic>
              </a:graphicData>
            </a:graphic>
          </wp:anchor>
        </w:drawing>
      </w:r>
    </w:p>
    <w:p>
      <w:pPr>
        <w:spacing w:after="0" w:line="14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“Assets under management” or “AUM” refers to the assets we manage or advise. Our AUM generally equals the sum of the following:</w:t>
      </w:r>
    </w:p>
    <w:p>
      <w:pPr>
        <w:spacing w:after="0" w:line="162" w:lineRule="exact"/>
        <w:rPr>
          <w:sz w:val="20"/>
          <w:szCs w:val="20"/>
          <w:color w:val="auto"/>
        </w:rPr>
      </w:pPr>
    </w:p>
    <w:p>
      <w:pPr>
        <w:ind w:left="660" w:hanging="329"/>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fair value of our carry funds and related co-investment vehicles, and separately managed accounts, plus the capital that Carlyle is entitled to call from investors in those funds and vehicles (including Carlyle commitments to those funds and vehicles and those of senior Carlyle professionals and employees) pursuant to the terms of their capital commitments to those funds and vehicles;</w:t>
      </w:r>
    </w:p>
    <w:p>
      <w:pPr>
        <w:spacing w:after="0" w:line="179" w:lineRule="exact"/>
        <w:rPr>
          <w:rFonts w:ascii="Times New Roman" w:cs="Times New Roman" w:eastAsia="Times New Roman" w:hAnsi="Times New Roman"/>
          <w:sz w:val="18"/>
          <w:szCs w:val="18"/>
          <w:color w:val="auto"/>
        </w:rPr>
      </w:pPr>
    </w:p>
    <w:p>
      <w:pPr>
        <w:ind w:left="660" w:right="120" w:hanging="329"/>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aggregate collateral balance and principal cash or aggregate principal amount of the notes of our CLOs and other structured products (inclusive of all positions);</w:t>
      </w:r>
    </w:p>
    <w:p>
      <w:pPr>
        <w:spacing w:after="0" w:line="161"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of certain carry funds;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5391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5391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hanging="329"/>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Fortitude’s general account assets covered by the strategic advisory services agreement; and</w:t>
      </w:r>
    </w:p>
    <w:p>
      <w:pPr>
        <w:spacing w:after="0" w:line="225" w:lineRule="exact"/>
        <w:rPr>
          <w:rFonts w:ascii="Times New Roman" w:cs="Times New Roman" w:eastAsia="Times New Roman" w:hAnsi="Times New Roman"/>
          <w:sz w:val="18"/>
          <w:szCs w:val="18"/>
          <w:color w:val="auto"/>
        </w:rPr>
      </w:pPr>
    </w:p>
    <w:p>
      <w:pPr>
        <w:ind w:left="660" w:right="40" w:hanging="329"/>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assets (including assets acquired with leverage) of our business development companies, plus the capital that Carlyle is entitled to call from investors in those vehicles pursuant to the terms of their capital commitments to those vehicles.</w:t>
      </w:r>
    </w:p>
    <w:p>
      <w:pPr>
        <w:spacing w:after="0" w:line="17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include in our calculation of AUM and Fee-earning AUM certain energy and renewable resources funds that we jointly advise with Riverstone Holdings L.L.C. (“Riverstone”) and the NGP Carry Funds that are advised by NGP. Our calculation of AUM also includes third-party capital raised for the investment in Fortitude through a Carlyle-affiliated investment fund and from strategic investors which directly invests in Fortitude alongside the fund. The total AUM and Fee-earning AUM related to the strategic advisory services agreement with Fortitude is inclusive of the net asset value of investments in Carlyle products. These amounts are also reflected in the AUM and Fee-earning AUM of the strategy in which they are invested.</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most of our carry funds, total AUM includes the fair value of the capital invested, whereas Fee-earning AUM includes the amount of capital commitments or the remaining amount of invested capital, depending on whether the original investment period for the fund has expired. As such, Fee-earning AUM may be greater than total AUM when the aggregate fair value of the remaining investments is less than the cost of those investments.</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calculations of AUM and Fee-earning AUM may differ from the calculations of other asset managers. As a result, these measures may not be comparable to similar measures presented by other asset managers. In addition, our calculation of AUM (but not Fee-earning AUM) includes uncalled commitments to, and the fair value of invested capital in, our investment funds from Carlyle and our personnel, regardless of whether such commitments or invested capital are subject to management fees, incentive fees or performance allocations. Our calculations of AUM or Fee-earning AUM are not based on any definition of AUM or Fee-earning AUM that is set forth in the agreements governing the investment funds that we manage or advise.</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“Performance Fee Eligible AUM” represents the AUM of funds for which we are entitled to receive performance allocations, inclusive of the fair value of investments in those funds (which we refer to as “Performance Fee Eligible Fair Value”) and their Available Capital. Performance Fee Eligible Fair Value is “Performance Fee-Generating” when the associated fund has achieved the specified investment returns required under the terms of the fund’s agreement and is accruing performance revenue as of the quarter-end reporting date. Funds whose performance allocations are treated as fee related performance allocations are excluded from these metrics.</w:t>
      </w:r>
    </w:p>
    <w:p>
      <w:pPr>
        <w:spacing w:after="0" w:line="18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“Perpetual Capital” refers to the assets we manage or advise which have an indefinite term and for which there is no immediate requirement to return capital to investors upon the realization of investments made with such capital, except as</w:t>
      </w:r>
    </w:p>
    <w:p>
      <w:pPr>
        <w:sectPr>
          <w:pgSz w:w="11900" w:h="16838" w:orient="portrait"/>
          <w:cols w:equalWidth="0" w:num="1">
            <w:col w:w="9220"/>
          </w:cols>
          <w:pgMar w:left="1320" w:top="108" w:right="1359" w:bottom="0" w:gutter="0" w:footer="0" w:header="0"/>
        </w:sectPr>
      </w:pPr>
    </w:p>
    <w:bookmarkStart w:id="4" w:name="page5"/>
    <w:bookmarkEnd w:id="4"/>
    <w:p>
      <w:pPr>
        <w:ind w:right="440"/>
        <w:spacing w:after="0" w:line="190" w:lineRule="auto"/>
        <w:rPr>
          <w:sz w:val="20"/>
          <w:szCs w:val="20"/>
          <w:color w:val="auto"/>
        </w:rPr>
      </w:pPr>
      <w:r>
        <w:rPr>
          <w:rFonts w:ascii="Times New Roman" w:cs="Times New Roman" w:eastAsia="Times New Roman" w:hAnsi="Times New Roman"/>
          <w:sz w:val="18"/>
          <w:szCs w:val="18"/>
          <w:color w:val="auto"/>
        </w:rPr>
        <w:t>required by applicable law. Perpetual Capital may be materially reduced or terminated under certain conditions, including reductions from changes in valuations and payments to investors, including through elections by investors to redeem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-187325</wp:posOffset>
            </wp:positionV>
            <wp:extent cx="7016115" cy="3670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3670935"/>
                    </a:xfrm>
                    <a:prstGeom prst="rect">
                      <a:avLst/>
                    </a:prstGeom>
                    <a:noFill/>
                  </pic:spPr>
                </pic:pic>
              </a:graphicData>
            </a:graphic>
          </wp:anchor>
        </w:drawing>
      </w:r>
    </w:p>
    <w:p>
      <w:pPr>
        <w:spacing w:after="0" w:line="253" w:lineRule="auto"/>
        <w:rPr>
          <w:sz w:val="20"/>
          <w:szCs w:val="20"/>
          <w:color w:val="auto"/>
        </w:rPr>
      </w:pPr>
      <w:r>
        <w:rPr>
          <w:rFonts w:ascii="Times New Roman" w:cs="Times New Roman" w:eastAsia="Times New Roman" w:hAnsi="Times New Roman"/>
          <w:sz w:val="18"/>
          <w:szCs w:val="18"/>
          <w:color w:val="auto"/>
        </w:rPr>
        <w:t>investments, dividend payments, and other payment obligations, as well as the termination of or failure to renew the respective investment advisory agreements. Perpetual Capital includes: (a) assets managed under the strategic advisory services agreement with Fortitude, (b) our Core Plus real estate fund, (c) our business development companies and certain other direct lending products, (d) our Interval Fund (“CTAC”) and (e) our closed-end tender offer fund Carlyle AlpInvest Private Markets Fund (“CAPM”).</w:t>
      </w:r>
    </w:p>
    <w:p>
      <w:pPr>
        <w:spacing w:after="0" w:line="18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“Legacy Energy Funds” include Energy III, Energy IV, and Renew II and are managed with Riverstone and its affiliates. The investment periods for these funds have expired and the remaining investments in each fund are being disposed of in the ordinary course of business. The impact of these funds is no longer significant to our results of operations.</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“Metropolitan” or “MRE” refers to Metropolitan Real Estate Management, LLC, which was included in the Global Investment Solutions business segment prior to its sale on April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6762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676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6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4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4"/>
        </w:trPr>
        <w:tc>
          <w:tcPr>
            <w:tcW w:w="5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1,276.5</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1,440.3</w:t>
            </w:r>
          </w:p>
        </w:tc>
        <w:tc>
          <w:tcPr>
            <w:tcW w:w="0" w:type="dxa"/>
            <w:vAlign w:val="bottom"/>
          </w:tcPr>
          <w:p>
            <w:pPr>
              <w:spacing w:after="0"/>
              <w:rPr>
                <w:sz w:val="1"/>
                <w:szCs w:val="1"/>
                <w:color w:val="auto"/>
              </w:rPr>
            </w:pPr>
          </w:p>
        </w:tc>
      </w:tr>
      <w:tr>
        <w:trPr>
          <w:trHeight w:val="25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held at Consolidated Funds</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426.0</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w:t>
            </w: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82"/>
        </w:trPr>
        <w:tc>
          <w:tcPr>
            <w:tcW w:w="59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Investments, including accrued performance allocations of $5,567.6 and $6,169.9 as of</w:t>
            </w:r>
          </w:p>
        </w:tc>
        <w:tc>
          <w:tcPr>
            <w:tcW w:w="3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9,473.2</w:t>
            </w: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9,955.3</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March 31, 2024 and December 31, 2023, respectively</w:t>
            </w:r>
          </w:p>
        </w:tc>
        <w:tc>
          <w:tcPr>
            <w:tcW w:w="3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Investments of Consolidated Funds</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7,458.6</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7,253.1</w:t>
            </w:r>
          </w:p>
        </w:tc>
        <w:tc>
          <w:tcPr>
            <w:tcW w:w="0" w:type="dxa"/>
            <w:vAlign w:val="bottom"/>
          </w:tcPr>
          <w:p>
            <w:pPr>
              <w:spacing w:after="0"/>
              <w:rPr>
                <w:sz w:val="1"/>
                <w:szCs w:val="1"/>
                <w:color w:val="auto"/>
              </w:rPr>
            </w:pPr>
          </w:p>
        </w:tc>
      </w:tr>
      <w:tr>
        <w:trPr>
          <w:trHeight w:val="25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Due from affiliates and other receivables, net</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624.1</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691.6</w:t>
            </w: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Due from affiliates and other receivables of Consolidated Funds, net</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204.1</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0" w:type="dxa"/>
            <w:vAlign w:val="bottom"/>
          </w:tcPr>
          <w:p>
            <w:pPr>
              <w:spacing w:after="0"/>
              <w:rPr>
                <w:sz w:val="1"/>
                <w:szCs w:val="1"/>
                <w:color w:val="auto"/>
              </w:rPr>
            </w:pPr>
          </w:p>
        </w:tc>
      </w:tr>
      <w:tr>
        <w:trPr>
          <w:trHeight w:val="25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Fixed assets, net</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162.8</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Lease right-of-use assets, net</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349.3</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0" w:type="dxa"/>
            <w:vAlign w:val="bottom"/>
          </w:tcPr>
          <w:p>
            <w:pPr>
              <w:spacing w:after="0"/>
              <w:rPr>
                <w:sz w:val="1"/>
                <w:szCs w:val="1"/>
                <w:color w:val="auto"/>
              </w:rPr>
            </w:pPr>
          </w:p>
        </w:tc>
      </w:tr>
      <w:tr>
        <w:trPr>
          <w:trHeight w:val="25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Deposits and other</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88.5</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732.8</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766.1</w:t>
            </w: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52.2</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20,849.5</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21,176.0</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Debt obligations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2,259.0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2,281.0</w:t>
            </w: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Loans payable of Consolidated Funds</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6,535.1</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6,486.5</w:t>
            </w: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375.2</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4,173.9</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4,922.2</w:t>
            </w: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Due to affiliates</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203.6</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0" w:type="dxa"/>
            <w:vAlign w:val="bottom"/>
          </w:tcPr>
          <w:p>
            <w:pPr>
              <w:spacing w:after="0"/>
              <w:rPr>
                <w:sz w:val="1"/>
                <w:szCs w:val="1"/>
                <w:color w:val="auto"/>
              </w:rPr>
            </w:pPr>
          </w:p>
        </w:tc>
      </w:tr>
      <w:tr>
        <w:trPr>
          <w:trHeight w:val="25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391.1</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26.2</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 of Consolidated Funds</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598.5</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502.9</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0" w:type="dxa"/>
            <w:vAlign w:val="bottom"/>
          </w:tcPr>
          <w:p>
            <w:pPr>
              <w:spacing w:after="0"/>
              <w:rPr>
                <w:sz w:val="1"/>
                <w:szCs w:val="1"/>
                <w:color w:val="auto"/>
              </w:rPr>
            </w:pPr>
          </w:p>
        </w:tc>
      </w:tr>
      <w:tr>
        <w:trPr>
          <w:trHeight w:val="25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Accrued giveback obligations</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44.0</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15,109.5</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15,391.5</w:t>
            </w:r>
          </w:p>
        </w:tc>
        <w:tc>
          <w:tcPr>
            <w:tcW w:w="0" w:type="dxa"/>
            <w:vAlign w:val="bottom"/>
          </w:tcPr>
          <w:p>
            <w:pPr>
              <w:spacing w:after="0"/>
              <w:rPr>
                <w:sz w:val="1"/>
                <w:szCs w:val="1"/>
                <w:color w:val="auto"/>
              </w:rPr>
            </w:pPr>
          </w:p>
        </w:tc>
      </w:tr>
      <w:tr>
        <w:trPr>
          <w:trHeight w:val="25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$0.01 par value, 100,000,000,000 shares authorized (359,260,138 and</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361,326,172 shares issued and outstanding as of March 31, 2024 and December 31, 2023,</w:t>
            </w:r>
          </w:p>
        </w:tc>
        <w:tc>
          <w:tcPr>
            <w:tcW w:w="3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respectively)</w:t>
            </w:r>
          </w:p>
        </w:tc>
        <w:tc>
          <w:tcPr>
            <w:tcW w:w="3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220"/>
          </w:cols>
          <w:pgMar w:left="1320" w:top="108" w:right="1359" w:bottom="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900" w:type="dxa"/>
            <w:vAlign w:val="bottom"/>
            <w:tcBorders>
              <w:left w:val="single" w:sz="8" w:color="CCCCCC"/>
            </w:tcBorders>
          </w:tcPr>
          <w:p>
            <w:pPr>
              <w:spacing w:after="0"/>
              <w:rPr>
                <w:sz w:val="17"/>
                <w:szCs w:val="17"/>
                <w:color w:val="auto"/>
              </w:rPr>
            </w:pPr>
          </w:p>
        </w:tc>
        <w:tc>
          <w:tcPr>
            <w:tcW w:w="61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Additional paid-in-capital</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3,513.9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3,403.0</w:t>
            </w:r>
          </w:p>
        </w:tc>
        <w:tc>
          <w:tcPr>
            <w:tcW w:w="100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00" w:type="dxa"/>
            <w:vAlign w:val="bottom"/>
            <w:tcBorders>
              <w:left w:val="single" w:sz="8" w:color="CCCCCC"/>
            </w:tcBorders>
          </w:tcPr>
          <w:p>
            <w:pPr>
              <w:spacing w:after="0"/>
              <w:rPr>
                <w:sz w:val="19"/>
                <w:szCs w:val="19"/>
                <w:color w:val="auto"/>
              </w:rPr>
            </w:pPr>
          </w:p>
        </w:tc>
        <w:tc>
          <w:tcPr>
            <w:tcW w:w="61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Retained earnings</w:t>
            </w:r>
          </w:p>
        </w:tc>
        <w:tc>
          <w:tcPr>
            <w:tcW w:w="4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1,868.2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2,082.1</w:t>
            </w:r>
          </w:p>
        </w:tc>
        <w:tc>
          <w:tcPr>
            <w:tcW w:w="100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CCCCCC"/>
            </w:tcBorders>
          </w:tcPr>
          <w:p>
            <w:pPr>
              <w:spacing w:after="0"/>
              <w:rPr>
                <w:sz w:val="17"/>
                <w:szCs w:val="17"/>
                <w:color w:val="auto"/>
              </w:rPr>
            </w:pPr>
          </w:p>
        </w:tc>
        <w:tc>
          <w:tcPr>
            <w:tcW w:w="61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(315.0)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(297.3)</w:t>
            </w:r>
          </w:p>
        </w:tc>
        <w:tc>
          <w:tcPr>
            <w:tcW w:w="100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tcBorders>
              <w:left w:val="single" w:sz="8" w:color="CCCCCC"/>
            </w:tcBorders>
          </w:tcPr>
          <w:p>
            <w:pPr>
              <w:spacing w:after="0"/>
              <w:rPr>
                <w:sz w:val="19"/>
                <w:szCs w:val="19"/>
                <w:color w:val="auto"/>
              </w:rPr>
            </w:pPr>
          </w:p>
        </w:tc>
        <w:tc>
          <w:tcPr>
            <w:tcW w:w="61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Non-controlling interests in consolidated entities</w:t>
            </w: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669.3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593.1</w:t>
            </w:r>
          </w:p>
        </w:tc>
        <w:tc>
          <w:tcPr>
            <w:tcW w:w="100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900" w:type="dxa"/>
            <w:vAlign w:val="bottom"/>
            <w:tcBorders>
              <w:left w:val="single" w:sz="8" w:color="CCCCCC"/>
            </w:tcBorders>
          </w:tcPr>
          <w:p>
            <w:pPr>
              <w:spacing w:after="0"/>
              <w:rPr>
                <w:sz w:val="22"/>
                <w:szCs w:val="22"/>
                <w:color w:val="auto"/>
              </w:rPr>
            </w:pPr>
          </w:p>
        </w:tc>
        <w:tc>
          <w:tcPr>
            <w:tcW w:w="61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Total equity</w:t>
            </w: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5,740.0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5,784.5</w:t>
            </w:r>
          </w:p>
        </w:tc>
        <w:tc>
          <w:tcPr>
            <w:tcW w:w="100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00" w:type="dxa"/>
            <w:vAlign w:val="bottom"/>
            <w:tcBorders>
              <w:left w:val="single" w:sz="8" w:color="CCCCCC"/>
            </w:tcBorders>
          </w:tcPr>
          <w:p>
            <w:pPr>
              <w:spacing w:after="0"/>
              <w:rPr>
                <w:sz w:val="22"/>
                <w:szCs w:val="22"/>
                <w:color w:val="auto"/>
              </w:rPr>
            </w:pPr>
          </w:p>
        </w:tc>
        <w:tc>
          <w:tcPr>
            <w:tcW w:w="61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4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20,849.5</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21,176.0</w:t>
            </w:r>
          </w:p>
        </w:tc>
        <w:tc>
          <w:tcPr>
            <w:tcW w:w="100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00" w:type="dxa"/>
            <w:vAlign w:val="bottom"/>
            <w:tcBorders>
              <w:left w:val="single" w:sz="8" w:color="CCCCCC"/>
            </w:tcBorders>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CCCCCC"/>
            </w:tcBorders>
          </w:tcPr>
          <w:p>
            <w:pPr>
              <w:spacing w:after="0"/>
              <w:rPr>
                <w:sz w:val="24"/>
                <w:szCs w:val="24"/>
                <w:color w:val="auto"/>
              </w:rPr>
            </w:pPr>
          </w:p>
        </w:tc>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See accompanying notes.</w:t>
            </w:r>
          </w:p>
        </w:tc>
        <w:tc>
          <w:tcPr>
            <w:tcW w:w="4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900" w:type="dxa"/>
            <w:vAlign w:val="bottom"/>
            <w:tcBorders>
              <w:left w:val="single" w:sz="8" w:color="CCCCCC"/>
            </w:tcBorders>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8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0" w:type="dxa"/>
            <w:vAlign w:val="bottom"/>
            <w:tcBorders>
              <w:right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1600" w:type="dxa"/>
            <w:vAlign w:val="bottom"/>
            <w:tcBorders>
              <w:left w:val="single" w:sz="8" w:color="CCCCCC"/>
            </w:tcBorders>
            <w:gridSpan w:val="2"/>
          </w:tcPr>
          <w:p>
            <w:pPr>
              <w:spacing w:after="0"/>
              <w:rPr>
                <w:sz w:val="22"/>
                <w:szCs w:val="22"/>
                <w:color w:val="auto"/>
              </w:rPr>
            </w:pPr>
          </w:p>
        </w:tc>
        <w:tc>
          <w:tcPr>
            <w:tcW w:w="58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00" w:type="dxa"/>
            <w:vAlign w:val="bottom"/>
            <w:tcBorders>
              <w:left w:val="single" w:sz="8" w:color="CCCCCC"/>
            </w:tcBorders>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8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648"/>
        </w:trPr>
        <w:tc>
          <w:tcPr>
            <w:tcW w:w="900" w:type="dxa"/>
            <w:vAlign w:val="bottom"/>
            <w:tcBorders>
              <w:left w:val="single" w:sz="8" w:color="CCCCCC"/>
            </w:tcBorders>
          </w:tcPr>
          <w:p>
            <w:pPr>
              <w:spacing w:after="0"/>
              <w:rPr>
                <w:sz w:val="24"/>
                <w:szCs w:val="24"/>
                <w:color w:val="auto"/>
              </w:rPr>
            </w:pPr>
          </w:p>
        </w:tc>
        <w:tc>
          <w:tcPr>
            <w:tcW w:w="6160" w:type="dxa"/>
            <w:vAlign w:val="bottom"/>
            <w:gridSpan w:val="3"/>
          </w:tcPr>
          <w:p>
            <w:pPr>
              <w:ind w:left="458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900" w:type="dxa"/>
            <w:vAlign w:val="bottom"/>
            <w:tcBorders>
              <w:left w:val="single" w:sz="8" w:color="CCCCCC"/>
            </w:tcBorders>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Borders>
              <w:right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900" w:type="dxa"/>
            <w:vAlign w:val="bottom"/>
            <w:tcBorders>
              <w:left w:val="single" w:sz="8" w:color="CCCCCC"/>
            </w:tcBorders>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8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900" w:type="dxa"/>
            <w:vAlign w:val="bottom"/>
            <w:tcBorders>
              <w:left w:val="single" w:sz="8" w:color="CCCCCC"/>
              <w:bottom w:val="single" w:sz="8" w:color="CCCCCC"/>
            </w:tcBorders>
          </w:tcPr>
          <w:p>
            <w:pPr>
              <w:spacing w:after="0"/>
              <w:rPr>
                <w:sz w:val="2"/>
                <w:szCs w:val="2"/>
                <w:color w:val="auto"/>
              </w:rPr>
            </w:pPr>
          </w:p>
        </w:tc>
        <w:tc>
          <w:tcPr>
            <w:tcW w:w="700" w:type="dxa"/>
            <w:vAlign w:val="bottom"/>
            <w:tcBorders>
              <w:bottom w:val="single" w:sz="8" w:color="CCCCCC"/>
            </w:tcBorders>
          </w:tcPr>
          <w:p>
            <w:pPr>
              <w:spacing w:after="0"/>
              <w:rPr>
                <w:sz w:val="2"/>
                <w:szCs w:val="2"/>
                <w:color w:val="auto"/>
              </w:rPr>
            </w:pPr>
          </w:p>
        </w:tc>
        <w:tc>
          <w:tcPr>
            <w:tcW w:w="580" w:type="dxa"/>
            <w:vAlign w:val="bottom"/>
            <w:tcBorders>
              <w:bottom w:val="single" w:sz="8" w:color="CCCCCC"/>
            </w:tcBorders>
          </w:tcPr>
          <w:p>
            <w:pPr>
              <w:spacing w:after="0"/>
              <w:rPr>
                <w:sz w:val="2"/>
                <w:szCs w:val="2"/>
                <w:color w:val="auto"/>
              </w:rPr>
            </w:pPr>
          </w:p>
        </w:tc>
        <w:tc>
          <w:tcPr>
            <w:tcW w:w="4880" w:type="dxa"/>
            <w:vAlign w:val="bottom"/>
            <w:tcBorders>
              <w:bottom w:val="single" w:sz="8" w:color="CCCCCC"/>
            </w:tcBorders>
          </w:tcPr>
          <w:p>
            <w:pPr>
              <w:spacing w:after="0"/>
              <w:rPr>
                <w:sz w:val="2"/>
                <w:szCs w:val="2"/>
                <w:color w:val="auto"/>
              </w:rPr>
            </w:pPr>
          </w:p>
        </w:tc>
        <w:tc>
          <w:tcPr>
            <w:tcW w:w="480" w:type="dxa"/>
            <w:vAlign w:val="bottom"/>
            <w:tcBorders>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180" w:type="dxa"/>
            <w:vAlign w:val="bottom"/>
            <w:tcBorders>
              <w:bottom w:val="single" w:sz="8" w:color="CCCCCC"/>
            </w:tcBorders>
          </w:tcPr>
          <w:p>
            <w:pPr>
              <w:spacing w:after="0"/>
              <w:rPr>
                <w:sz w:val="2"/>
                <w:szCs w:val="2"/>
                <w:color w:val="auto"/>
              </w:rPr>
            </w:pPr>
          </w:p>
        </w:tc>
        <w:tc>
          <w:tcPr>
            <w:tcW w:w="760" w:type="dxa"/>
            <w:vAlign w:val="bottom"/>
            <w:tcBorders>
              <w:bottom w:val="single" w:sz="8" w:color="CCCCCC"/>
            </w:tcBorders>
          </w:tcPr>
          <w:p>
            <w:pPr>
              <w:spacing w:after="0"/>
              <w:rPr>
                <w:sz w:val="2"/>
                <w:szCs w:val="2"/>
                <w:color w:val="auto"/>
              </w:rPr>
            </w:pPr>
          </w:p>
        </w:tc>
        <w:tc>
          <w:tcPr>
            <w:tcW w:w="20" w:type="dxa"/>
            <w:vAlign w:val="bottom"/>
            <w:tcBorders>
              <w:bottom w:val="single" w:sz="8" w:color="CCCCCC"/>
            </w:tcBorders>
          </w:tcPr>
          <w:p>
            <w:pPr>
              <w:spacing w:after="0"/>
              <w:rPr>
                <w:sz w:val="2"/>
                <w:szCs w:val="2"/>
                <w:color w:val="auto"/>
              </w:rPr>
            </w:pPr>
          </w:p>
        </w:tc>
        <w:tc>
          <w:tcPr>
            <w:tcW w:w="40" w:type="dxa"/>
            <w:vAlign w:val="bottom"/>
            <w:tcBorders>
              <w:bottom w:val="single" w:sz="8" w:color="CCCCCC"/>
            </w:tcBorders>
          </w:tcPr>
          <w:p>
            <w:pPr>
              <w:spacing w:after="0"/>
              <w:rPr>
                <w:sz w:val="2"/>
                <w:szCs w:val="2"/>
                <w:color w:val="auto"/>
              </w:rPr>
            </w:pPr>
          </w:p>
        </w:tc>
        <w:tc>
          <w:tcPr>
            <w:tcW w:w="20" w:type="dxa"/>
            <w:vAlign w:val="bottom"/>
            <w:tcBorders>
              <w:bottom w:val="single" w:sz="8" w:color="CCCCCC"/>
            </w:tcBorders>
          </w:tcPr>
          <w:p>
            <w:pPr>
              <w:spacing w:after="0"/>
              <w:rPr>
                <w:sz w:val="2"/>
                <w:szCs w:val="2"/>
                <w:color w:val="auto"/>
              </w:rPr>
            </w:pPr>
          </w:p>
        </w:tc>
        <w:tc>
          <w:tcPr>
            <w:tcW w:w="340" w:type="dxa"/>
            <w:vAlign w:val="bottom"/>
            <w:tcBorders>
              <w:bottom w:val="single" w:sz="8" w:color="CCCCCC"/>
            </w:tcBorders>
          </w:tcPr>
          <w:p>
            <w:pPr>
              <w:spacing w:after="0"/>
              <w:rPr>
                <w:sz w:val="2"/>
                <w:szCs w:val="2"/>
                <w:color w:val="auto"/>
              </w:rPr>
            </w:pPr>
          </w:p>
        </w:tc>
        <w:tc>
          <w:tcPr>
            <w:tcW w:w="640" w:type="dxa"/>
            <w:vAlign w:val="bottom"/>
            <w:tcBorders>
              <w:bottom w:val="single" w:sz="8" w:color="CCCCCC"/>
            </w:tcBorders>
          </w:tcPr>
          <w:p>
            <w:pPr>
              <w:spacing w:after="0"/>
              <w:rPr>
                <w:sz w:val="2"/>
                <w:szCs w:val="2"/>
                <w:color w:val="auto"/>
              </w:rPr>
            </w:pPr>
          </w:p>
        </w:tc>
        <w:tc>
          <w:tcPr>
            <w:tcW w:w="460" w:type="dxa"/>
            <w:vAlign w:val="bottom"/>
            <w:tcBorders>
              <w:bottom w:val="single" w:sz="8" w:color="CCCCCC"/>
            </w:tcBorders>
          </w:tcPr>
          <w:p>
            <w:pPr>
              <w:spacing w:after="0"/>
              <w:rPr>
                <w:sz w:val="2"/>
                <w:szCs w:val="2"/>
                <w:color w:val="auto"/>
              </w:rPr>
            </w:pPr>
          </w:p>
        </w:tc>
        <w:tc>
          <w:tcPr>
            <w:tcW w:w="1000" w:type="dxa"/>
            <w:vAlign w:val="bottom"/>
            <w:tcBorders>
              <w:bottom w:val="single" w:sz="8" w:color="CCCCCC"/>
              <w:right w:val="single" w:sz="8" w:color="CCCCCC"/>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00" w:type="dxa"/>
            <w:vAlign w:val="bottom"/>
            <w:tcBorders>
              <w:bottom w:val="single" w:sz="8" w:color="CCCCCC"/>
            </w:tcBorders>
          </w:tcPr>
          <w:p>
            <w:pPr>
              <w:spacing w:after="0"/>
              <w:rPr>
                <w:sz w:val="11"/>
                <w:szCs w:val="11"/>
                <w:color w:val="auto"/>
              </w:rPr>
            </w:pPr>
          </w:p>
        </w:tc>
        <w:tc>
          <w:tcPr>
            <w:tcW w:w="700" w:type="dxa"/>
            <w:vAlign w:val="bottom"/>
            <w:tcBorders>
              <w:bottom w:val="single" w:sz="8" w:color="CCCCCC"/>
            </w:tcBorders>
          </w:tcPr>
          <w:p>
            <w:pPr>
              <w:spacing w:after="0"/>
              <w:rPr>
                <w:sz w:val="11"/>
                <w:szCs w:val="11"/>
                <w:color w:val="auto"/>
              </w:rPr>
            </w:pPr>
          </w:p>
        </w:tc>
        <w:tc>
          <w:tcPr>
            <w:tcW w:w="580" w:type="dxa"/>
            <w:vAlign w:val="bottom"/>
            <w:tcBorders>
              <w:bottom w:val="single" w:sz="8" w:color="CCCCCC"/>
            </w:tcBorders>
          </w:tcPr>
          <w:p>
            <w:pPr>
              <w:spacing w:after="0"/>
              <w:rPr>
                <w:sz w:val="11"/>
                <w:szCs w:val="11"/>
                <w:color w:val="auto"/>
              </w:rPr>
            </w:pPr>
          </w:p>
        </w:tc>
        <w:tc>
          <w:tcPr>
            <w:tcW w:w="4880" w:type="dxa"/>
            <w:vAlign w:val="bottom"/>
            <w:tcBorders>
              <w:bottom w:val="single" w:sz="8" w:color="CCCCCC"/>
            </w:tcBorders>
          </w:tcPr>
          <w:p>
            <w:pPr>
              <w:spacing w:after="0"/>
              <w:rPr>
                <w:sz w:val="11"/>
                <w:szCs w:val="11"/>
                <w:color w:val="auto"/>
              </w:rPr>
            </w:pPr>
          </w:p>
        </w:tc>
        <w:tc>
          <w:tcPr>
            <w:tcW w:w="480" w:type="dxa"/>
            <w:vAlign w:val="bottom"/>
            <w:tcBorders>
              <w:bottom w:val="single" w:sz="8" w:color="CCCCCC"/>
            </w:tcBorders>
          </w:tcPr>
          <w:p>
            <w:pPr>
              <w:spacing w:after="0"/>
              <w:rPr>
                <w:sz w:val="11"/>
                <w:szCs w:val="11"/>
                <w:color w:val="auto"/>
              </w:rPr>
            </w:pPr>
          </w:p>
        </w:tc>
        <w:tc>
          <w:tcPr>
            <w:tcW w:w="40" w:type="dxa"/>
            <w:vAlign w:val="bottom"/>
            <w:tcBorders>
              <w:bottom w:val="single" w:sz="8" w:color="CCCCCC"/>
            </w:tcBorders>
          </w:tcPr>
          <w:p>
            <w:pPr>
              <w:spacing w:after="0"/>
              <w:rPr>
                <w:sz w:val="11"/>
                <w:szCs w:val="11"/>
                <w:color w:val="auto"/>
              </w:rPr>
            </w:pPr>
          </w:p>
        </w:tc>
        <w:tc>
          <w:tcPr>
            <w:tcW w:w="180" w:type="dxa"/>
            <w:vAlign w:val="bottom"/>
            <w:tcBorders>
              <w:bottom w:val="single" w:sz="8" w:color="CCCCCC"/>
            </w:tcBorders>
          </w:tcPr>
          <w:p>
            <w:pPr>
              <w:spacing w:after="0"/>
              <w:rPr>
                <w:sz w:val="11"/>
                <w:szCs w:val="11"/>
                <w:color w:val="auto"/>
              </w:rPr>
            </w:pPr>
          </w:p>
        </w:tc>
        <w:tc>
          <w:tcPr>
            <w:tcW w:w="760" w:type="dxa"/>
            <w:vAlign w:val="bottom"/>
            <w:tcBorders>
              <w:bottom w:val="single" w:sz="8" w:color="CCCCCC"/>
            </w:tcBorders>
          </w:tcPr>
          <w:p>
            <w:pPr>
              <w:spacing w:after="0"/>
              <w:rPr>
                <w:sz w:val="11"/>
                <w:szCs w:val="11"/>
                <w:color w:val="auto"/>
              </w:rPr>
            </w:pPr>
          </w:p>
        </w:tc>
        <w:tc>
          <w:tcPr>
            <w:tcW w:w="20" w:type="dxa"/>
            <w:vAlign w:val="bottom"/>
            <w:tcBorders>
              <w:bottom w:val="single" w:sz="8" w:color="CCCCCC"/>
            </w:tcBorders>
          </w:tcPr>
          <w:p>
            <w:pPr>
              <w:spacing w:after="0"/>
              <w:rPr>
                <w:sz w:val="11"/>
                <w:szCs w:val="11"/>
                <w:color w:val="auto"/>
              </w:rPr>
            </w:pPr>
          </w:p>
        </w:tc>
        <w:tc>
          <w:tcPr>
            <w:tcW w:w="40" w:type="dxa"/>
            <w:vAlign w:val="bottom"/>
            <w:tcBorders>
              <w:bottom w:val="single" w:sz="8" w:color="CCCCCC"/>
            </w:tcBorders>
          </w:tcPr>
          <w:p>
            <w:pPr>
              <w:spacing w:after="0"/>
              <w:rPr>
                <w:sz w:val="11"/>
                <w:szCs w:val="11"/>
                <w:color w:val="auto"/>
              </w:rPr>
            </w:pPr>
          </w:p>
        </w:tc>
        <w:tc>
          <w:tcPr>
            <w:tcW w:w="20" w:type="dxa"/>
            <w:vAlign w:val="bottom"/>
            <w:tcBorders>
              <w:bottom w:val="single" w:sz="8" w:color="CCCCCC"/>
            </w:tcBorders>
          </w:tcPr>
          <w:p>
            <w:pPr>
              <w:spacing w:after="0"/>
              <w:rPr>
                <w:sz w:val="11"/>
                <w:szCs w:val="11"/>
                <w:color w:val="auto"/>
              </w:rPr>
            </w:pPr>
          </w:p>
        </w:tc>
        <w:tc>
          <w:tcPr>
            <w:tcW w:w="340" w:type="dxa"/>
            <w:vAlign w:val="bottom"/>
            <w:tcBorders>
              <w:bottom w:val="single" w:sz="8" w:color="CCCCCC"/>
            </w:tcBorders>
          </w:tcPr>
          <w:p>
            <w:pPr>
              <w:spacing w:after="0"/>
              <w:rPr>
                <w:sz w:val="11"/>
                <w:szCs w:val="11"/>
                <w:color w:val="auto"/>
              </w:rPr>
            </w:pPr>
          </w:p>
        </w:tc>
        <w:tc>
          <w:tcPr>
            <w:tcW w:w="640" w:type="dxa"/>
            <w:vAlign w:val="bottom"/>
            <w:tcBorders>
              <w:bottom w:val="single" w:sz="8" w:color="CCCCCC"/>
            </w:tcBorders>
          </w:tcPr>
          <w:p>
            <w:pPr>
              <w:spacing w:after="0"/>
              <w:rPr>
                <w:sz w:val="11"/>
                <w:szCs w:val="11"/>
                <w:color w:val="auto"/>
              </w:rPr>
            </w:pPr>
          </w:p>
        </w:tc>
        <w:tc>
          <w:tcPr>
            <w:tcW w:w="460" w:type="dxa"/>
            <w:vAlign w:val="bottom"/>
            <w:tcBorders>
              <w:bottom w:val="single" w:sz="8" w:color="CCCCCC"/>
            </w:tcBorders>
          </w:tcPr>
          <w:p>
            <w:pPr>
              <w:spacing w:after="0"/>
              <w:rPr>
                <w:sz w:val="11"/>
                <w:szCs w:val="11"/>
                <w:color w:val="auto"/>
              </w:rPr>
            </w:pPr>
          </w:p>
        </w:tc>
        <w:tc>
          <w:tcPr>
            <w:tcW w:w="1000" w:type="dxa"/>
            <w:vAlign w:val="bottom"/>
            <w:tcBorders>
              <w:bottom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402"/>
        </w:trPr>
        <w:tc>
          <w:tcPr>
            <w:tcW w:w="900" w:type="dxa"/>
            <w:vAlign w:val="bottom"/>
          </w:tcPr>
          <w:p>
            <w:pPr>
              <w:spacing w:after="0"/>
              <w:rPr>
                <w:sz w:val="24"/>
                <w:szCs w:val="24"/>
                <w:color w:val="auto"/>
              </w:rPr>
            </w:pPr>
          </w:p>
        </w:tc>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90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880" w:type="dxa"/>
            <w:vAlign w:val="bottom"/>
          </w:tcPr>
          <w:p>
            <w:pPr>
              <w:jc w:val="center"/>
              <w:ind w:left="1873"/>
              <w:spacing w:after="0"/>
              <w:rPr>
                <w:sz w:val="20"/>
                <w:szCs w:val="20"/>
                <w:color w:val="auto"/>
              </w:rPr>
            </w:pPr>
            <w:r>
              <w:rPr>
                <w:rFonts w:ascii="Times New Roman" w:cs="Times New Roman" w:eastAsia="Times New Roman" w:hAnsi="Times New Roman"/>
                <w:sz w:val="18"/>
                <w:szCs w:val="18"/>
                <w:b w:val="1"/>
                <w:bCs w:val="1"/>
                <w:color w:val="auto"/>
                <w:w w:val="99"/>
              </w:rPr>
              <w:t>The Carlyle Group Inc.</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0" w:type="dxa"/>
            <w:vAlign w:val="bottom"/>
            <w:gridSpan w:val="3"/>
          </w:tcPr>
          <w:p>
            <w:pPr>
              <w:jc w:val="center"/>
              <w:ind w:left="1373"/>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80" w:type="dxa"/>
            <w:vAlign w:val="bottom"/>
          </w:tcPr>
          <w:p>
            <w:pPr>
              <w:jc w:val="center"/>
              <w:ind w:left="1873"/>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580" w:type="dxa"/>
            <w:vAlign w:val="bottom"/>
            <w:gridSpan w:val="4"/>
          </w:tcPr>
          <w:p>
            <w:pPr>
              <w:jc w:val="center"/>
              <w:ind w:left="1193"/>
              <w:spacing w:after="0"/>
              <w:rPr>
                <w:sz w:val="20"/>
                <w:szCs w:val="20"/>
                <w:color w:val="auto"/>
              </w:rPr>
            </w:pPr>
            <w:r>
              <w:rPr>
                <w:rFonts w:ascii="Times New Roman" w:cs="Times New Roman" w:eastAsia="Times New Roman" w:hAnsi="Times New Roman"/>
                <w:sz w:val="18"/>
                <w:szCs w:val="18"/>
                <w:b w:val="1"/>
                <w:bCs w:val="1"/>
                <w:color w:val="auto"/>
                <w:w w:val="99"/>
              </w:rPr>
              <w:t>(Dollars in millions, except share and per share data)</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80" w:type="dxa"/>
            <w:vAlign w:val="bottom"/>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4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48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Fund management fees</w:t>
            </w: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523.6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500.8</w:t>
            </w: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Incentive fees</w:t>
            </w:r>
          </w:p>
        </w:tc>
        <w:tc>
          <w:tcPr>
            <w:tcW w:w="4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26.2</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Investment income (loss)</w:t>
            </w: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Performance allocations</w:t>
            </w:r>
          </w:p>
        </w:tc>
        <w:tc>
          <w:tcPr>
            <w:tcW w:w="4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(157.0)</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6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6"/>
                <w:szCs w:val="16"/>
                <w:color w:val="auto"/>
              </w:rPr>
              <w:t>Principal investment income</w:t>
            </w:r>
          </w:p>
        </w:tc>
        <w:tc>
          <w:tcPr>
            <w:tcW w:w="4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73.1</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investment income (loss)</w:t>
            </w: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(83.9)</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Interest and other income</w:t>
            </w: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 and other income of Consolidated Funds</w:t>
            </w:r>
          </w:p>
        </w:tc>
        <w:tc>
          <w:tcPr>
            <w:tcW w:w="48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164.9</w:t>
            </w:r>
          </w:p>
        </w:tc>
        <w:tc>
          <w:tcPr>
            <w:tcW w:w="20" w:type="dxa"/>
            <w:vAlign w:val="bottom"/>
            <w:tcBorders>
              <w:bottom w:val="single" w:sz="8" w:color="auto"/>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Total revenues</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688.4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859.0</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4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4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221.9</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108.3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Performance allocations and incentive fee related compensation</w:t>
            </w:r>
          </w:p>
        </w:tc>
        <w:tc>
          <w:tcPr>
            <w:tcW w:w="48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(72.8)</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257.4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420.3</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4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147.7</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Interest</w:t>
            </w: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30.8</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 and other expenses of Consolidated Funds</w:t>
            </w:r>
          </w:p>
        </w:tc>
        <w:tc>
          <w:tcPr>
            <w:tcW w:w="4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124.6</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6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6"/>
                <w:szCs w:val="16"/>
                <w:color w:val="auto"/>
              </w:rPr>
              <w:t>Other non-operating expenses</w:t>
            </w:r>
          </w:p>
        </w:tc>
        <w:tc>
          <w:tcPr>
            <w:tcW w:w="4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expenses</w:t>
            </w: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560.7</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703.0</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Other income (loss)</w:t>
            </w: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investment income (loss) of Consolidated Funds</w:t>
            </w:r>
          </w:p>
        </w:tc>
        <w:tc>
          <w:tcPr>
            <w:tcW w:w="48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(7.0)</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8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w:t>
            </w:r>
          </w:p>
        </w:tc>
        <w:tc>
          <w:tcPr>
            <w:tcW w:w="20" w:type="dxa"/>
            <w:vAlign w:val="bottom"/>
            <w:tcBorders>
              <w:bottom w:val="single" w:sz="8" w:color="auto"/>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income attributable to non-controlling interests in consolidated entities</w:t>
            </w:r>
          </w:p>
        </w:tc>
        <w:tc>
          <w:tcPr>
            <w:tcW w:w="4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33.2</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Net income attributable to The Carlyle Group Inc.</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income attributable to The Carlyle Group Inc. per common share (see Note 12)</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Basic</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Diluted</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60" w:type="dxa"/>
            <w:vAlign w:val="bottom"/>
            <w:tcBorders>
              <w:top w:val="single" w:sz="8" w:color="CCEEFF"/>
              <w:bottom w:val="single" w:sz="8" w:color="CCEEFF"/>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Weighted-average common shares</w:t>
            </w: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6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Basic</w:t>
            </w:r>
          </w:p>
        </w:tc>
        <w:tc>
          <w:tcPr>
            <w:tcW w:w="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360,908,247</w:t>
            </w:r>
          </w:p>
        </w:tc>
        <w:tc>
          <w:tcPr>
            <w:tcW w:w="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362,944,260</w:t>
            </w: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60" w:type="dxa"/>
            <w:vAlign w:val="bottom"/>
            <w:gridSpan w:val="2"/>
          </w:tcPr>
          <w:p>
            <w:pPr>
              <w:ind w:left="500"/>
              <w:spacing w:after="0" w:line="177" w:lineRule="exact"/>
              <w:rPr>
                <w:sz w:val="20"/>
                <w:szCs w:val="20"/>
                <w:color w:val="auto"/>
              </w:rPr>
            </w:pPr>
            <w:r>
              <w:rPr>
                <w:rFonts w:ascii="Times New Roman" w:cs="Times New Roman" w:eastAsia="Times New Roman" w:hAnsi="Times New Roman"/>
                <w:sz w:val="16"/>
                <w:szCs w:val="16"/>
                <w:color w:val="auto"/>
              </w:rPr>
              <w:t>Diluted</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369,343,601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6"/>
                <w:szCs w:val="16"/>
                <w:color w:val="auto"/>
              </w:rPr>
              <w:t>365,357,833</w:t>
            </w: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-8854440</wp:posOffset>
            </wp:positionV>
            <wp:extent cx="5803265"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03265" cy="162560"/>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-8528685</wp:posOffset>
            </wp:positionV>
            <wp:extent cx="580326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03265" cy="163195"/>
                    </a:xfrm>
                    <a:prstGeom prst="rect">
                      <a:avLst/>
                    </a:prstGeom>
                    <a:noFill/>
                  </pic:spPr>
                </pic:pic>
              </a:graphicData>
            </a:graphic>
          </wp:anchor>
        </w:drawing>
        <w:drawing>
          <wp:anchor simplePos="0" relativeHeight="251657728" behindDoc="1" locked="0" layoutInCell="0" allowOverlap="1">
            <wp:simplePos x="0" y="0"/>
            <wp:positionH relativeFrom="column">
              <wp:posOffset>575945</wp:posOffset>
            </wp:positionH>
            <wp:positionV relativeFrom="paragraph">
              <wp:posOffset>-8117205</wp:posOffset>
            </wp:positionV>
            <wp:extent cx="580326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03265" cy="1631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-7791450</wp:posOffset>
            </wp:positionV>
            <wp:extent cx="7016115" cy="8895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8895080"/>
                    </a:xfrm>
                    <a:prstGeom prst="rect">
                      <a:avLst/>
                    </a:prstGeom>
                    <a:noFill/>
                  </pic:spPr>
                </pic:pic>
              </a:graphicData>
            </a:graphic>
          </wp:anchor>
        </w:drawing>
      </w:r>
    </w:p>
    <w:p>
      <w:pPr>
        <w:sectPr>
          <w:pgSz w:w="11900" w:h="16838" w:orient="portrait"/>
          <w:cols w:equalWidth="0" w:num="1">
            <w:col w:w="11040"/>
          </w:cols>
          <w:pgMar w:left="420" w:top="140" w:right="439" w:bottom="877" w:gutter="0" w:footer="0" w:header="0"/>
        </w:sectPr>
      </w:pPr>
    </w:p>
    <w:p>
      <w:pPr>
        <w:spacing w:after="0" w:line="2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Substantially all revenue is earned from affiliates of the Company. See accompanying notes.</w:t>
      </w:r>
    </w:p>
    <w:p>
      <w:pPr>
        <w:sectPr>
          <w:pgSz w:w="11900" w:h="16838" w:orient="portrait"/>
          <w:cols w:equalWidth="0" w:num="1">
            <w:col w:w="11040"/>
          </w:cols>
          <w:pgMar w:left="420" w:top="140" w:right="439" w:bottom="877" w:gutter="0" w:footer="0" w:header="0"/>
          <w:type w:val="continuous"/>
        </w:sectPr>
      </w:pPr>
    </w:p>
    <w:bookmarkStart w:id="6" w:name="page7"/>
    <w:bookmarkEnd w:id="6"/>
    <w:p>
      <w:pPr>
        <w:jc w:val="center"/>
        <w:ind w:right="-1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7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927735"/>
                    </a:xfrm>
                    <a:prstGeom prst="rect">
                      <a:avLst/>
                    </a:prstGeom>
                    <a:noFill/>
                  </pic:spPr>
                </pic:pic>
              </a:graphicData>
            </a:graphic>
          </wp:anchor>
        </w:drawing>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9073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00" w:lineRule="exact"/>
        <w:rPr>
          <w:sz w:val="20"/>
          <w:szCs w:val="20"/>
          <w:color w:val="auto"/>
        </w:rPr>
      </w:pPr>
    </w:p>
    <w:p>
      <w:pPr>
        <w:spacing w:after="0" w:line="223"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53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3"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53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7"/>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98.8</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0" w:type="dxa"/>
            <w:vAlign w:val="bottom"/>
          </w:tcPr>
          <w:p>
            <w:pPr>
              <w:spacing w:after="0"/>
              <w:rPr>
                <w:sz w:val="1"/>
                <w:szCs w:val="1"/>
                <w:color w:val="auto"/>
              </w:rPr>
            </w:pPr>
          </w:p>
        </w:tc>
      </w:tr>
      <w:tr>
        <w:trPr>
          <w:trHeight w:val="256"/>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57"/>
        </w:trPr>
        <w:tc>
          <w:tcPr>
            <w:tcW w:w="5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Defined benefit plans</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Unrealized income for the period</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6"/>
        </w:trPr>
        <w:tc>
          <w:tcPr>
            <w:tcW w:w="53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Reclassification adjustment for gain during the period, included in</w:t>
            </w:r>
          </w:p>
        </w:tc>
        <w:tc>
          <w:tcPr>
            <w:tcW w:w="2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3"/>
        </w:trPr>
        <w:tc>
          <w:tcPr>
            <w:tcW w:w="534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6"/>
                <w:szCs w:val="16"/>
                <w:color w:val="auto"/>
              </w:rPr>
              <w:t>cash-based compensation and benefits expense</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(20.4)</w:t>
            </w:r>
          </w:p>
        </w:tc>
        <w:tc>
          <w:tcPr>
            <w:tcW w:w="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36"/>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 in</w:t>
            </w:r>
          </w:p>
        </w:tc>
        <w:tc>
          <w:tcPr>
            <w:tcW w:w="22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consolidated entities</w:t>
            </w: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Comprehensive income attributable to The Carlyle Group Inc.</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47.9</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3505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350520"/>
                    </a:xfrm>
                    <a:prstGeom prst="rect">
                      <a:avLst/>
                    </a:prstGeom>
                    <a:noFill/>
                  </pic:spPr>
                </pic:pic>
              </a:graphicData>
            </a:graphic>
          </wp:anchor>
        </w:drawing>
      </w:r>
    </w:p>
    <w:p>
      <w:pPr>
        <w:sectPr>
          <w:pgSz w:w="11900" w:h="16838" w:orient="portrait"/>
          <w:cols w:equalWidth="0" w:num="1">
            <w:col w:w="9139"/>
          </w:cols>
          <w:pgMar w:left="1320" w:top="94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9139"/>
          </w:cols>
          <w:pgMar w:left="1320" w:top="945" w:right="1440" w:bottom="0" w:gutter="0" w:footer="0" w:header="0"/>
          <w:type w:val="continuous"/>
        </w:sectPr>
      </w:pPr>
    </w:p>
    <w:bookmarkStart w:id="7" w:name="page8"/>
    <w:bookmarkEnd w:id="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7115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8711565"/>
                    </a:xfrm>
                    <a:prstGeom prst="rect">
                      <a:avLst/>
                    </a:prstGeom>
                    <a:noFill/>
                  </pic:spPr>
                </pic:pic>
              </a:graphicData>
            </a:graphic>
          </wp:anchor>
        </w:drawing>
        <w:t>The Carlyle Group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(Dollars and shares in millions)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960" w:type="dxa"/>
            <w:vAlign w:val="bottom"/>
          </w:tcPr>
          <w:p>
            <w:pPr>
              <w:spacing w:after="0"/>
              <w:rPr>
                <w:sz w:val="12"/>
                <w:szCs w:val="12"/>
                <w:color w:val="auto"/>
              </w:rPr>
            </w:pPr>
          </w:p>
        </w:tc>
        <w:tc>
          <w:tcPr>
            <w:tcW w:w="8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4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940" w:type="dxa"/>
            <w:vAlign w:val="bottom"/>
            <w:gridSpan w:val="4"/>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7"/>
        </w:trPr>
        <w:tc>
          <w:tcPr>
            <w:tcW w:w="296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84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4"/>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4"/>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1"/>
                <w:szCs w:val="11"/>
                <w:color w:val="auto"/>
              </w:rPr>
            </w:pPr>
          </w:p>
        </w:tc>
        <w:tc>
          <w:tcPr>
            <w:tcW w:w="940" w:type="dxa"/>
            <w:vAlign w:val="bottom"/>
            <w:gridSpan w:val="4"/>
          </w:tcPr>
          <w:p>
            <w:pPr>
              <w:jc w:val="center"/>
              <w:ind w:right="60"/>
              <w:spacing w:after="0" w:line="137"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6"/>
                <w:szCs w:val="16"/>
                <w:color w:val="auto"/>
              </w:rPr>
            </w:pPr>
          </w:p>
        </w:tc>
        <w:tc>
          <w:tcPr>
            <w:tcW w:w="7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361.3</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3,403.0</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2,082.1</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(297.3)</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593.1</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5,784.5</w:t>
            </w:r>
          </w:p>
        </w:tc>
        <w:tc>
          <w:tcPr>
            <w:tcW w:w="0" w:type="dxa"/>
            <w:vAlign w:val="bottom"/>
          </w:tcPr>
          <w:p>
            <w:pPr>
              <w:spacing w:after="0"/>
              <w:rPr>
                <w:sz w:val="1"/>
                <w:szCs w:val="1"/>
                <w:color w:val="auto"/>
              </w:rPr>
            </w:pPr>
          </w:p>
        </w:tc>
      </w:tr>
      <w:tr>
        <w:trPr>
          <w:trHeight w:val="216"/>
        </w:trPr>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Shares repurchased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shares issued for equity-based awards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216"/>
        </w:trPr>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Dividend-equivalent rights on certain equity-</w:t>
            </w:r>
          </w:p>
        </w:tc>
        <w:tc>
          <w:tcPr>
            <w:tcW w:w="8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based awards</w:t>
            </w:r>
          </w:p>
        </w:tc>
        <w:tc>
          <w:tcPr>
            <w:tcW w:w="88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Contributions</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Dividends and distributions</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0" w:type="dxa"/>
            <w:vAlign w:val="bottom"/>
          </w:tcPr>
          <w:p>
            <w:pPr>
              <w:spacing w:after="0"/>
              <w:rPr>
                <w:sz w:val="1"/>
                <w:szCs w:val="1"/>
                <w:color w:val="auto"/>
              </w:rPr>
            </w:pPr>
          </w:p>
        </w:tc>
      </w:tr>
      <w:tr>
        <w:trPr>
          <w:trHeight w:val="216"/>
        </w:trPr>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16"/>
        </w:trPr>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Defined benefit plans, net</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4"/>
        </w:trPr>
        <w:tc>
          <w:tcPr>
            <w:tcW w:w="2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3,513.9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1,868.2</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(315.0)</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669.3</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5,740.0</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4"/>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94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9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Paid-in-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940" w:type="dxa"/>
            <w:vAlign w:val="bottom"/>
            <w:gridSpan w:val="4"/>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9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362.3</w:t>
            </w:r>
          </w:p>
        </w:tc>
        <w:tc>
          <w:tcPr>
            <w:tcW w:w="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3,138.5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3,401.1</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(322.2)</w:t>
            </w:r>
          </w:p>
        </w:tc>
        <w:tc>
          <w:tcPr>
            <w:tcW w:w="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600.3</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6,821.3</w:t>
            </w:r>
          </w:p>
        </w:tc>
        <w:tc>
          <w:tcPr>
            <w:tcW w:w="0" w:type="dxa"/>
            <w:vAlign w:val="bottom"/>
          </w:tcPr>
          <w:p>
            <w:pPr>
              <w:spacing w:after="0"/>
              <w:rPr>
                <w:sz w:val="1"/>
                <w:szCs w:val="1"/>
                <w:color w:val="auto"/>
              </w:rPr>
            </w:pPr>
          </w:p>
        </w:tc>
      </w:tr>
      <w:tr>
        <w:trPr>
          <w:trHeight w:val="211"/>
        </w:trPr>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Shares repurchased</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0" w:type="dxa"/>
            <w:vAlign w:val="bottom"/>
          </w:tcPr>
          <w:p>
            <w:pPr>
              <w:spacing w:after="0"/>
              <w:rPr>
                <w:sz w:val="1"/>
                <w:szCs w:val="1"/>
                <w:color w:val="auto"/>
              </w:rPr>
            </w:pPr>
          </w:p>
        </w:tc>
      </w:tr>
      <w:tr>
        <w:trPr>
          <w:trHeight w:val="221"/>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Shares issued for equity-based awards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171"/>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Dividend-equivalent rights on certain equity-</w:t>
            </w:r>
          </w:p>
        </w:tc>
        <w:tc>
          <w:tcPr>
            <w:tcW w:w="8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based awards</w:t>
            </w:r>
          </w:p>
        </w:tc>
        <w:tc>
          <w:tcPr>
            <w:tcW w:w="88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Contributions</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221"/>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Dividends and distributions</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0" w:type="dxa"/>
            <w:vAlign w:val="bottom"/>
          </w:tcPr>
          <w:p>
            <w:pPr>
              <w:spacing w:after="0"/>
              <w:rPr>
                <w:sz w:val="1"/>
                <w:szCs w:val="1"/>
                <w:color w:val="auto"/>
              </w:rPr>
            </w:pPr>
          </w:p>
        </w:tc>
      </w:tr>
      <w:tr>
        <w:trPr>
          <w:trHeight w:val="211"/>
        </w:trPr>
        <w:tc>
          <w:tcPr>
            <w:tcW w:w="2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0" w:type="dxa"/>
            <w:vAlign w:val="bottom"/>
          </w:tcPr>
          <w:p>
            <w:pPr>
              <w:spacing w:after="0"/>
              <w:rPr>
                <w:sz w:val="1"/>
                <w:szCs w:val="1"/>
                <w:color w:val="auto"/>
              </w:rPr>
            </w:pPr>
          </w:p>
        </w:tc>
      </w:tr>
      <w:tr>
        <w:trPr>
          <w:trHeight w:val="221"/>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211"/>
        </w:trPr>
        <w:tc>
          <w:tcPr>
            <w:tcW w:w="2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Defined benefit plans, net</w:t>
            </w:r>
          </w:p>
        </w:tc>
        <w:tc>
          <w:tcPr>
            <w:tcW w:w="8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362.1</w:t>
            </w:r>
          </w:p>
        </w:tc>
        <w:tc>
          <w:tcPr>
            <w:tcW w:w="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3,195.5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3,280.9</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(305.2)</w:t>
            </w: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636.7</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6,811.5</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17221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172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3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331"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73" w:lineRule="exact"/>
        <w:rPr>
          <w:sz w:val="20"/>
          <w:szCs w:val="20"/>
          <w:color w:val="auto"/>
        </w:rPr>
      </w:pPr>
    </w:p>
    <w:p>
      <w:pPr>
        <w:ind w:left="7120"/>
        <w:spacing w:after="0"/>
        <w:tabs>
          <w:tab w:leader="none" w:pos="842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p>
      <w:pPr>
        <w:sectPr>
          <w:pgSz w:w="11900" w:h="16838" w:orient="portrait"/>
          <w:cols w:equalWidth="0" w:num="1">
            <w:col w:w="9600"/>
          </w:cols>
          <w:pgMar w:left="1320" w:top="495" w:right="979" w:bottom="0" w:gutter="0" w:footer="0" w:header="0"/>
        </w:sectPr>
      </w:pPr>
    </w:p>
    <w:bookmarkStart w:id="8" w:name="page9"/>
    <w:bookmarkEnd w:id="8"/>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98.8</w:t>
            </w:r>
          </w:p>
        </w:tc>
        <w:tc>
          <w:tcPr>
            <w:tcW w:w="8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0" w:type="dxa"/>
            <w:vAlign w:val="bottom"/>
          </w:tcPr>
          <w:p>
            <w:pPr>
              <w:spacing w:after="0"/>
              <w:rPr>
                <w:sz w:val="1"/>
                <w:szCs w:val="1"/>
                <w:color w:val="auto"/>
              </w:rPr>
            </w:pPr>
          </w:p>
        </w:tc>
      </w:tr>
      <w:tr>
        <w:trPr>
          <w:trHeight w:val="73"/>
        </w:trPr>
        <w:tc>
          <w:tcPr>
            <w:tcW w:w="6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Adjustments to reconcile net income to net cash flows from operating activities:</w:t>
            </w:r>
          </w:p>
        </w:tc>
        <w:tc>
          <w:tcPr>
            <w:tcW w:w="4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66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6640" w:type="dxa"/>
            <w:vAlign w:val="bottom"/>
            <w:tcBorders>
              <w:bottom w:val="single" w:sz="8" w:color="CCEEFF"/>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45.3</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12"/>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108.3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0" w:type="dxa"/>
            <w:vAlign w:val="bottom"/>
          </w:tcPr>
          <w:p>
            <w:pPr>
              <w:spacing w:after="0"/>
              <w:rPr>
                <w:sz w:val="1"/>
                <w:szCs w:val="1"/>
                <w:color w:val="auto"/>
              </w:rPr>
            </w:pPr>
          </w:p>
        </w:tc>
      </w:tr>
      <w:tr>
        <w:trPr>
          <w:trHeight w:val="44"/>
        </w:trPr>
        <w:tc>
          <w:tcPr>
            <w:tcW w:w="6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Non-cash performance allocations and incentive fees, net</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190.9</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0" w:type="dxa"/>
            <w:vAlign w:val="bottom"/>
          </w:tcPr>
          <w:p>
            <w:pPr>
              <w:spacing w:after="0"/>
              <w:rPr>
                <w:sz w:val="1"/>
                <w:szCs w:val="1"/>
                <w:color w:val="auto"/>
              </w:rPr>
            </w:pPr>
          </w:p>
        </w:tc>
      </w:tr>
      <w:tr>
        <w:trPr>
          <w:trHeight w:val="212"/>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Non-cash principal investment income</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44"/>
        </w:trPr>
        <w:tc>
          <w:tcPr>
            <w:tcW w:w="6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non-cash amounts</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0"/>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Consolidated Funds related:</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6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Realized/unrealized (gain) loss on investments of Consolidated Funds</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(82.7)</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0" w:type="dxa"/>
            <w:vAlign w:val="bottom"/>
          </w:tcPr>
          <w:p>
            <w:pPr>
              <w:spacing w:after="0"/>
              <w:rPr>
                <w:sz w:val="1"/>
                <w:szCs w:val="1"/>
                <w:color w:val="auto"/>
              </w:rPr>
            </w:pPr>
          </w:p>
        </w:tc>
      </w:tr>
      <w:tr>
        <w:trPr>
          <w:trHeight w:val="212"/>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Realized/unrealized (gain) loss from loans payable of Consolidated Funds</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0" w:type="dxa"/>
            <w:vAlign w:val="bottom"/>
          </w:tcPr>
          <w:p>
            <w:pPr>
              <w:spacing w:after="0"/>
              <w:rPr>
                <w:sz w:val="1"/>
                <w:szCs w:val="1"/>
                <w:color w:val="auto"/>
              </w:rPr>
            </w:pPr>
          </w:p>
        </w:tc>
      </w:tr>
      <w:tr>
        <w:trPr>
          <w:trHeight w:val="44"/>
        </w:trPr>
        <w:tc>
          <w:tcPr>
            <w:tcW w:w="6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Purchases of investments by Consolidated Funds</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(1,477.3)</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(386.6)</w:t>
            </w:r>
          </w:p>
        </w:tc>
        <w:tc>
          <w:tcPr>
            <w:tcW w:w="0" w:type="dxa"/>
            <w:vAlign w:val="bottom"/>
          </w:tcPr>
          <w:p>
            <w:pPr>
              <w:spacing w:after="0"/>
              <w:rPr>
                <w:sz w:val="1"/>
                <w:szCs w:val="1"/>
                <w:color w:val="auto"/>
              </w:rPr>
            </w:pPr>
          </w:p>
        </w:tc>
      </w:tr>
      <w:tr>
        <w:trPr>
          <w:trHeight w:val="212"/>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sales and settlements of investments by Consolidated Funds</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1,276.3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0" w:type="dxa"/>
            <w:vAlign w:val="bottom"/>
          </w:tcPr>
          <w:p>
            <w:pPr>
              <w:spacing w:after="0"/>
              <w:rPr>
                <w:sz w:val="1"/>
                <w:szCs w:val="1"/>
                <w:color w:val="auto"/>
              </w:rPr>
            </w:pPr>
          </w:p>
        </w:tc>
      </w:tr>
      <w:tr>
        <w:trPr>
          <w:trHeight w:val="44"/>
        </w:trPr>
        <w:tc>
          <w:tcPr>
            <w:tcW w:w="6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Non-cash interest income, net</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2"/>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 in cash and cash equivalents held at Consolidated Funds</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44"/>
        </w:trPr>
        <w:tc>
          <w:tcPr>
            <w:tcW w:w="6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Change in other receivables held at Consolidated Funds</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(65.0)</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2"/>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 in other liabilities held at Consolidated Funds</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227.9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44"/>
        </w:trPr>
        <w:tc>
          <w:tcPr>
            <w:tcW w:w="6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Purchases of investments</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(145.1)</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12"/>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Proceeds from the sale of investments</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102.1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0" w:type="dxa"/>
            <w:vAlign w:val="bottom"/>
          </w:tcPr>
          <w:p>
            <w:pPr>
              <w:spacing w:after="0"/>
              <w:rPr>
                <w:sz w:val="1"/>
                <w:szCs w:val="1"/>
                <w:color w:val="auto"/>
              </w:rPr>
            </w:pPr>
          </w:p>
        </w:tc>
      </w:tr>
      <w:tr>
        <w:trPr>
          <w:trHeight w:val="44"/>
        </w:trPr>
        <w:tc>
          <w:tcPr>
            <w:tcW w:w="6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Payments of contingent consideration</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0" w:type="dxa"/>
            <w:vAlign w:val="bottom"/>
          </w:tcPr>
          <w:p>
            <w:pPr>
              <w:spacing w:after="0"/>
              <w:rPr>
                <w:sz w:val="1"/>
                <w:szCs w:val="1"/>
                <w:color w:val="auto"/>
              </w:rPr>
            </w:pPr>
          </w:p>
        </w:tc>
      </w:tr>
      <w:tr>
        <w:trPr>
          <w:trHeight w:val="212"/>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Changes in deferred taxes, net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44"/>
        </w:trPr>
        <w:tc>
          <w:tcPr>
            <w:tcW w:w="6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Change in due from affiliates and other receivables</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2"/>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Change in deposits and other</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44"/>
        </w:trPr>
        <w:tc>
          <w:tcPr>
            <w:tcW w:w="6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Change in accounts payable, accrued expenses and other 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41.5</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0" w:type="dxa"/>
            <w:vAlign w:val="bottom"/>
          </w:tcPr>
          <w:p>
            <w:pPr>
              <w:spacing w:after="0"/>
              <w:rPr>
                <w:sz w:val="1"/>
                <w:szCs w:val="1"/>
                <w:color w:val="auto"/>
              </w:rPr>
            </w:pPr>
          </w:p>
        </w:tc>
      </w:tr>
      <w:tr>
        <w:trPr>
          <w:trHeight w:val="212"/>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Change in accrued compensation and benefits</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(365.6)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(371.9)</w:t>
            </w:r>
          </w:p>
        </w:tc>
        <w:tc>
          <w:tcPr>
            <w:tcW w:w="0" w:type="dxa"/>
            <w:vAlign w:val="bottom"/>
          </w:tcPr>
          <w:p>
            <w:pPr>
              <w:spacing w:after="0"/>
              <w:rPr>
                <w:sz w:val="1"/>
                <w:szCs w:val="1"/>
                <w:color w:val="auto"/>
              </w:rPr>
            </w:pPr>
          </w:p>
        </w:tc>
      </w:tr>
      <w:tr>
        <w:trPr>
          <w:trHeight w:val="44"/>
        </w:trPr>
        <w:tc>
          <w:tcPr>
            <w:tcW w:w="6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Change in due to affiliates</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2"/>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Change in lease right-of-use assets and lease liabilities</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44"/>
        </w:trPr>
        <w:tc>
          <w:tcPr>
            <w:tcW w:w="6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Change in deferred revenue</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251.6</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w:t>
            </w:r>
          </w:p>
        </w:tc>
        <w:tc>
          <w:tcPr>
            <w:tcW w:w="0" w:type="dxa"/>
            <w:vAlign w:val="bottom"/>
          </w:tcPr>
          <w:p>
            <w:pPr>
              <w:spacing w:after="0"/>
              <w:rPr>
                <w:sz w:val="1"/>
                <w:szCs w:val="1"/>
                <w:color w:val="auto"/>
              </w:rPr>
            </w:pPr>
          </w:p>
        </w:tc>
      </w:tr>
      <w:tr>
        <w:trPr>
          <w:trHeight w:val="212"/>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0" w:type="dxa"/>
            <w:vAlign w:val="bottom"/>
          </w:tcPr>
          <w:p>
            <w:pPr>
              <w:spacing w:after="0"/>
              <w:rPr>
                <w:sz w:val="1"/>
                <w:szCs w:val="1"/>
                <w:color w:val="auto"/>
              </w:rPr>
            </w:pPr>
          </w:p>
        </w:tc>
      </w:tr>
      <w:tr>
        <w:trPr>
          <w:trHeight w:val="44"/>
        </w:trPr>
        <w:tc>
          <w:tcPr>
            <w:tcW w:w="6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Purchases of corporate treasury investments</w:t>
            </w:r>
          </w:p>
        </w:tc>
        <w:tc>
          <w:tcPr>
            <w:tcW w:w="4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0" w:type="dxa"/>
            <w:vAlign w:val="bottom"/>
          </w:tcPr>
          <w:p>
            <w:pPr>
              <w:spacing w:after="0"/>
              <w:rPr>
                <w:sz w:val="1"/>
                <w:szCs w:val="1"/>
                <w:color w:val="auto"/>
              </w:rPr>
            </w:pPr>
          </w:p>
        </w:tc>
      </w:tr>
      <w:tr>
        <w:trPr>
          <w:trHeight w:val="44"/>
        </w:trPr>
        <w:tc>
          <w:tcPr>
            <w:tcW w:w="66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6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Proceeds from corporate treasury investments</w:t>
            </w:r>
          </w:p>
        </w:tc>
        <w:tc>
          <w:tcPr>
            <w:tcW w:w="4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12"/>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Purchases of fixed assets, net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44"/>
        </w:trPr>
        <w:tc>
          <w:tcPr>
            <w:tcW w:w="6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0" w:type="dxa"/>
            <w:vAlign w:val="bottom"/>
          </w:tcPr>
          <w:p>
            <w:pPr>
              <w:spacing w:after="0"/>
              <w:rPr>
                <w:sz w:val="1"/>
                <w:szCs w:val="1"/>
                <w:color w:val="auto"/>
              </w:rPr>
            </w:pPr>
          </w:p>
        </w:tc>
      </w:tr>
      <w:tr>
        <w:trPr>
          <w:trHeight w:val="256"/>
        </w:trPr>
        <w:tc>
          <w:tcPr>
            <w:tcW w:w="6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-5708650</wp:posOffset>
            </wp:positionV>
            <wp:extent cx="7016115" cy="73399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7339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3093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3093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3"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56"/>
        </w:trPr>
        <w:tc>
          <w:tcPr>
            <w:tcW w:w="5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22"/>
                <w:szCs w:val="22"/>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7"/>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Payments on CLO borrowings</w:t>
            </w:r>
          </w:p>
        </w:tc>
        <w:tc>
          <w:tcPr>
            <w:tcW w:w="1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(13.9)</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5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Net borrowings on loans payable of Consolidated Funds</w:t>
            </w:r>
          </w:p>
        </w:tc>
        <w:tc>
          <w:tcPr>
            <w:tcW w:w="112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45.3</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r>
      <w:tr>
        <w:trPr>
          <w:trHeight w:val="25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Dividends to common stockholders</w:t>
            </w:r>
          </w:p>
        </w:tc>
        <w:tc>
          <w:tcPr>
            <w:tcW w:w="1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(126.7)</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r>
      <w:tr>
        <w:trPr>
          <w:trHeight w:val="25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Payment of deferred consideration for Carlyle Holdings units</w:t>
            </w:r>
          </w:p>
        </w:tc>
        <w:tc>
          <w:tcPr>
            <w:tcW w:w="1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(68.8)</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r>
      <w:tr>
        <w:trPr>
          <w:trHeight w:val="25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Contributions from non-controlling interest holders</w:t>
            </w:r>
          </w:p>
        </w:tc>
        <w:tc>
          <w:tcPr>
            <w:tcW w:w="112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64.7</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5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1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(19.0)</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5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Common shares repurchased and net share settlement of equity awards</w:t>
            </w:r>
          </w:p>
        </w:tc>
        <w:tc>
          <w:tcPr>
            <w:tcW w:w="1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(150.0)</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r>
      <w:tr>
        <w:trPr>
          <w:trHeight w:val="25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Change in due to/from affiliates financing activities</w:t>
            </w:r>
          </w:p>
        </w:tc>
        <w:tc>
          <w:tcPr>
            <w:tcW w:w="112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51.7</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r>
      <w:tr>
        <w:trPr>
          <w:trHeight w:val="25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(216.7)</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r>
      <w:tr>
        <w:trPr>
          <w:trHeight w:val="25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Effect of foreign exchange rate changes</w:t>
            </w:r>
          </w:p>
        </w:tc>
        <w:tc>
          <w:tcPr>
            <w:tcW w:w="1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5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Decrease in cash, cash equivalents and restricted cash</w:t>
            </w:r>
          </w:p>
        </w:tc>
        <w:tc>
          <w:tcPr>
            <w:tcW w:w="1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(164.2)</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(334.6)</w:t>
            </w:r>
          </w:p>
        </w:tc>
      </w:tr>
      <w:tr>
        <w:trPr>
          <w:trHeight w:val="25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12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1,442.1</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1,361.5</w:t>
            </w:r>
          </w:p>
        </w:tc>
      </w:tr>
      <w:tr>
        <w:trPr>
          <w:trHeight w:val="257"/>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1,277.9</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1,026.9</w:t>
            </w:r>
          </w:p>
        </w:tc>
      </w:tr>
    </w:tbl>
    <w:p>
      <w:pPr>
        <w:sectPr>
          <w:pgSz w:w="11900" w:h="16885" w:orient="portrait"/>
          <w:cols w:equalWidth="0" w:num="1">
            <w:col w:w="9220"/>
          </w:cols>
          <w:pgMar w:left="1320" w:top="110" w:right="1359" w:bottom="0" w:gutter="0" w:footer="0" w:header="0"/>
        </w:sectPr>
      </w:pPr>
    </w:p>
    <w:bookmarkStart w:id="9" w:name="page10"/>
    <w:bookmarkEnd w:id="9"/>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9683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59683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2"/>
        </w:trPr>
        <w:tc>
          <w:tcPr>
            <w:tcW w:w="66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6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640" w:type="dxa"/>
            <w:vAlign w:val="bottom"/>
            <w:vMerge w:val="continue"/>
          </w:tcPr>
          <w:p>
            <w:pPr>
              <w:spacing w:after="0"/>
              <w:rPr>
                <w:sz w:val="17"/>
                <w:szCs w:val="17"/>
                <w:color w:val="auto"/>
              </w:rPr>
            </w:pPr>
          </w:p>
        </w:tc>
        <w:tc>
          <w:tcPr>
            <w:tcW w:w="4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1,276.5</w:t>
            </w:r>
          </w:p>
        </w:tc>
        <w:tc>
          <w:tcPr>
            <w:tcW w:w="8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1,010.1</w:t>
            </w:r>
          </w:p>
        </w:tc>
        <w:tc>
          <w:tcPr>
            <w:tcW w:w="0" w:type="dxa"/>
            <w:vAlign w:val="bottom"/>
          </w:tcPr>
          <w:p>
            <w:pPr>
              <w:spacing w:after="0"/>
              <w:rPr>
                <w:sz w:val="1"/>
                <w:szCs w:val="1"/>
                <w:color w:val="auto"/>
              </w:rPr>
            </w:pPr>
          </w:p>
        </w:tc>
      </w:tr>
      <w:tr>
        <w:trPr>
          <w:trHeight w:val="31"/>
        </w:trPr>
        <w:tc>
          <w:tcPr>
            <w:tcW w:w="6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Restricted cash</w:t>
            </w:r>
          </w:p>
        </w:tc>
        <w:tc>
          <w:tcPr>
            <w:tcW w:w="4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23"/>
        </w:trPr>
        <w:tc>
          <w:tcPr>
            <w:tcW w:w="6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4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1,277.9</w:t>
            </w:r>
          </w:p>
        </w:tc>
        <w:tc>
          <w:tcPr>
            <w:tcW w:w="8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1,026.9</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 held at Consolidated Funds</w:t>
            </w:r>
          </w:p>
        </w:tc>
        <w:tc>
          <w:tcPr>
            <w:tcW w:w="4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426.0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0" w:type="dxa"/>
            <w:vAlign w:val="bottom"/>
          </w:tcPr>
          <w:p>
            <w:pPr>
              <w:spacing w:after="0"/>
              <w:rPr>
                <w:sz w:val="1"/>
                <w:szCs w:val="1"/>
                <w:color w:val="auto"/>
              </w:rPr>
            </w:pPr>
          </w:p>
        </w:tc>
      </w:tr>
      <w:tr>
        <w:trPr>
          <w:trHeight w:val="33"/>
        </w:trPr>
        <w:tc>
          <w:tcPr>
            <w:tcW w:w="66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4465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6115" cy="446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22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Carlyle is one of the world’s largest global investment firms that deploys private capital across its business and conducts its operations through three reportable segments: Global Private Equity, Global Credit and Global Investment Solutions (see Note 15, Segment Reporting). In the Global Private Equity segment, Carlyle advises buyout, growth, real estate, infrastructure and natural resources funds. The primary areas of focus for the Global Credit segment are liquid credit, private credit, real assets credit, and other credit such as insurance solutions, platform initiatives, and capital markets. The Global Investment Solutions segment provides investment opportunities and resources for investors and clients through secondary purchases and financing of existing portfolios, managed co-investment programs and primary fund investments. Carlyle typically serves as the general partner, investment manager or collateral manager, making day-to-day investment decisions concerning the assets of these products.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20" w:firstLine="450"/>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include the accounts of the Company and its consolidated subsidiaries. In addition, certain Carlyle-affiliated funds, related co-investment entities and certain CLOs managed by the Company (collectively the “Consolidated Funds”) have been consolidated in the accompanying financial statements pursuant to accounting principles generally accepted in the United States (“U.S. GAAP”), as described in Note 2, Summary of Significant Accounting Policies. The consolidation of the Consolidated Funds generally has a gross-up effect on assets, liabilities and cash flows, and generally has no effect on the net income attributable to the Company. The economic ownership interests of the other investors in the Consolidated Funds are reflected as non-controlling interests in consolidated entities in the accompanying condensed consolidated financial statements (see Note 2, Summary of Significant Accounting Policies).</w:t>
      </w:r>
    </w:p>
    <w:p>
      <w:pPr>
        <w:spacing w:after="0" w:line="192"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GAAP for interim financial information. These statements, including notes, have not been audited, exclude some of the disclosures</w:t>
      </w:r>
    </w:p>
    <w:p>
      <w:pPr>
        <w:sectPr>
          <w:pgSz w:w="11900" w:h="16914" w:orient="portrait"/>
          <w:cols w:equalWidth="0" w:num="1">
            <w:col w:w="9220"/>
          </w:cols>
          <w:pgMar w:left="1320" w:top="151" w:right="1359" w:bottom="0" w:gutter="0" w:footer="0" w:header="0"/>
        </w:sectPr>
      </w:pPr>
    </w:p>
    <w:bookmarkStart w:id="10" w:name="page11"/>
    <w:bookmarkEnd w:id="10"/>
    <w:p>
      <w:pPr>
        <w:spacing w:after="0" w:line="4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7"/>
          <w:szCs w:val="17"/>
          <w:color w:val="auto"/>
        </w:rPr>
        <w:t>required for annual financial statements, and should be read in conjunction with the audited consolidated financial statements included in the Company’s Annual Report on Form 10-K for the year ended December 31, 2023 filed with the U.S.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-247015</wp:posOffset>
            </wp:positionV>
            <wp:extent cx="7016115" cy="4596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4596765"/>
                    </a:xfrm>
                    <a:prstGeom prst="rect">
                      <a:avLst/>
                    </a:prstGeom>
                    <a:noFill/>
                  </pic:spPr>
                </pic:pic>
              </a:graphicData>
            </a:graphic>
          </wp:anchor>
        </w:drawing>
      </w:r>
    </w:p>
    <w:p>
      <w:pPr>
        <w:ind w:right="180"/>
        <w:spacing w:after="0" w:line="253" w:lineRule="auto"/>
        <w:rPr>
          <w:sz w:val="20"/>
          <w:szCs w:val="20"/>
          <w:color w:val="auto"/>
        </w:rPr>
      </w:pPr>
      <w:r>
        <w:rPr>
          <w:rFonts w:ascii="Times New Roman" w:cs="Times New Roman" w:eastAsia="Times New Roman" w:hAnsi="Times New Roman"/>
          <w:sz w:val="18"/>
          <w:szCs w:val="18"/>
          <w:color w:val="auto"/>
        </w:rPr>
        <w:t>and Exchange Commission (“SEC”) on February 22, 2024. The operating results presented for interim periods are not necessarily indicative of the results that may be expected for any other interim period or for the entire year. In the opinion of management, the condensed consolidated financial statements reflect all adjustments, consisting of normal recurring accruals, which are necessary for the fair presentation of the financial condition and results of operations for the interim periods presented.</w:t>
      </w:r>
    </w:p>
    <w:p>
      <w:pPr>
        <w:spacing w:after="0" w:line="183" w:lineRule="exact"/>
        <w:rPr>
          <w:sz w:val="20"/>
          <w:szCs w:val="20"/>
          <w:color w:val="auto"/>
        </w:rPr>
      </w:pPr>
    </w:p>
    <w:p>
      <w:pPr>
        <w:ind w:left="460" w:right="5680" w:hanging="453"/>
        <w:spacing w:after="0" w:line="503" w:lineRule="auto"/>
        <w:tabs>
          <w:tab w:leader="none" w:pos="19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w:t>
      </w:r>
    </w:p>
    <w:p>
      <w:pPr>
        <w:ind w:right="760" w:firstLine="445"/>
        <w:spacing w:after="0" w:line="282" w:lineRule="auto"/>
        <w:rPr>
          <w:sz w:val="20"/>
          <w:szCs w:val="20"/>
          <w:color w:val="auto"/>
        </w:rPr>
      </w:pPr>
      <w:r>
        <w:rPr>
          <w:rFonts w:ascii="Times New Roman" w:cs="Times New Roman" w:eastAsia="Times New Roman" w:hAnsi="Times New Roman"/>
          <w:sz w:val="18"/>
          <w:szCs w:val="18"/>
          <w:color w:val="auto"/>
        </w:rPr>
        <w:t>The Company consolidates all entities that it controls either through a majority voting interest or as the primary beneficiary of variable interest entities (“VIEs”).</w:t>
      </w:r>
    </w:p>
    <w:p>
      <w:pPr>
        <w:spacing w:after="0" w:line="162"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The Company evaluates (1) whether it holds a variable interest in an entity, (2) whether the entity is a VIE, and (3) whether the Company’s involvement would make it the primary beneficiary. In evaluating whether the Company holds a variable interest, fees (including management fees, incentive fees and performance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The Company considers all economic interests, including indirect interests, to determine if a fee is considered a variable interest.</w:t>
      </w:r>
    </w:p>
    <w:p>
      <w:pPr>
        <w:spacing w:after="0" w:line="18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For those entities where the Company holds a variable interest, the Company determines whether each of these entities qualifies as a VIE and, if so, whether or not the Company is the primary beneficiary. The assessment of whether the entity is a VIE is generally performed qualitatively, which requires judgment. These judgments include: (a) determining whether the equity investment at risk is sufficient to permit the entity to finance its activities without additional subordinated financial support, (b) evaluating whether the equity holders, as a group, can make decisions that have a significant effect on the economic performance of the entity, (c) determining whether two or more parties’ equity interests should be aggregated, and (d)</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5836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5836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determining whether the equity investors have proportionate voting rights to their obligations to absorb losses or rights to receive returns from an entity.</w:t>
      </w:r>
    </w:p>
    <w:p>
      <w:pPr>
        <w:spacing w:after="0" w:line="162"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For entities that are determined to be VIEs, the Company consolidates those entities where it has concluded it is the primary beneficiary. The primary beneficiary is defined as the variable interest holder with (a) the power to direct the activities of a VIE that most significantly impact the entity’s economic performance and (b) the obligation to absorb losses of the entity or the right to receive benefits from the entity that could potentially be significant to the VIE. In evaluating whether the Company is the primary beneficiary, the Company evaluates its economic interests in the entity held either directly or indirectly by the Company.</w:t>
      </w:r>
    </w:p>
    <w:p>
      <w:pPr>
        <w:spacing w:after="0" w:line="187" w:lineRule="exact"/>
        <w:rPr>
          <w:sz w:val="20"/>
          <w:szCs w:val="20"/>
          <w:color w:val="auto"/>
        </w:rPr>
      </w:pPr>
    </w:p>
    <w:p>
      <w:pPr>
        <w:ind w:right="20" w:firstLine="445"/>
        <w:spacing w:after="0" w:line="281" w:lineRule="auto"/>
        <w:rPr>
          <w:sz w:val="20"/>
          <w:szCs w:val="20"/>
          <w:color w:val="auto"/>
        </w:rPr>
      </w:pPr>
      <w:r>
        <w:rPr>
          <w:rFonts w:ascii="Times New Roman" w:cs="Times New Roman" w:eastAsia="Times New Roman" w:hAnsi="Times New Roman"/>
          <w:sz w:val="17"/>
          <w:szCs w:val="17"/>
          <w:color w:val="auto"/>
        </w:rPr>
        <w:t>As of March 31, 2024, assets and liabilities of the consolidated VIEs reflected in the condensed consolidated balance sheets were $8.1 billion and $7.1 billion, respectively. As of December 31, 2023, assets and liabilities of the consolidated VIEs reflected in the consolidated balance sheets were $7.8 billion and $6.9 billion, respectively. Except to the extent of the consolidated assets of the VIEs, the holders of the consolidated VIEs’ liabilities generally do not have recourse to the Company.</w:t>
      </w:r>
    </w:p>
    <w:p>
      <w:pPr>
        <w:spacing w:after="0" w:line="164" w:lineRule="exact"/>
        <w:rPr>
          <w:sz w:val="20"/>
          <w:szCs w:val="20"/>
          <w:color w:val="auto"/>
        </w:rPr>
      </w:pPr>
    </w:p>
    <w:p>
      <w:pPr>
        <w:ind w:right="120" w:firstLine="445"/>
        <w:spacing w:after="0" w:line="252" w:lineRule="auto"/>
        <w:rPr>
          <w:sz w:val="20"/>
          <w:szCs w:val="20"/>
          <w:color w:val="auto"/>
        </w:rPr>
      </w:pPr>
      <w:r>
        <w:rPr>
          <w:rFonts w:ascii="Times New Roman" w:cs="Times New Roman" w:eastAsia="Times New Roman" w:hAnsi="Times New Roman"/>
          <w:sz w:val="18"/>
          <w:szCs w:val="18"/>
          <w:color w:val="auto"/>
        </w:rPr>
        <w:t>The Company’s Consolidated Funds are primarily CLOs, which are VIEs that issue loans payable that are backed by diversified collateral asset portfolios consisting primarily of loans or structured debt. In exchange for managing the collateral for the CLOs, the Company earns investment management fees, including in some cases subordinated management fees and contingent incentive fees. In cases where the Company consolidates the CLOs (primarily because of a retained interest that is significant to the CLO), those management fees and contingent incentive fees have been eliminated as intercompany transactions. As of March 31, 2024, the Company held $184.4 million of investments in these CLOs which represents its maximum risk of loss. The Company’s investments in these CLOs are generally subordinated to other interests in the entities and entitle the Company to receive a pro rata portion of the residual cash flows, if any, from the entities. Investors in the CLOs have no recourse against the Company for any losses sustained in the CLO structure. The Company’s Consolidated Funds also include certain investment funds in our Global Private Equity segment that are accounted for as consolidated VIEs due to the Company providing financing to bridge investment purchases. As of March 31, 2024, the Company held $319.9 million of notes receivable and investments related to these investment funds which represents its maximum risk of loss. The Company’s Consolidated Funds also include certain funds in our Global Credit and Global Investment Solutions segments that are accounted for as consolidated VIEs due to the Company having a significant indirect interest in these funds via the Company’s investment in Fortitude (see Note 4, Investments).</w:t>
      </w:r>
    </w:p>
    <w:p>
      <w:pPr>
        <w:spacing w:after="0" w:line="196"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Entities that do not qualify as VIEs are generally assessed for consolidation as voting interest entities. Under the voting interest entity model, the Company consolidates those entities it controls through a majority voting interest.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significant inter-entity transactions and balances of entities consolidated have been eliminated.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Investments in Unconsolidated Variable Interest Entities</w:t>
      </w:r>
    </w:p>
    <w:p>
      <w:pPr>
        <w:sectPr>
          <w:pgSz w:w="11900" w:h="16887" w:orient="portrait"/>
          <w:cols w:equalWidth="0" w:num="1">
            <w:col w:w="9240"/>
          </w:cols>
          <w:pgMar w:left="1320" w:top="108" w:right="1339" w:bottom="0" w:gutter="0" w:footer="0" w:header="0"/>
        </w:sectPr>
      </w:pPr>
    </w:p>
    <w:bookmarkStart w:id="11" w:name="page12"/>
    <w:bookmarkEnd w:id="11"/>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2251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3225165"/>
                    </a:xfrm>
                    <a:prstGeom prst="rect">
                      <a:avLst/>
                    </a:prstGeom>
                    <a:noFill/>
                  </pic:spPr>
                </pic:pic>
              </a:graphicData>
            </a:graphic>
          </wp:anchor>
        </w:drawing>
      </w: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Company holds variable interests in certain VIEs that are not consolidated because the Company is not the primary beneficiary, including its investments in certain credit vehicles and certain AlpInvest vehicles, as well as its strategic investment in NGP Management Company, L.L.C. (“NGP Management” and, together with its affiliates, “NGP”). Refer to Note 4, Investments, for information on the strategic investment in NGP. The Company’s involvement with such entities is in the form of direct or indirect equity interests and fee arrangements. The maximum exposure to loss represents the loss of assets recognized by the Company relating to its variable interests in these unconsolidated entities.</w:t>
      </w:r>
    </w:p>
    <w:p>
      <w:pPr>
        <w:spacing w:after="0" w:line="187" w:lineRule="exact"/>
        <w:rPr>
          <w:sz w:val="20"/>
          <w:szCs w:val="20"/>
          <w:color w:val="auto"/>
        </w:rPr>
      </w:pPr>
    </w:p>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The assets recognized in the Company’s condensed consolidated balance sheets related to the Company’s variable interests in these non-consolidated VIEs were as follows:</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205"/>
        </w:trPr>
        <w:tc>
          <w:tcPr>
            <w:tcW w:w="40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20" w:type="dxa"/>
            <w:vAlign w:val="bottom"/>
            <w:tcBorders>
              <w:bottom w:val="single" w:sz="8" w:color="auto"/>
            </w:tcBorders>
          </w:tcPr>
          <w:p>
            <w:pPr>
              <w:spacing w:after="0"/>
              <w:rPr>
                <w:sz w:val="17"/>
                <w:szCs w:val="17"/>
                <w:color w:val="auto"/>
              </w:rPr>
            </w:pPr>
          </w:p>
        </w:tc>
      </w:tr>
      <w:tr>
        <w:trPr>
          <w:trHeight w:val="196"/>
        </w:trPr>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40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4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1,111.3</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1,118.4</w:t>
            </w:r>
          </w:p>
        </w:tc>
      </w:tr>
      <w:tr>
        <w:trPr>
          <w:trHeight w:val="256"/>
        </w:trPr>
        <w:tc>
          <w:tcPr>
            <w:tcW w:w="4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Accrued performance allocations</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544.6</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492.3</w:t>
            </w:r>
          </w:p>
        </w:tc>
      </w:tr>
      <w:tr>
        <w:trPr>
          <w:trHeight w:val="257"/>
        </w:trPr>
        <w:tc>
          <w:tcPr>
            <w:tcW w:w="4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Management fee receivables</w:t>
            </w: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77.4</w:t>
            </w:r>
          </w:p>
        </w:tc>
        <w:tc>
          <w:tcPr>
            <w:tcW w:w="6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r>
      <w:tr>
        <w:trPr>
          <w:trHeight w:val="210"/>
        </w:trPr>
        <w:tc>
          <w:tcPr>
            <w:tcW w:w="4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1,733.3</w:t>
            </w: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1,675.8</w:t>
            </w:r>
          </w:p>
        </w:tc>
      </w:tr>
      <w:tr>
        <w:trPr>
          <w:trHeight w:val="20"/>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72085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7208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These amounts represent the Company’s maximum exposure to loss related to the unconsolidated VIEs as of March 31, 2024 and December 31, 2023.</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229" w:lineRule="exact"/>
        <w:rPr>
          <w:sz w:val="20"/>
          <w:szCs w:val="20"/>
          <w:color w:val="auto"/>
        </w:rPr>
      </w:pPr>
    </w:p>
    <w:p>
      <w:pPr>
        <w:ind w:right="180" w:firstLine="445"/>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are prepared in accordance with U.S. GAAP. Management has determined that the Company’s Funds are investment companies under U.S. GAAP for the purposes of financial reporting. U.S. GAAP for an investment company requires investments to be recorded at estimated fair value and the unrealized gains and/or losses in an investment’s fair value are recognized on a current basis in the statements of operations. Additionally, the Funds do not consolidate their majority-owned and controlled investments (the “Portfolio Companies”). In the preparation of these condensed consolidated financial statements, the Company has retained the specialized accounting for the Funds.</w:t>
      </w:r>
    </w:p>
    <w:p>
      <w:pPr>
        <w:spacing w:after="0" w:line="187"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All of the investments held and notes issued by the Consolidated Funds are presented at their estimated fair values in the Company’s condensed consolidated balance sheets. Interest and other income of the Consolidated Funds, interest expense and other expenses of the Consolidated Funds, and net investment income (losses) of Consolidated Funds are included in the Company’s condensed consolidated statements of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assumptions and estimates that affect the reported amounts of assets and liabilities and disclosure of contingent assets and liabilities at the date of the condensed consolidated financial statements and the reported amounts of revenues and expenses during the reporting period. Management’s estimates are based on historical experiences and other factors, including expectations of future events that management believes to be reasonable under the circumstances. It also requires management to exercise judgment in the process of applying the Company’s accounting policies. Assumptions and estimates regarding the valuation of investments and their resulting impact on performance allocations and incentive fees involve a higher degree of judgment and complexity and these assumptions and estimates may be significant to the condensed consolidated financial statements and the resulting impact on performance allocations and incentive fees. Actual results could differ from these estimates and such differences could be material.</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the Company transfers promised goods or services to customers in an amount that reflects the consideration to which the Company expects to be entitled to in exchange for those goods or services. ASC 606 includes a five-step framework that requires an entity to: (i) identify the contract(s) with a customer, which includes assessing the collectability of the consideration to which it will be entitled in exchange for the goods or services transferred to the customer, (ii) identify the performance obligations in the contract, (iii) determine the transaction price, (iv) allocate the transaction price to the performance obligations in the contract, and (v) recognize revenue when the entity satisfies a performance obligation.</w:t>
      </w:r>
    </w:p>
    <w:p>
      <w:pPr>
        <w:spacing w:after="0" w:line="185"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performance allocations that represent a performance-based capital allocation from fund limited partners to the Company (commonly known as “carried interest”) as earnings from financial assets within the scope of ASC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xml:space="preserve"> , and therefore are not in the scope of ASC 606. In accordance with ASC 323, the Company records equity method income (losses) as a component of investment income based on the change in its proportionate claim on net assets of the investment fund, including performance allocations, assuming the investment fund was liquidated as of each reporting date pursuant to each fund’s governing agreements. See Note 4, Investments, for additional information on the components of investments and investment income. Performance fees that do not meet the definition of</w:t>
      </w:r>
    </w:p>
    <w:p>
      <w:pPr>
        <w:sectPr>
          <w:pgSz w:w="11900" w:h="16927" w:orient="portrait"/>
          <w:cols w:equalWidth="0" w:num="1">
            <w:col w:w="9220"/>
          </w:cols>
          <w:pgMar w:left="1320" w:top="337" w:right="1359" w:bottom="0" w:gutter="0" w:footer="0" w:header="0"/>
        </w:sectPr>
      </w:pPr>
    </w:p>
    <w:bookmarkStart w:id="12" w:name="page13"/>
    <w:bookmarkEnd w:id="12"/>
    <w:p>
      <w:pPr>
        <w:ind w:right="60"/>
        <w:spacing w:after="0" w:line="261" w:lineRule="auto"/>
        <w:rPr>
          <w:sz w:val="20"/>
          <w:szCs w:val="20"/>
          <w:color w:val="auto"/>
        </w:rPr>
      </w:pPr>
      <w:r>
        <w:rPr>
          <w:rFonts w:ascii="Times New Roman" w:cs="Times New Roman" w:eastAsia="Times New Roman" w:hAnsi="Times New Roman"/>
          <w:sz w:val="18"/>
          <w:szCs w:val="18"/>
          <w:color w:val="auto"/>
        </w:rPr>
        <w:t>performance-based capital allocations are in the scope of ASC 606 and are included in incentive fees in the condensed consolidated statements of operations. The calculation of unrealized performance revenues utilizes investment valuations of the funds’ underlying investments, which are derived using the policies, methodologies and templates prepared by the Company’s valuation group, as described in Note 3,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-559435</wp:posOffset>
            </wp:positionV>
            <wp:extent cx="7016115" cy="18535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1853565"/>
                    </a:xfrm>
                    <a:prstGeom prst="rect">
                      <a:avLst/>
                    </a:prstGeom>
                    <a:noFill/>
                  </pic:spPr>
                </pic:pic>
              </a:graphicData>
            </a:graphic>
          </wp:anchor>
        </w:drawing>
      </w:r>
    </w:p>
    <w:p>
      <w:pPr>
        <w:spacing w:after="0" w:line="160" w:lineRule="exact"/>
        <w:rPr>
          <w:sz w:val="20"/>
          <w:szCs w:val="20"/>
          <w:color w:val="auto"/>
        </w:rPr>
      </w:pPr>
    </w:p>
    <w:p>
      <w:pPr>
        <w:ind w:right="260" w:firstLine="445"/>
        <w:spacing w:after="0" w:line="266" w:lineRule="auto"/>
        <w:rPr>
          <w:sz w:val="20"/>
          <w:szCs w:val="20"/>
          <w:color w:val="auto"/>
        </w:rPr>
      </w:pPr>
      <w:r>
        <w:rPr>
          <w:rFonts w:ascii="Times New Roman" w:cs="Times New Roman" w:eastAsia="Times New Roman" w:hAnsi="Times New Roman"/>
          <w:sz w:val="18"/>
          <w:szCs w:val="18"/>
          <w:color w:val="auto"/>
        </w:rPr>
        <w:t>While the determination of who is the customer in a contractual arrangement will be made on a contract-by-contract basis, the customer will generally be the investment fund for the Company’s significant management and advisory contracts. The customer determination impacts the Company’s analysis of the accounting for contract costs.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85801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858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Fund Management Fees</w:t>
      </w:r>
    </w:p>
    <w:p>
      <w:pPr>
        <w:spacing w:after="0" w:line="22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Company provides management services to funds in which it holds a general partner interest or to funds or certain portfolio companies with which it has an investment advisory or investment management agreement. The Company considers the performance obligations in its contracts with its funds to be the promise to provide (or to arrange for third parties to provide) investment management services related to the management, policies and operations of the funds.</w:t>
      </w:r>
    </w:p>
    <w:p>
      <w:pPr>
        <w:spacing w:after="0" w:line="180"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As it relates to the Company’s performance obligation to provide investment management services, the Company typically satisfies this performance obligation over time as the services are rendered, since the funds simultaneously receive and consume the benefits provided as the Company performs the service. The transaction price is the amount of consideration to which the Company expects to be entitled in exchange for transferring the promised services to the funds. Management fees earned from each investment management contract over the contract life represent variable consideration because the consideration the Company is entitled to varies based on fluctuations in the basis for the management fee, for example fund net asset value (“NAV”) or assets under management (“AUM”). Given that the management fee basis is susceptible to market factors outside of the Company’s influence, management fees are constrained and, therefore, estimates of future period management fees are generally not included in the transaction price. Revenue recognized for the investment management services provided is generally the amount determined at the end of the period because that is when the uncertainty for that period is resolved.</w:t>
      </w:r>
    </w:p>
    <w:p>
      <w:pPr>
        <w:spacing w:after="0" w:line="192"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For closed-end carry funds in the Global Private Equity segment, management fees generally range from 1.0% to 2.0% of limited partners’ capital commitments during the fund’s commitment period. For closed-end carry funds in the Global Credit segment, management fees generally range from 1.0% to 2.0% of limited partners’ invested capital. Following the expiration or termination of the investment period, management fees generally are based on the lower of cost or fair value of invested capital and the rate charged may also be reduced. These terms may vary for certain separately managed accounts, longer-dated carry funds, and other closed-end funds. The Company will receive management fees during a specified period of time, which is generally ten years from the initial closing date, or, in some instances, from the final closing date, but such termination date may be earlier in certain limited circumstances or later if extended for successive one-year periods, typically up to a maximum of two years. Depending upon the contracted terms of investment advisory or investment management and related agreements, these fees are generally called semi-annually in advance and are recognized as earned over the subsequent six month period. For certain longer-dated carry funds and certain other closed-end funds, management fees are called quarterly over the life of the funds.</w:t>
      </w:r>
    </w:p>
    <w:p>
      <w:pPr>
        <w:spacing w:after="0" w:line="190" w:lineRule="exact"/>
        <w:rPr>
          <w:sz w:val="20"/>
          <w:szCs w:val="20"/>
          <w:color w:val="auto"/>
        </w:rPr>
      </w:pPr>
    </w:p>
    <w:p>
      <w:pPr>
        <w:ind w:right="40" w:firstLine="445"/>
        <w:spacing w:after="0" w:line="252" w:lineRule="auto"/>
        <w:rPr>
          <w:sz w:val="20"/>
          <w:szCs w:val="20"/>
          <w:color w:val="auto"/>
        </w:rPr>
      </w:pPr>
      <w:r>
        <w:rPr>
          <w:rFonts w:ascii="Times New Roman" w:cs="Times New Roman" w:eastAsia="Times New Roman" w:hAnsi="Times New Roman"/>
          <w:sz w:val="18"/>
          <w:szCs w:val="18"/>
          <w:color w:val="auto"/>
        </w:rPr>
        <w:t>Within the Global Credit segment, for CLOs and other structured products, management fees generally range from 0.4% to 0.5% based on the total par amount of assets or the aggregate principal amount of the notes in the CLO and are generally due quarterly in arrears based on the terms and recognized over the respective period. Management fees for the CLOs and other structured products are governed by indentures and collateral management agreements. The Company will receive management fees for the CLOs, generally five to ten years after issuance, including after the CLO redemption date up until all eligible assets are disposed of or at such time the collateral manager waives fees at its discretion. Management fees for the business development companies are due quarterly in arrears at annual rates that range from 1.0% of capital under management to 1.5% of gross assets, excluding cash and cash equivalents. Management fees for Carlyle Tactical Private Credit (“CTAC”) are due monthly in arrears at the annual rate of 1.0% of the month-end value of the CTAC’s net assets. Carlyle Aviation Partners’ funds have varying management fee arrangements depending on the strategy of the particular fund. Under the strategic advisory services agreement with Fortitude, the Company earns a recurring management fee based on Fortitude’s general account assets, which adjusts within an agreed range based on Fortitude’s overall profitability and which is due quarterly in arrears. Managed accounts across the Global Credit segment have varying management fee arrangements depending on the strategy of the particular account.</w:t>
      </w:r>
    </w:p>
    <w:p>
      <w:pPr>
        <w:spacing w:after="0" w:line="197"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Management fees for the Company’s carry fund vehicles in the Global Investment Solutions segment generally range from 0.25% to 1.5% of the vehicle’s capital commitments during the commitment fee period of the relevant fund. Following the expiration of the commitment fee period, the management fees generally range from 0.25% to 1.5% on (i) the net invested capital, (ii) the lower of cost or net asset value of the capital invested, or (iii) the net asset value for unrealized investments. Management fees for the Global Investment Solutions carry fund vehicles are generally due quarterly in advance and recognized over the related quarter. The investment adviser to CAPM is entitled to receive a monthly management fee equal to 1.25% on an annualized basis of the fund’s net asset value as of the last day of the month.</w:t>
      </w:r>
    </w:p>
    <w:p>
      <w:pPr>
        <w:sectPr>
          <w:pgSz w:w="11900" w:h="16838" w:orient="portrait"/>
          <w:cols w:equalWidth="0" w:num="1">
            <w:col w:w="9240"/>
          </w:cols>
          <w:pgMar w:left="1320" w:top="121" w:right="1339" w:bottom="195"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819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481965"/>
                    </a:xfrm>
                    <a:prstGeom prst="rect">
                      <a:avLst/>
                    </a:prstGeom>
                    <a:noFill/>
                  </pic:spPr>
                </pic:pic>
              </a:graphicData>
            </a:graphic>
          </wp:anchor>
        </w:drawing>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9073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The Company also provides transaction advisory and portfolio advisory services to the portfolio companies, and where covered by separate contractual agreements, recognizes fees for these services when the performance obligation has been satisfied and collection is reasonably assured. The Company is generally required to offset its fund management fees earned by a percentage of the transaction and advisory fees earned, which is referred to as the “rebate offset,” which is generally 100%. The Company also recognizes underwriting fees from the Company’s loan syndication and capital markets business, Carlyle Global Capital Markets. Fund management fees include transaction and portfolio advisory fees, as well as capital markets fees, of $23.8 million and $13.4 million for the three months ended March 31, 2024 and 2023, respectively, net of rebate offsets as defined in the respective partnership agreements.</w:t>
      </w:r>
    </w:p>
    <w:p>
      <w:pPr>
        <w:spacing w:after="0" w:line="19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Fund management fees exclude the reimbursement of any partnership expenses paid by the Company on behalf of the Carlyle funds pursuant to the limited partnership agreements, including amounts related to the pursuit of actual, proposed, or unconsummated investments, professional fees, expenses associated with the acquisition, holding and disposition of investments, and other fund administrative expenses. For the professional fees that the Company arranges for the investment funds, the Company concluded that the nature of its promise is to arrange for the services to be provided and it does not control the services provided by third parties before they are transferred to the customer. Therefore, the Company concluded it is acting in the capacity of an agent. Accordingly, the reimbursement for these professional fees paid on behalf of the investment funds is presented on a net basis in general, administrative and other expenses in the condensed consolidated statements of operations.</w:t>
      </w:r>
    </w:p>
    <w:p>
      <w:pPr>
        <w:spacing w:after="0" w:line="192"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The Company also incurs certain costs, primarily employee travel and entertainment costs, employee compensation and systems costs, for which it receives reimbursement from the investment funds in connection with its performance obligation to provide investment and management services. For reimbursable travel, compensation and systems costs, the Company concluded it controls the services provided by its employees and the resources used to develop applicable systems before they are transferred to the customer and therefore is a principal. Accordingly, the reimbursement for these costs incurred by the Company to manage the fund limited partnerships are presented on a gross basis in interest and other income in the condensed consolidated statements of operations and the expense in general, administrative and other expenses or cash-based compensation and benefits expenses in the condensed consolidated statements of operations.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Incentive Fees</w:t>
      </w:r>
    </w:p>
    <w:p>
      <w:pPr>
        <w:spacing w:after="0" w:line="229"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In connection with management contracts from certain of its Global Credit funds, the Company is also entitled to receive performance-based incentive fees when the return on assets under management exceeds certain benchmark returns or other performance targets. In such arrangements, incentive fees are recognized when the performance benchmark has been achieved. Incentive fees are variable consideration because they are contingent upon the investment vehicle achieving stipulated investment return hurdles. Investment returns are highly susceptible to market factors outside of the Company’s influence. Accordingly, incentive fees are constrained until all uncertainty is resolved. Estimates of future period incentive fees are generally not included in the transaction price because these estimates are constrained. The transaction price for incentive fees is generally the amount determined at the end of each accounting period to which they relate because that is when the uncertainty for that period is resolved, as these fees are not subject to clawback.</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 (Loss), including Performance Allocations</w:t>
      </w:r>
    </w:p>
    <w:p>
      <w:pPr>
        <w:spacing w:after="0" w:line="229"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Investment income (loss) represents the unrealized and realized gains and losses resulting from the Company’s equity method investments, including any associated general partner performance allocations, and other principal investments, including CLOs.</w:t>
      </w:r>
    </w:p>
    <w:p>
      <w:pPr>
        <w:spacing w:after="0" w:line="176" w:lineRule="exact"/>
        <w:rPr>
          <w:sz w:val="20"/>
          <w:szCs w:val="20"/>
          <w:color w:val="auto"/>
        </w:rPr>
      </w:pPr>
    </w:p>
    <w:p>
      <w:pPr>
        <w:ind w:right="620" w:firstLine="445"/>
        <w:spacing w:after="0" w:line="282" w:lineRule="auto"/>
        <w:rPr>
          <w:sz w:val="20"/>
          <w:szCs w:val="20"/>
          <w:color w:val="auto"/>
        </w:rPr>
      </w:pPr>
      <w:r>
        <w:rPr>
          <w:rFonts w:ascii="Times New Roman" w:cs="Times New Roman" w:eastAsia="Times New Roman" w:hAnsi="Times New Roman"/>
          <w:sz w:val="18"/>
          <w:szCs w:val="18"/>
          <w:color w:val="auto"/>
        </w:rPr>
        <w:t>General partner performance allocations consist of the allocation of profits from certain of the funds to which the Company is entitled (commonly known as carried interest).</w:t>
      </w:r>
    </w:p>
    <w:p>
      <w:pPr>
        <w:spacing w:after="0" w:line="16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For closed-end carry funds in the Global Private Equity and Global Credit segments, the Company is generally entitled to a 20% allocation (or approximately 2% to 12.5% for most of the Global Investment Solutions segment carry fund vehicles) of the net realized income or gain as a carried interest after returning the invested capital, the allocation of preferred returns of generally 7% to 9% and return of certain fund costs (generally subject to catch-up provisions as set forth in the fund limited partnership agreement). These terms may vary on longer-dated funds, certain credit funds, and external co-investment vehicles. Carried interest is recognized upon appreciation of the funds’ investment values above certain return hurdles set forth in each respective partnership agreement. The Company recognizes revenues attributable to performance allocations based upon the amount that would be due pursuant to the fund partnership agreement at each period end as if the funds were terminated at that</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796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6115" cy="79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9220"/>
          </w:cols>
          <w:pgMar w:left="1320" w:top="243" w:right="1359" w:bottom="0" w:gutter="0" w:footer="0" w:header="0"/>
        </w:sectPr>
      </w:pPr>
    </w:p>
    <w:bookmarkStart w:id="14" w:name="page15"/>
    <w:bookmarkEnd w:id="14"/>
    <w:p>
      <w:pPr>
        <w:spacing w:after="0" w:line="4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date. Accordingly, the amount recognized as investment income for performance allocations reflects the Company’s share of the gains and losses of the associated funds’ underlying investments measured at their then-current fair values relative to the fair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-238760</wp:posOffset>
            </wp:positionV>
            <wp:extent cx="7016115" cy="82657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8265795"/>
                    </a:xfrm>
                    <a:prstGeom prst="rect">
                      <a:avLst/>
                    </a:prstGeom>
                    <a:noFill/>
                  </pic:spPr>
                </pic:pic>
              </a:graphicData>
            </a:graphic>
          </wp:anchor>
        </w:drawing>
      </w:r>
    </w:p>
    <w:p>
      <w:pPr>
        <w:ind w:right="60"/>
        <w:spacing w:after="0" w:line="255" w:lineRule="auto"/>
        <w:rPr>
          <w:sz w:val="20"/>
          <w:szCs w:val="20"/>
          <w:color w:val="auto"/>
        </w:rPr>
      </w:pPr>
      <w:r>
        <w:rPr>
          <w:rFonts w:ascii="Times New Roman" w:cs="Times New Roman" w:eastAsia="Times New Roman" w:hAnsi="Times New Roman"/>
          <w:sz w:val="18"/>
          <w:szCs w:val="18"/>
          <w:color w:val="auto"/>
        </w:rPr>
        <w:t>values as of the end of the prior period. Because of the inherent uncertainty, these estimated values may differ significantly from the values that would have been used had a ready market for the investments existed, and it is reasonably possible that the difference could be material.</w:t>
      </w:r>
    </w:p>
    <w:p>
      <w:pPr>
        <w:spacing w:after="0" w:line="186"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Carried interest is ultimately realized when: (i) an underlying investment is profitably disposed of, (ii) certain costs borne by the limited partner investors have been reimbursed, (iii) the fund’s cumulative returns are in excess of the preferred return, and (iv) the Company has decided to collect carry rather than return additional capital to limited partner investors. Realized carried interest may be required to be returned by the Company in future periods if the fund’s investment values decline below certain levels. When the fair value of a fund’s investments remains constant or falls below certain return hurdles, previously recognized performance allocations are reversed. In all cases, each fund is considered separately in this regard, and for a given fund, performance allocations can never be negative over the life of a fund. If upon a hypothetical liquidation of a fund’s investments at their then-current fair values, previously recognized and distributed carried interest would be required to be returned, a liability is established for the potential giveback obligation. As of both March 31, 2024 and December 31, 2023, the Company has accrued $44.0 million for giveback obligations.</w:t>
      </w:r>
    </w:p>
    <w:p>
      <w:pPr>
        <w:spacing w:after="0" w:line="194"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Principal investment income (loss) is realized when the Company redeems all or a portion of its investment or when the Company receives or is due cash income, such as dividends or distributions. Unrealized principal investment income (loss) results from the Company’s proportionate share of the investee’s unrealized earnings, including changes in the fair value of the underlying investment, as well as the reversal of unrealized gain (loss) at the time an investment is realized. As it relates to the Company’s investments in NGP (see Note 4, Investments), principal investment income includes the related amortization of the basis difference between the Company’s carrying value of its investment and the Company’s share of underlying net assets of the investee, as well as the compensation expense associated with compensatory arrangements provided by the Company to employees of its equity method investee.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Interest income is recognized when earned. For debt securities representing non-investment grade beneficial interests in securitizations, the effective yield is determined based on the estimated cash flows of the security. Changes in the effective yield of these securities due to changes in estimated cash flows are recognized on a prospective basis as adjustments to interest income in future periods. Interest income earned by the Company is included in interest and other income in the accompanying condensed consolidated statements of operations. Interest income of the Consolidated Funds was $142.6 million and $109.8 million for the three months ended March 31, 2024 and 2023, respectively, and is included in interest and other income of Consolidated Funds in the accompanying condensed consolidated statements of operations.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Credit Losses</w:t>
      </w:r>
    </w:p>
    <w:p>
      <w:pPr>
        <w:spacing w:after="0" w:line="229"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 xml:space="preserve">The Company measures all expected credit losses for financial assets held at the reporting date in accordance with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based on historical experience, current conditions, and reasonable and supportable forecasts. The Company assesses the collection risk characteristics of the outstanding amounts in its due from affiliates balance into the following pools of receivables:</w:t>
      </w:r>
    </w:p>
    <w:p>
      <w:pPr>
        <w:spacing w:after="0" w:line="180" w:lineRule="exact"/>
        <w:rPr>
          <w:sz w:val="20"/>
          <w:szCs w:val="20"/>
          <w:color w:val="auto"/>
        </w:rPr>
      </w:pPr>
    </w:p>
    <w:p>
      <w:pPr>
        <w:ind w:left="740" w:hanging="32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Reimbursable fund expenses receivables,</w:t>
      </w:r>
    </w:p>
    <w:p>
      <w:pPr>
        <w:spacing w:after="0" w:line="2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fee receivables,</w:t>
      </w:r>
    </w:p>
    <w:p>
      <w:pPr>
        <w:spacing w:after="0" w:line="9"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fee receivables,</w:t>
      </w:r>
    </w:p>
    <w:p>
      <w:pPr>
        <w:spacing w:after="0" w:line="9"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 receivables,</w:t>
      </w:r>
    </w:p>
    <w:p>
      <w:pPr>
        <w:spacing w:after="0" w:line="9"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fee receivables, and</w:t>
      </w:r>
    </w:p>
    <w:p>
      <w:pPr>
        <w:spacing w:after="0" w:line="9"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receivable.</w:t>
      </w:r>
    </w:p>
    <w:p>
      <w:pPr>
        <w:spacing w:after="0" w:line="207"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Company generally utilizes either historical credit loss information or discounted cash flows to calculate expected credit losses for each pool. The Company’s receivables are predominantly with its investment funds, which have low risk of credit loss based on the Company’s historical experience. Historical credit loss data may be adjusted for current conditions and reasonable and supportable forecasts, including the Company’s expectation of near-term realization based on the liquidity of the affiliated investment funds.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2167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6115" cy="2167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and Benefits</w:t>
      </w:r>
    </w:p>
    <w:p>
      <w:pPr>
        <w:spacing w:after="0" w:line="227" w:lineRule="exact"/>
        <w:rPr>
          <w:sz w:val="20"/>
          <w:szCs w:val="20"/>
          <w:color w:val="auto"/>
        </w:rPr>
      </w:pPr>
    </w:p>
    <w:p>
      <w:pPr>
        <w:ind w:right="20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Cash-Based Compensation and Benefits </w:t>
      </w:r>
      <w:r>
        <w:rPr>
          <w:rFonts w:ascii="Times New Roman" w:cs="Times New Roman" w:eastAsia="Times New Roman" w:hAnsi="Times New Roman"/>
          <w:sz w:val="18"/>
          <w:szCs w:val="18"/>
          <w:color w:val="auto"/>
        </w:rPr>
        <w:t>– Cash-based compensation and benefits includes salaries, bonuses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(discretionary awards and guaranteed amounts), performance payment arrangements and benefits paid and payable to Carlyle employees. Bonuses are accrued over the service period to which they relate.</w:t>
      </w:r>
    </w:p>
    <w:p>
      <w:pPr>
        <w:spacing w:after="0" w:line="173"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Equity-Based Compensation </w:t>
      </w:r>
      <w:r>
        <w:rPr>
          <w:rFonts w:ascii="Times New Roman" w:cs="Times New Roman" w:eastAsia="Times New Roman" w:hAnsi="Times New Roman"/>
          <w:sz w:val="18"/>
          <w:szCs w:val="18"/>
          <w:color w:val="auto"/>
        </w:rPr>
        <w:t>– Compensation expense relating to the issuance of equity-based awards is measured at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on the grant date. The compensation expense for awards that vest over a future service period is recognized over the relevant service period on a straight-line basis. The compensation expense for awards that do not require future service is recognized immediately. Cash settled equity-based awards are classified as liabilities and are re-measured at the end of each</w:t>
      </w:r>
    </w:p>
    <w:p>
      <w:pPr>
        <w:sectPr>
          <w:pgSz w:w="11900" w:h="16880" w:orient="portrait"/>
          <w:cols w:equalWidth="0" w:num="1">
            <w:col w:w="9240"/>
          </w:cols>
          <w:pgMar w:left="1320" w:top="108" w:right="1339" w:bottom="0" w:gutter="0" w:footer="0" w:header="0"/>
        </w:sectPr>
      </w:pPr>
    </w:p>
    <w:bookmarkStart w:id="15" w:name="page16"/>
    <w:bookmarkEnd w:id="15"/>
    <w:p>
      <w:pPr>
        <w:spacing w:after="0" w:line="4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7"/>
          <w:szCs w:val="17"/>
          <w:color w:val="auto"/>
        </w:rPr>
        <w:t>reporting period. The compensation expense for awards that contain performance conditions is recognized when it is probable that the performance conditions will be achieved. The compensation expense for awards that contain market conditions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-238760</wp:posOffset>
            </wp:positionV>
            <wp:extent cx="7016115" cy="6894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6894195"/>
                    </a:xfrm>
                    <a:prstGeom prst="rect">
                      <a:avLst/>
                    </a:prstGeom>
                    <a:noFill/>
                  </pic:spPr>
                </pic:pic>
              </a:graphicData>
            </a:graphic>
          </wp:anchor>
        </w:drawing>
      </w:r>
    </w:p>
    <w:p>
      <w:pPr>
        <w:ind w:right="220"/>
        <w:spacing w:after="0" w:line="260" w:lineRule="auto"/>
        <w:rPr>
          <w:sz w:val="20"/>
          <w:szCs w:val="20"/>
          <w:color w:val="auto"/>
        </w:rPr>
      </w:pPr>
      <w:r>
        <w:rPr>
          <w:rFonts w:ascii="Times New Roman" w:cs="Times New Roman" w:eastAsia="Times New Roman" w:hAnsi="Times New Roman"/>
          <w:sz w:val="18"/>
          <w:szCs w:val="18"/>
          <w:color w:val="auto"/>
        </w:rPr>
        <w:t>on a grant-date fair value that factors in the probability that the market conditions will be achieved and is recognized over the requisite service period on a straight-line basis.</w:t>
      </w:r>
    </w:p>
    <w:p>
      <w:pPr>
        <w:spacing w:after="0" w:line="181"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color w:val="auto"/>
        </w:rPr>
        <w:t>Certain equity-based awards contain dividend-equivalent rights, which are subject to the same terms and conditions, including with respect to vesting and settlement, that apply to the related award. Dividend-equivalents are accounted for as a reclassification from retained earnings to additional paid-in capital at the time dividends are declared and do not result in incremental compensation expense.</w:t>
      </w:r>
    </w:p>
    <w:p>
      <w:pPr>
        <w:spacing w:after="0" w:line="180"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Equity-based awards issued to non-employees are generally recognized as general, administrative and other expenses, except to the extent they are recognized as part of the Company’s equity method earnings because they are issued to employees of equity method investees.</w:t>
      </w:r>
    </w:p>
    <w:p>
      <w:pPr>
        <w:spacing w:after="0" w:line="176" w:lineRule="exact"/>
        <w:rPr>
          <w:sz w:val="20"/>
          <w:szCs w:val="20"/>
          <w:color w:val="auto"/>
        </w:rPr>
      </w:pPr>
    </w:p>
    <w:p>
      <w:pPr>
        <w:ind w:right="180" w:firstLine="445"/>
        <w:spacing w:after="0" w:line="256" w:lineRule="auto"/>
        <w:rPr>
          <w:sz w:val="20"/>
          <w:szCs w:val="20"/>
          <w:color w:val="auto"/>
        </w:rPr>
      </w:pPr>
      <w:r>
        <w:rPr>
          <w:rFonts w:ascii="Times New Roman" w:cs="Times New Roman" w:eastAsia="Times New Roman" w:hAnsi="Times New Roman"/>
          <w:sz w:val="18"/>
          <w:szCs w:val="18"/>
          <w:color w:val="auto"/>
        </w:rPr>
        <w:t>The Company recognizes equity-based award forfeitures in the period they occur as a reversal of previously recognized compensation expense for awards that vest based on service and/or performance conditions. The reduction in compensation expense is determined based on the specific awards forfeited during that period. Furthermore, the Company recognizes all excess tax benefits and deficiencies as income tax benefit or expense in the condensed consolidated statements of operations. For awards with a market condition (e.g., achievement of certain stock price hurdles) that are forfeited due to the market condition not being achieved, the related equity-based compensation expense is not reversed.</w:t>
      </w:r>
    </w:p>
    <w:p>
      <w:pPr>
        <w:spacing w:after="0" w:line="185" w:lineRule="exact"/>
        <w:rPr>
          <w:sz w:val="20"/>
          <w:szCs w:val="20"/>
          <w:color w:val="auto"/>
        </w:rPr>
      </w:pPr>
    </w:p>
    <w:p>
      <w:pPr>
        <w:ind w:right="120"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Performance Allocations and Incentive Fee Related Compensation – </w:t>
      </w:r>
      <w:r>
        <w:rPr>
          <w:rFonts w:ascii="Times New Roman" w:cs="Times New Roman" w:eastAsia="Times New Roman" w:hAnsi="Times New Roman"/>
          <w:sz w:val="18"/>
          <w:szCs w:val="18"/>
          <w:color w:val="auto"/>
        </w:rPr>
        <w:t>A portion of the performance allocations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fees and certain other interests earned is due to employees and advisors of the Company. These amounts are accounted for as profit sharing interests in compensation expense in a systematic and rational manner in conjunction with the recognition of the related performance allocations and incentive fee revenue and, until paid, are recognized as a component of the accrued compensation and benefits liability. The liability is measured assuming the hypothetical liquidation of the associated funds’ underlying investments as of the measurement date. Accordingly, upon a reversal of performance allocations or incentive fee revenue, the related compensation expense, if any, is also reversed. As any vesting requirement is accelerated upon realization, the service period is not considered substantive when recording the liability based on the hypothetical liquidation value. As of March 31, 2024 and December 31, 2023, the Company had recorded a liability of $3.9 billion and $4.3 billion, respectively, related to the portion of accrued performance allocations and incentive fees due to employees and advisors, respectively, which was included in accrued compensation and benefits in the accompanying condensed consolidated balance sheets.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 xml:space="preserve">The Carlyle Group Inc. is a corporation for U.S. federal income tax purposes and thus is subject to U.S. federal, state and local corporate income taxes. Tax positions taken by the Company are subject to periodic audit by U.S. federal, state, local and foreign taxing authorities. The interim provision for income taxes is calculated using the discrete effective tax rate method as allowed by ASC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The discrete method is applied when the application of the estimated annual effective tax rate is impractical because it is not possible to reliably estimate the annual effective tax rate. In addition, the discrete method treats the year-to-date period as if it was the annual period and determines the income tax expense or benefit on that basis.</w:t>
      </w:r>
    </w:p>
    <w:p>
      <w:pPr>
        <w:spacing w:after="0" w:line="189" w:lineRule="exact"/>
        <w:rPr>
          <w:sz w:val="20"/>
          <w:szCs w:val="20"/>
          <w:color w:val="auto"/>
        </w:rPr>
      </w:pPr>
    </w:p>
    <w:p>
      <w:pPr>
        <w:ind w:right="140" w:firstLine="445"/>
        <w:spacing w:after="0" w:line="312" w:lineRule="auto"/>
        <w:rPr>
          <w:sz w:val="20"/>
          <w:szCs w:val="20"/>
          <w:color w:val="auto"/>
        </w:rPr>
      </w:pPr>
      <w:r>
        <w:rPr>
          <w:rFonts w:ascii="Times New Roman" w:cs="Times New Roman" w:eastAsia="Times New Roman" w:hAnsi="Times New Roman"/>
          <w:sz w:val="17"/>
          <w:szCs w:val="17"/>
          <w:color w:val="auto"/>
        </w:rPr>
        <w:t>The Company accounts for income taxes using the asset and liability method, which requires the recognition of deferred tax assets and liabilities for the expected future consequences of events that have been included in the financial statements or</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35394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115" cy="353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tax returns. Under this method, deferred tax assets and liabilities are determined based on the difference between the financial statement reporting and the tax basis of assets and liabilities using enacted tax rates in effect for the period in which the difference is expected to reverse. The effect of a change in tax rates on deferred tax assets and liabilities is recognized in the period of the change in the provision for income taxes. Further, deferred tax assets are recognized for the expected realization of available net operating loss and tax credit carry forwards. A valuation allowance is recorded on the Company’s gross deferred tax assets when it is “more likely than not” that such asset will not be realized. When evaluating the realizability of the Company’s deferred tax assets, all evidence, both positive and negative, is evaluated. Items considered in this analysis include the ability to carry back losses, the reversal of temporary differences, tax planning strategies, and expectations of future earnings. The Company accounts for the valuation allowance assessment on its deferred tax assets and without regard to the Company’s potential future corporate alternative minimum tax (“CAMT”) status or global minimum tax status under the Pillar Two Global Anti-Base Erosion (“GloBE”) model rules of the Organization for Economic Co-operation and Development (“OECD”). Therefore, the Company accounts for CAMT and the global minimum tax in the period as incurred. Lastly, the Company accounts for the tax on global intangible low-taxed income (“GILTI”) as incurred and therefore has not recorded deferred taxes related to GILTI on its foreign subsidiaries.</w:t>
      </w:r>
    </w:p>
    <w:p>
      <w:pPr>
        <w:spacing w:after="0" w:line="197"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Under U.S. GAAP for income taxes, the amount of tax benefit to be recognized is the amount of benefit that is “more likely than not” to be sustained upon examination. The Company analyzes its tax filing positions in all of the U.S. federal, state, local and foreign tax jurisdictions where it is required to file income tax returns, as well as for all open tax years in these jurisdictions. If, based on this analysis, the Company determines that uncertainties in tax positions exist, a liability is established, which is included in accounts payable, accrued expenses and other liabilities in the condensed consolidated</w:t>
      </w:r>
    </w:p>
    <w:p>
      <w:pPr>
        <w:sectPr>
          <w:pgSz w:w="11900" w:h="16878" w:orient="portrait"/>
          <w:cols w:equalWidth="0" w:num="1">
            <w:col w:w="9240"/>
          </w:cols>
          <w:pgMar w:left="1320" w:top="108" w:right="1339" w:bottom="0" w:gutter="0" w:footer="0" w:header="0"/>
        </w:sectPr>
      </w:pPr>
    </w:p>
    <w:bookmarkStart w:id="16" w:name="page17"/>
    <w:bookmarkEnd w:id="16"/>
    <w:p>
      <w:pPr>
        <w:spacing w:after="0" w:line="47"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7"/>
          <w:szCs w:val="17"/>
          <w:color w:val="auto"/>
        </w:rPr>
        <w:t>financial statements. The Company recognizes accrued interest and penalties related to unrecognized tax positions in the provision for income taxes. If recognized, the entire amount of unrecognized tax positions would be recorded as a reduction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-238760</wp:posOffset>
            </wp:positionV>
            <wp:extent cx="7016115" cy="5522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55225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provision for income taxes.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2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Non-controlling interests in consolidated entities represent the component of equity in consolidated entities held by third-party investors. These interests are adjusted for general partner allocations which occur during the reporting period. Any change in ownership of a subsidiary while the controlling financial interest is retained is accounted for as an equity transaction between the controlling and non-controlling interests. Transaction costs incurred in connection with such changes in ownership of a subsidiary are recorded as a direct charge to equity.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p>
      <w:pPr>
        <w:spacing w:after="0" w:line="227"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 xml:space="preserve">The Company computes earnings per common share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Basic earnings per common share is calculated by dividing net income (loss) attributable to the common shares of the Company by the weighted-average number of common shares outstanding for the period. Diluted earnings per common share reflects the assumed conversion of all dilutive securities. The Company applies the treasury stock method to determine the dilutive weighted-average common shares outstanding for certain equity-based compensation awards. For certain equity-based compensation awards that contain performance or market conditions, the number of contingently issuable common shares is included in diluted earnings per common share based on the number of common shares, if any, that would be issuable under the terms of the awards if the end of the reporting period were the end of the contingency period, if the result is dilutive.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The underlying entities that the Company manages and invests in (and in certain cases, consolidates) are primarily investment companies which account for their investments at estimated fair value.</w:t>
      </w:r>
    </w:p>
    <w:p>
      <w:pPr>
        <w:spacing w:after="0" w:line="160"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The fair value measurement accounting guidance under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establishes a hierarchical disclosure framework which ranks the observability of market price inputs used in measuring financial instruments at fair value. The observability of inputs is impacted by a number of factors, including the type of financial instrument, the characteristics specific to the financial instrument and the state of the marketplace, including the existence and transparency of transactions between market participants. Financial instruments with readily available quoted prices, or for which fair value can be measured from quoted prices in active markets, will generally have a higher degree of market price observability and a lesser degree of judgment applied in determining fair value.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4911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6115" cy="4911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Financial instruments measured and reported at fair value are classified and disclosed based on the observability of inputs used in the determination of fair values, as follows:</w:t>
      </w:r>
    </w:p>
    <w:p>
      <w:pPr>
        <w:spacing w:after="0" w:line="160" w:lineRule="exact"/>
        <w:rPr>
          <w:sz w:val="20"/>
          <w:szCs w:val="20"/>
          <w:color w:val="auto"/>
        </w:rPr>
      </w:pPr>
    </w:p>
    <w:p>
      <w:pPr>
        <w:ind w:left="980"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Level I </w:t>
      </w:r>
      <w:r>
        <w:rPr>
          <w:rFonts w:ascii="Times New Roman" w:cs="Times New Roman" w:eastAsia="Times New Roman" w:hAnsi="Times New Roman"/>
          <w:sz w:val="18"/>
          <w:szCs w:val="18"/>
          <w:color w:val="auto"/>
        </w:rPr>
        <w:t>– inputs to the valuation methodology are quoted prices available in active markets for identical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as of the reporting date. The type of financial instruments in this category include unrestricted securities, such as equities and derivatives, listed in active markets. The Company does not adjust the quoted price for these instruments, even in situations where the Company holds a large position and a sale could reasonably impact the quoted price.</w:t>
      </w:r>
    </w:p>
    <w:p>
      <w:pPr>
        <w:spacing w:after="0" w:line="183" w:lineRule="exact"/>
        <w:rPr>
          <w:sz w:val="20"/>
          <w:szCs w:val="20"/>
          <w:color w:val="auto"/>
        </w:rPr>
      </w:pPr>
    </w:p>
    <w:p>
      <w:pPr>
        <w:ind w:left="980"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Level II </w:t>
      </w:r>
      <w:r>
        <w:rPr>
          <w:rFonts w:ascii="Times New Roman" w:cs="Times New Roman" w:eastAsia="Times New Roman" w:hAnsi="Times New Roman"/>
          <w:sz w:val="18"/>
          <w:szCs w:val="18"/>
          <w:color w:val="auto"/>
        </w:rPr>
        <w:t>– inputs to the valuation methodology are other than quoted prices in active markets, which are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observable as of the reporting date. The types of financial instruments in this category include less liquid and restricted securities listed in active markets, securities traded in other than active markets, government and agency securities, and certain over-the-counter derivatives where the fair value is based on observable inputs.</w:t>
      </w:r>
    </w:p>
    <w:p>
      <w:pPr>
        <w:spacing w:after="0" w:line="183" w:lineRule="exact"/>
        <w:rPr>
          <w:sz w:val="20"/>
          <w:szCs w:val="20"/>
          <w:color w:val="auto"/>
        </w:rPr>
      </w:pPr>
    </w:p>
    <w:p>
      <w:pPr>
        <w:ind w:left="980"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Level III </w:t>
      </w:r>
      <w:r>
        <w:rPr>
          <w:rFonts w:ascii="Times New Roman" w:cs="Times New Roman" w:eastAsia="Times New Roman" w:hAnsi="Times New Roman"/>
          <w:sz w:val="18"/>
          <w:szCs w:val="18"/>
          <w:color w:val="auto"/>
        </w:rPr>
        <w:t>– inputs to the valuation methodology are unobservable and significant to overall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The inputs into the determination of fair value require significant management judgment or estimation. The types of financial instruments in this category include investments in privately-held entities, non-investment grade residual interests in securitizations, collateralized loan obligations, and certain over-the-counter derivatives where the fair value is based on unobservable inputs.</w:t>
      </w:r>
    </w:p>
    <w:p>
      <w:pPr>
        <w:spacing w:after="0" w:line="185"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determination of which category within the fair value hierarchy is appropriate for any given financial instrument is based on the lowest level of input that is significant to the fair value measurement. The Company’s assessment of the significance of a particular input to the fair value measurement in its entirety requires judgment and considers factors specific to the financial instrument.</w:t>
      </w:r>
    </w:p>
    <w:p>
      <w:pPr>
        <w:spacing w:after="0" w:line="183"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In certain cases, debt and equity securities (including corporate treasury investments) are valued on the basis of prices from an orderly transaction between market participants provided by reputable dealers or pricing services. In determining the value of a particular investment, pricing services may use certain information with respect to transactions in such investments,</w:t>
      </w:r>
    </w:p>
    <w:p>
      <w:pPr>
        <w:sectPr>
          <w:pgSz w:w="11900" w:h="16886" w:orient="portrait"/>
          <w:cols w:equalWidth="0" w:num="1">
            <w:col w:w="9240"/>
          </w:cols>
          <w:pgMar w:left="1320" w:top="108" w:right="1339" w:bottom="0" w:gutter="0" w:footer="0" w:header="0"/>
        </w:sectPr>
      </w:pPr>
    </w:p>
    <w:bookmarkStart w:id="17" w:name="page18"/>
    <w:bookmarkEnd w:id="17"/>
    <w:p>
      <w:pPr>
        <w:spacing w:after="0" w:line="62"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18"/>
          <w:szCs w:val="18"/>
          <w:color w:val="auto"/>
        </w:rPr>
        <w:t>quotations from dealers, pricing matrices, market transactions in comparable investments and various relationships between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-238760</wp:posOffset>
            </wp:positionV>
            <wp:extent cx="7016115" cy="4150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4150995"/>
                    </a:xfrm>
                    <a:prstGeom prst="rect">
                      <a:avLst/>
                    </a:prstGeom>
                    <a:noFill/>
                  </pic:spPr>
                </pic:pic>
              </a:graphicData>
            </a:graphic>
          </wp:anchor>
        </w:drawing>
      </w:r>
    </w:p>
    <w:p>
      <w:pPr>
        <w:spacing w:after="0" w:line="17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In the absence of observable market prices, the Company values its investments and its funds’ investments using valuation methodologies applied on a consistent basis. For some investments little market activity may exist. Management’s determination of fair value is then based on the best information available in the circumstances and may incorporate management’s own assumptions and involve a significant degree of judgment, taking into consideration a combination of internal and external factors, including the appropriate risk adjustments for non-performance and liquidity risks. Investments for which market prices are not observable include private investments in the equity and debt of operating companies and real assets, CLO investments and CLO loans payable and fund investments. The valuation technique for each of these investments is described below:</w:t>
      </w:r>
    </w:p>
    <w:p>
      <w:pPr>
        <w:spacing w:after="0" w:line="190" w:lineRule="exact"/>
        <w:rPr>
          <w:sz w:val="20"/>
          <w:szCs w:val="20"/>
          <w:color w:val="auto"/>
        </w:rPr>
      </w:pPr>
    </w:p>
    <w:p>
      <w:pPr>
        <w:ind w:left="660" w:right="4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Investments in Operating Companies and Real Assets – </w:t>
      </w:r>
      <w:r>
        <w:rPr>
          <w:rFonts w:ascii="Times New Roman" w:cs="Times New Roman" w:eastAsia="Times New Roman" w:hAnsi="Times New Roman"/>
          <w:sz w:val="17"/>
          <w:szCs w:val="17"/>
          <w:color w:val="auto"/>
        </w:rPr>
        <w:t>The fair values of private investments in operating companies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real assets are generally determined by reference to the income approach (including the discounted cash flow method and the income capitalization method) and the market approach (including the comparable publicly traded company method and the comparable transaction method). Valuations under these approaches are typically derived by reference to investment-specific inputs (such as projected cash flows, earnings before interest, taxes, depreciation and amortization (“EBITDA”), and net operating income) combined with market-based inputs (such as discount rates, EBITDA multiples and capitalization rates). In many cases, the investment-specific inputs are unaudited at the time received. Management may also adjust the market-based inputs to account for differences between the subject investment and the companies, asset or investments used to derive the market-based inputs. Adjustments to observable valuation measures are frequently made upon the initial investment to calibrate the initial investment valuation to industry observable inputs. Such adjustments are made to align the investment to observable industry inputs for differences in size, profitability, projected growth rates, geography, capital structure, and other factors as applicable. The adjustments are then reviewed with each subsequent valuation to assess how the investment has evolved relative to the observable inputs. Additionally, the investment may be subject to certain specific risks and/or development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6282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6115" cy="6282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milestones which are also taken into account in the valuation assessment. Option pricing models and similar tools may also be considered but do not currently drive a significant portion of operating company or real asset valuations and are used primarily to value warrants, derivatives, certain restrictions and other atypical investment instruments.</w:t>
      </w:r>
    </w:p>
    <w:p>
      <w:pPr>
        <w:spacing w:after="0" w:line="174" w:lineRule="exact"/>
        <w:rPr>
          <w:sz w:val="20"/>
          <w:szCs w:val="20"/>
          <w:color w:val="auto"/>
        </w:rPr>
      </w:pPr>
    </w:p>
    <w:p>
      <w:pPr>
        <w:ind w:left="660" w:right="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Credit-Oriented Investments – </w:t>
      </w:r>
      <w:r>
        <w:rPr>
          <w:rFonts w:ascii="Times New Roman" w:cs="Times New Roman" w:eastAsia="Times New Roman" w:hAnsi="Times New Roman"/>
          <w:sz w:val="17"/>
          <w:szCs w:val="17"/>
          <w:color w:val="auto"/>
        </w:rPr>
        <w:t>The fair values of credit-oriented investments (including corporate treasury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investments) are generally determined on the basis of prices between market participants provided by reputable dealers or pricing services. In determining the value of a particular investment, pricing services may use certain information with respect to transactions in such investments, quotations from dealers, pricing matrices, market transactions in comparable investments and various relationships between investments. Specifically, for investments in distressed debt and corporate loans and bonds, the fair values are generally determined by valuations of comparable investments. In some instances, the Company may utilize other valuation techniques, including the discounted cash flow method.</w:t>
      </w:r>
    </w:p>
    <w:p>
      <w:pPr>
        <w:spacing w:after="0" w:line="171" w:lineRule="exact"/>
        <w:rPr>
          <w:sz w:val="20"/>
          <w:szCs w:val="20"/>
          <w:color w:val="auto"/>
        </w:rPr>
      </w:pPr>
    </w:p>
    <w:p>
      <w:pPr>
        <w:ind w:left="660"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CLO Investments and CLO Loans Payable </w:t>
      </w:r>
      <w:r>
        <w:rPr>
          <w:rFonts w:ascii="Times New Roman" w:cs="Times New Roman" w:eastAsia="Times New Roman" w:hAnsi="Times New Roman"/>
          <w:sz w:val="18"/>
          <w:szCs w:val="18"/>
          <w:color w:val="auto"/>
        </w:rPr>
        <w:t>– The Company measures the financial liabilities of its consolidated CLOs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fair value of the financial assets of its consolidated CLOs, as the Company believes the fair value of the financial assets are more observable. The fair values of the CLO loan and bond assets are primarily based on quotations from reputable dealers or relevant pricing services. In situations where valuation quotations are unavailable, the assets are valued based on similar securities, market index changes, and other factors. The Company performs certain procedures to ensure the reliability of the quotations from pricing services for its CLO assets and CLO structured asset positions, which generally includes corroborating prices with a discounted cash flow analysis. Generally, the loan and bond assets of the CLOs are not publicly traded and are classified as Level III. The fair values of the CLO structured asset positions are determined based on both discounted cash flow analyses and third party quotes. Those analyses consider the position size, liquidity, current financial condition of the CLOs, the third party financing environment, reinvestment rates, recovery lags, discount rates and default forecasts and are compared to broker quotations from market makers and third party dealers.</w:t>
      </w:r>
    </w:p>
    <w:p>
      <w:pPr>
        <w:spacing w:after="0" w:line="192" w:lineRule="exact"/>
        <w:rPr>
          <w:sz w:val="20"/>
          <w:szCs w:val="20"/>
          <w:color w:val="auto"/>
        </w:rPr>
      </w:pPr>
    </w:p>
    <w:p>
      <w:pPr>
        <w:ind w:left="660" w:right="160"/>
        <w:spacing w:after="0" w:line="261" w:lineRule="auto"/>
        <w:rPr>
          <w:sz w:val="20"/>
          <w:szCs w:val="20"/>
          <w:color w:val="auto"/>
        </w:rPr>
      </w:pPr>
      <w:r>
        <w:rPr>
          <w:rFonts w:ascii="Times New Roman" w:cs="Times New Roman" w:eastAsia="Times New Roman" w:hAnsi="Times New Roman"/>
          <w:sz w:val="18"/>
          <w:szCs w:val="18"/>
          <w:color w:val="auto"/>
        </w:rPr>
        <w:t>The Company measures the CLO loan payables held by third party beneficial interest holders on the basis of the fair value of the financial assets of the CLO and the beneficial interests held by the Company. The Company continues to measure the CLO loans payable that it holds at fair value based on relevant pricing services or discounted cash flow analyses, as described above.</w:t>
      </w:r>
    </w:p>
    <w:p>
      <w:pPr>
        <w:spacing w:after="0" w:line="178" w:lineRule="exact"/>
        <w:rPr>
          <w:sz w:val="20"/>
          <w:szCs w:val="20"/>
          <w:color w:val="auto"/>
        </w:rPr>
      </w:pPr>
    </w:p>
    <w:p>
      <w:pPr>
        <w:ind w:left="660"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Fund Investments </w:t>
      </w:r>
      <w:r>
        <w:rPr>
          <w:rFonts w:ascii="Times New Roman" w:cs="Times New Roman" w:eastAsia="Times New Roman" w:hAnsi="Times New Roman"/>
          <w:sz w:val="18"/>
          <w:szCs w:val="18"/>
          <w:color w:val="auto"/>
        </w:rPr>
        <w:t>– The Company’s primary and secondary investments in external funds are generally valued as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proportionate share of the most recent net asset value provided by the third-party general partners of the underlying fund partnerships, adjusted for subsequent cash flows received from or distributed to the underlying fund partnerships. The Company also adjusts for any changes in the market prices of public securities held by the underlying fund partnerships and may also apply a market adjustment to reflect the estimated change in the fair value of the underlying fund partnerships’ non-public investments from the date of the most recent net asset value provided by the third-party general partners.</w:t>
      </w:r>
    </w:p>
    <w:p>
      <w:pPr>
        <w:spacing w:after="0" w:line="185"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Investment professionals with responsibility for the underlying investments are responsible for preparing the investment valuations pursuant to the policies, methodologies and templates prepared by the Company’s valuation group, which is a team</w:t>
      </w:r>
    </w:p>
    <w:p>
      <w:pPr>
        <w:sectPr>
          <w:pgSz w:w="11900" w:h="16900" w:orient="portrait"/>
          <w:cols w:equalWidth="0" w:num="1">
            <w:col w:w="9240"/>
          </w:cols>
          <w:pgMar w:left="1320" w:top="108" w:right="1339" w:bottom="0" w:gutter="0" w:footer="0" w:header="0"/>
        </w:sectPr>
      </w:pPr>
    </w:p>
    <w:bookmarkStart w:id="18" w:name="page19"/>
    <w:bookmarkEnd w:id="18"/>
    <w:p>
      <w:pPr>
        <w:spacing w:after="0" w:line="251" w:lineRule="auto"/>
        <w:rPr>
          <w:sz w:val="20"/>
          <w:szCs w:val="20"/>
          <w:color w:val="auto"/>
        </w:rPr>
      </w:pPr>
      <w:r>
        <w:rPr>
          <w:rFonts w:ascii="Times New Roman" w:cs="Times New Roman" w:eastAsia="Times New Roman" w:hAnsi="Times New Roman"/>
          <w:sz w:val="17"/>
          <w:szCs w:val="17"/>
          <w:color w:val="auto"/>
        </w:rPr>
        <w:t>made up of dedicated valuation professionals reporting to the Company’s chief accounting officer. The valuation group is responsible for maintaining the Company’s valuation policy and related guidance, templates and systems that are designed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-238760</wp:posOffset>
            </wp:positionV>
            <wp:extent cx="7016115" cy="2779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115" cy="2779395"/>
                    </a:xfrm>
                    <a:prstGeom prst="rect">
                      <a:avLst/>
                    </a:prstGeom>
                    <a:noFill/>
                  </pic:spPr>
                </pic:pic>
              </a:graphicData>
            </a:graphic>
          </wp:anchor>
        </w:drawing>
      </w:r>
    </w:p>
    <w:p>
      <w:pPr>
        <w:ind w:right="60"/>
        <w:spacing w:after="0" w:line="251" w:lineRule="auto"/>
        <w:rPr>
          <w:sz w:val="20"/>
          <w:szCs w:val="20"/>
          <w:color w:val="auto"/>
        </w:rPr>
      </w:pPr>
      <w:r>
        <w:rPr>
          <w:rFonts w:ascii="Times New Roman" w:cs="Times New Roman" w:eastAsia="Times New Roman" w:hAnsi="Times New Roman"/>
          <w:sz w:val="18"/>
          <w:szCs w:val="18"/>
          <w:color w:val="auto"/>
        </w:rPr>
        <w:t>consistent with the guidance found in ASC 820. These valuations, inputs and preliminary conclusions are reviewed by the fund management teams. The valuations are then reviewed and approved by the respective fund valuation subcommittees, which include the respective fund head(s), segment head, chief financial officer and chief accounting officer, as well as members of the valuation group. The valuation group compiles the aggregate results and significant matters and presents them for review and approval by the global valuation committee, which includes the Company’s Chief Executive Officer, chief risk officer, chief financial officer, chief accounting officer, and the business segment heads, and observed by the chief compliance officer, the director of Internal Audit, the Company’s Audit Committee and others. Additionally, each quarter a sample of valuations are reviewed by external valuation firms. Valuations of the funds’ investments are used in the calculation of accrued performance allocations, or “carried interest.”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p>
      <w:pPr>
        <w:spacing w:after="0" w:line="229" w:lineRule="exact"/>
        <w:rPr>
          <w:sz w:val="20"/>
          <w:szCs w:val="20"/>
          <w:color w:val="auto"/>
        </w:rPr>
      </w:pPr>
    </w:p>
    <w:p>
      <w:pPr>
        <w:ind w:firstLine="445"/>
        <w:spacing w:after="0" w:line="312" w:lineRule="auto"/>
        <w:rPr>
          <w:sz w:val="20"/>
          <w:szCs w:val="20"/>
          <w:color w:val="auto"/>
        </w:rPr>
      </w:pPr>
      <w:r>
        <w:rPr>
          <w:rFonts w:ascii="Times New Roman" w:cs="Times New Roman" w:eastAsia="Times New Roman" w:hAnsi="Times New Roman"/>
          <w:sz w:val="17"/>
          <w:szCs w:val="17"/>
          <w:color w:val="auto"/>
        </w:rPr>
        <w:t>Investments include (i) the Company’s ownership interests (typically general partner interests) in the Funds, including the Company’s investment in Fortitude (which are accounted for as equity method investments), (ii) the Company’s investment in</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765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6115" cy="765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NGP (which is accounted for as an equity method investment), (iii) the investments held by the Consolidated Funds (which are presented at fair value in the Company’s condensed consolidated financial statements), and (iv) certain credit-oriented investments, including investments in the CLOs and the preferred securities of Carlyle Secured Lending, Inc. (“CSL,” formerly known as “TCG BDC, Inc.,” the preferred securities of which are referred to as the “BDC Preferred Shares”) (which are accounted for as trading securities).</w:t>
      </w:r>
    </w:p>
    <w:p>
      <w:pPr>
        <w:spacing w:after="0" w:line="183"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Upon the sale of a security or other investment, the realized net gain or loss is computed on a weighted average cost basis, with the exception of the investments held by the CLOs, which compute the realized net gain or loss on a first in, first out basis. Securities transactions are recorded on a trade date basis.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Equity Method Investments</w:t>
      </w:r>
    </w:p>
    <w:p>
      <w:pPr>
        <w:spacing w:after="0" w:line="229" w:lineRule="exact"/>
        <w:rPr>
          <w:sz w:val="20"/>
          <w:szCs w:val="20"/>
          <w:color w:val="auto"/>
        </w:rPr>
      </w:pPr>
    </w:p>
    <w:p>
      <w:pPr>
        <w:ind w:right="260" w:firstLine="445"/>
        <w:spacing w:after="0" w:line="255" w:lineRule="auto"/>
        <w:rPr>
          <w:sz w:val="20"/>
          <w:szCs w:val="20"/>
          <w:color w:val="auto"/>
        </w:rPr>
      </w:pPr>
      <w:r>
        <w:rPr>
          <w:rFonts w:ascii="Times New Roman" w:cs="Times New Roman" w:eastAsia="Times New Roman" w:hAnsi="Times New Roman"/>
          <w:sz w:val="18"/>
          <w:szCs w:val="18"/>
          <w:color w:val="auto"/>
        </w:rPr>
        <w:t>The Company accounts for all investments in which it has or is otherwise presumed to have significant influence, including investments in the unconsolidated Funds and the Company’s investment in NGP, using the equity method of accounting. The carrying value of equity method investments is determined based on amounts invested by the Company, adjusted for the equity in earnings or losses of the investee (including performance allocations) allocated based on the respective partnership agreement, less distributions received. The Company evaluates its equity method investments for impairment whenever events or changes in circumstances indicate that the carrying amounts of such investments may not be recoverable.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held at banks and cash held for distributions, including investments with original maturities of less than three months when purchased. The Company is subject to credit risk should a financial institution be unable to fulfil its obligations and if balances held at a financial institution exceed insured limits.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 Held at Consolidated Funds</w:t>
      </w:r>
    </w:p>
    <w:p>
      <w:pPr>
        <w:spacing w:after="0" w:line="229" w:lineRule="exact"/>
        <w:rPr>
          <w:sz w:val="20"/>
          <w:szCs w:val="20"/>
          <w:color w:val="auto"/>
        </w:rPr>
      </w:pPr>
    </w:p>
    <w:p>
      <w:pPr>
        <w:ind w:right="320" w:firstLine="445"/>
        <w:spacing w:after="0" w:line="312" w:lineRule="auto"/>
        <w:rPr>
          <w:sz w:val="20"/>
          <w:szCs w:val="20"/>
          <w:color w:val="auto"/>
        </w:rPr>
      </w:pPr>
      <w:r>
        <w:rPr>
          <w:rFonts w:ascii="Times New Roman" w:cs="Times New Roman" w:eastAsia="Times New Roman" w:hAnsi="Times New Roman"/>
          <w:sz w:val="17"/>
          <w:szCs w:val="17"/>
          <w:color w:val="auto"/>
        </w:rPr>
        <w:t>Cash and cash equivalents held at Consolidated Funds consists of cash and cash equivalents held by the Consolidated Funds, which, although not legally restricted, is not available to fund the general liquidity needs of the Company.</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ind w:right="720" w:firstLine="445"/>
        <w:spacing w:after="0" w:line="282" w:lineRule="auto"/>
        <w:rPr>
          <w:sz w:val="20"/>
          <w:szCs w:val="20"/>
          <w:color w:val="auto"/>
        </w:rPr>
      </w:pPr>
      <w:r>
        <w:rPr>
          <w:rFonts w:ascii="Times New Roman" w:cs="Times New Roman" w:eastAsia="Times New Roman" w:hAnsi="Times New Roman"/>
          <w:sz w:val="18"/>
          <w:szCs w:val="18"/>
          <w:color w:val="auto"/>
        </w:rPr>
        <w:t>Restricted cash primarily represents cash held by the Company’s foreign subsidiaries due to certain government regulatory capital requirements as well as certain amounts held on behalf of Carlyle funds.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Treasury Investments</w:t>
      </w:r>
    </w:p>
    <w:p>
      <w:pPr>
        <w:spacing w:after="0" w:line="229"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Corporate treasury investments represent investments in U.S. Treasury and government agency obligations, commercial paper, certificates of deposit, other investment grade securities and other investments with original maturities of greater than three months when purchased. These investments are accounted for as trading securities in which changes in the fair value of each investment are recorded through investment income (loss). Any interest earned on debt investments is recorded through interest and other income.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29"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Company uses derivative instruments primarily to reduce its exposure to changes in foreign currency exchange rates. Derivative instruments are recognized at fair value in the condensed consolidated balance sheets with changes in fair value recognized in the condensed consolidated statements of operations for all derivatives not designated as hedging instruments.</w:t>
      </w:r>
    </w:p>
    <w:p>
      <w:pPr>
        <w:sectPr>
          <w:pgSz w:w="11900" w:h="16838" w:orient="portrait"/>
          <w:cols w:equalWidth="0" w:num="1">
            <w:col w:w="9220"/>
          </w:cols>
          <w:pgMar w:left="1320" w:top="108" w:right="1359" w:bottom="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b w:val="1"/>
          <w:bCs w:val="1"/>
          <w:color w:val="auto"/>
        </w:rPr>
        <w:t>Securities Sold Under Agreements to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-107950</wp:posOffset>
            </wp:positionV>
            <wp:extent cx="7016115" cy="14077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6115" cy="1407795"/>
                    </a:xfrm>
                    <a:prstGeom prst="rect">
                      <a:avLst/>
                    </a:prstGeom>
                    <a:noFill/>
                  </pic:spPr>
                </pic:pic>
              </a:graphicData>
            </a:graphic>
          </wp:anchor>
        </w:drawing>
      </w:r>
    </w:p>
    <w:p>
      <w:pPr>
        <w:spacing w:after="0" w:line="169" w:lineRule="exact"/>
        <w:rPr>
          <w:sz w:val="20"/>
          <w:szCs w:val="20"/>
          <w:color w:val="auto"/>
        </w:rPr>
      </w:pPr>
    </w:p>
    <w:p>
      <w:pPr>
        <w:ind w:right="100" w:firstLine="445"/>
        <w:spacing w:after="0" w:line="281" w:lineRule="auto"/>
        <w:rPr>
          <w:sz w:val="20"/>
          <w:szCs w:val="20"/>
          <w:color w:val="auto"/>
        </w:rPr>
      </w:pPr>
      <w:r>
        <w:rPr>
          <w:rFonts w:ascii="Times New Roman" w:cs="Times New Roman" w:eastAsia="Times New Roman" w:hAnsi="Times New Roman"/>
          <w:sz w:val="17"/>
          <w:szCs w:val="17"/>
          <w:color w:val="auto"/>
        </w:rPr>
        <w:t>As it relates to certain European CLOs sponsored by the Company, securities sold under agreements to repurchase (“repurchase agreements”) are accounted for as collateralized financing transactions. The Company provides securities to counterparties to collateralize amounts borrowed under repurchase agreements on terms that permit the counterparties to repledge or resell the securities to others. As of March 31, 2024, $294.5 million of securities were transferred to counterparties</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9025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6115" cy="902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under repurchase agreements and are included within investments in the condensed consolidated balance sheets. Cash received under repurchase agreements is recognized as a liability within debt obligations in the condensed consolidated balance sheets. See Note 6, Borrowings, for additional information.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Fixed Assets</w:t>
      </w:r>
    </w:p>
    <w:p>
      <w:pPr>
        <w:spacing w:after="0" w:line="229"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Fixed assets consist of furniture, fixtures and equipment, leasehold improvements, computer hardware and software, and fractional shares in corporate aircraft, and are stated at cost, less accumulated depreciation and amortization. Depreciation is recognized on a straight-line method over the assets’ estimated useful lives, which for leasehold improvements are the lesser of the lease terms or the life of the asset, and three to seven years for other fixed assets. Fixed assets are reviewed for impairment whenever events or changes in circumstances indicate that the carrying amount of an asset may not be recoverable.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 xml:space="preserve">The Company accounts for its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recognizes a lease liability and right-of-use (“ROU”) asset in the condensed consolidated balance sheet for contracts that it determines are leases or contain a lease. The Company’s leases primarily consist of operating leases for office space in various countries around the world. The Company also has operating leases for office equipment and vehicles, which are not significant. The Company does not separate non-lease components from lease components for its office space and equipment operating leases and instead accounts for each separate lease component and its associated non-lease component as a single lease component. ROU assets represent the Company’s right to use an underlying asset for the lease term and lease liabilities represent the Company’s obligation to make lease payments arising from the leases. The Company’s ROU assets and lease liabilities are recognized at lease commencement based on the present value of lease payments over the lease term. Lease ROU assets include initial direct costs incurred by the Company and are presented net of deferred rent and lease incentives.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when it is reasonably certain that the Company will exercise those options. Lease expense for lease payments is recognized on a straight-line basis over the lease term. Lease ROU assets are reviewed for impairment whenever events or changes in circumstances indicate that the carrying amount of the asset may not be recoverable.</w:t>
      </w:r>
    </w:p>
    <w:p>
      <w:pPr>
        <w:spacing w:after="0" w:line="198"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The Company does not recognize a lease liability or ROU asset on the balance sheet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183"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ROU assets are reviewed for impairment whenever events or changes in circumstances indicate that the carrying amount of an asset may not be recoverable.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Intangible Assets and Goodwill</w:t>
      </w:r>
    </w:p>
    <w:p>
      <w:pPr>
        <w:spacing w:after="0" w:line="229"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The Company’s intangible assets consist of acquired contractual rights to earn future fee income, including management and advisory fees, customer relationships, and acquired trademarks. Finite-lived intangible assets are amortized over their estimated useful lives, which range from four to eight years, and are reviewed for impairment whenever events or changes in circumstances indicate that the carrying amount of the asset may not be recoverable.</w:t>
      </w:r>
    </w:p>
    <w:p>
      <w:pPr>
        <w:spacing w:after="0" w:line="180"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cost over the identifiable net assets of businesses acquired and is recorded in the functional currency of the acquired entity. Goodwill is recognized as an asset and is reviewed for impairment annually as of October 1 and between annual tests when events and circumstances indicate that impairment may have occurred.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229"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Deferred revenue represents management fees and other revenue received prior to the balance sheet date, which has not yet been earned. Deferred revenue also includes transaction and portfolio advisory fees received by the Company that are required to offset fund management fees pursuant to the related fund agreements.</w:t>
      </w:r>
    </w:p>
    <w:p>
      <w:pPr>
        <w:sectPr>
          <w:pgSz w:w="11900" w:h="16838" w:orient="portrait"/>
          <w:cols w:equalWidth="0" w:num="1">
            <w:col w:w="9220"/>
          </w:cols>
          <w:pgMar w:left="1320" w:top="104" w:right="1359"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220"/>
          </w:cols>
          <w:pgMar w:left="1320" w:top="104" w:right="1359" w:bottom="0" w:gutter="0" w:footer="0" w:header="0"/>
          <w:type w:val="continuous"/>
        </w:sectPr>
      </w:pPr>
    </w:p>
    <w:bookmarkStart w:id="20" w:name="page21"/>
    <w:bookmarkEnd w:id="20"/>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1916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919162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2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Company’s accumulated other comprehensive income (loss) is comprised of foreign currency translation adjustments and gains and losses on defined benefit plans sponsored by AlpInvest. The components of accumulated other comprehensive income (loss) as of March 31, 2024 and December 31, 2023 were as follows:</w:t>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6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40" w:type="dxa"/>
            <w:vAlign w:val="bottom"/>
            <w:tcBorders>
              <w:bottom w:val="single" w:sz="8" w:color="auto"/>
            </w:tcBorders>
          </w:tcPr>
          <w:p>
            <w:pPr>
              <w:spacing w:after="0"/>
              <w:rPr>
                <w:sz w:val="17"/>
                <w:szCs w:val="17"/>
                <w:color w:val="auto"/>
              </w:rPr>
            </w:pPr>
          </w:p>
        </w:tc>
      </w:tr>
      <w:tr>
        <w:trPr>
          <w:trHeight w:val="196"/>
        </w:trPr>
        <w:tc>
          <w:tcPr>
            <w:tcW w:w="6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6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6"/>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w:t>
            </w:r>
          </w:p>
        </w:tc>
      </w:tr>
      <w:tr>
        <w:trPr>
          <w:trHeight w:val="257"/>
        </w:trPr>
        <w:tc>
          <w:tcPr>
            <w:tcW w:w="6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Unrealized losses on defined benefit plans</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35"/>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229"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Non-U.S. dollar denominated assets and liabilities are translated at period-end rates of exchange, and the condensed consolidated statements of operations are translated at rates of exchange in effect throughout the period. Foreign currency gains (losses) resulting from transactions outside of the functional currency of an entity of $0.5 million and $(11.8) million for the three months ended March 31, 2024 and 2023, respectively, are included in general, administrative and other expenses in the condensed consolidated statements of operations.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 updates (“ASU”) issued by the Financial Accounting Standards Board (“FASB”). ASUs not listed below were assessed and either determined to be not applicable or expected to have minimal impact on the Company’s condensed consolidated financial statements.</w:t>
      </w:r>
    </w:p>
    <w:p>
      <w:pPr>
        <w:spacing w:after="0" w:line="174" w:lineRule="exact"/>
        <w:rPr>
          <w:sz w:val="20"/>
          <w:szCs w:val="20"/>
          <w:color w:val="auto"/>
        </w:rPr>
      </w:pPr>
    </w:p>
    <w:p>
      <w:pPr>
        <w:ind w:right="60" w:firstLine="445"/>
        <w:spacing w:after="0" w:line="257"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Subject to Contractual Sale Restrictions</w:t>
      </w:r>
      <w:r>
        <w:rPr>
          <w:rFonts w:ascii="Times New Roman" w:cs="Times New Roman" w:eastAsia="Times New Roman" w:hAnsi="Times New Roman"/>
          <w:sz w:val="18"/>
          <w:szCs w:val="18"/>
          <w:color w:val="auto"/>
        </w:rPr>
        <w:t>. The amendments in this update clarify the guidance in Topic 820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measuring the fair value of an equity security subject to contractual sale restrictions and introduce new disclosure requirements related to such equity securities. The amendments are effective for fiscal years beginning after December 15, 2023, with early adoption permitted. The adoption of this guidance did not have a material impact on the Company’s condensed consolidated financial statements.</w:t>
      </w:r>
    </w:p>
    <w:p>
      <w:pPr>
        <w:spacing w:after="0" w:line="182"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 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requires, among other things, disclosure of significant segment expense categories and amounts for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reportable segment on an interim and annual basis. The guidance is effective for fiscal years beginning after December 15, 2023, and interim periods in fiscal years beginning after December 15, 2024, with early adoption permitted. The Company does not expect the impact of this guidance to be material to its condensed consolidated financial statements.</w:t>
      </w:r>
    </w:p>
    <w:p>
      <w:pPr>
        <w:spacing w:after="0" w:line="183"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w:t>
      </w:r>
      <w:r>
        <w:rPr>
          <w:rFonts w:ascii="Times New Roman" w:cs="Times New Roman" w:eastAsia="Times New Roman" w:hAnsi="Times New Roman"/>
          <w:sz w:val="18"/>
          <w:szCs w:val="18"/>
          <w:color w:val="auto"/>
        </w:rPr>
        <w:t xml:space="preserve"> , which requires disclosure of disaggregated information about a reporting entity’s effective tax rate reconciliation, using both percentages and reporting currency amounts for specific standardized categories, as well as disclosure of income taxes paid disaggregated by jurisdiction. The guidance is effective for annual periods beginning after December 15, 2024, with early adoption permitted. The Company does not expect the impact of this guidance to be material to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12420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6115" cy="124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assets and liabilities measured at fair value on a recurring basis by the</w:t>
      </w:r>
    </w:p>
    <w:p>
      <w:pPr>
        <w:sectPr>
          <w:pgSz w:w="11900" w:h="16838" w:orient="portrait"/>
          <w:cols w:equalWidth="0" w:num="1">
            <w:col w:w="9220"/>
          </w:cols>
          <w:pgMar w:left="1320" w:top="553" w:right="1359" w:bottom="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fair value hierarchy levels as disclosed in Note 2, Summary of Significant Accounting Policies,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-110490</wp:posOffset>
            </wp:positionV>
            <wp:extent cx="7016115" cy="7820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6115" cy="7820025"/>
                    </a:xfrm>
                    <a:prstGeom prst="rect">
                      <a:avLst/>
                    </a:prstGeom>
                    <a:noFill/>
                  </pic:spPr>
                </pic:pic>
              </a:graphicData>
            </a:graphic>
          </wp:anchor>
        </w:drawing>
      </w:r>
    </w:p>
    <w:p>
      <w:pPr>
        <w:spacing w:after="0" w:line="194" w:lineRule="exact"/>
        <w:rPr>
          <w:sz w:val="20"/>
          <w:szCs w:val="20"/>
          <w:color w:val="auto"/>
        </w:rPr>
      </w:pPr>
    </w:p>
    <w:tbl>
      <w:tblPr>
        <w:tblLayout w:type="fixed"/>
        <w:tblInd w:w="80" w:type="dxa"/>
        <w:tblCellMar>
          <w:top w:w="0" w:type="dxa"/>
          <w:left w:w="0" w:type="dxa"/>
          <w:bottom w:w="0" w:type="dxa"/>
          <w:right w:w="0" w:type="dxa"/>
        </w:tblCellMar>
      </w:tblPr>
      <w:tr>
        <w:trPr>
          <w:trHeight w:val="205"/>
        </w:trPr>
        <w:tc>
          <w:tcPr>
            <w:tcW w:w="478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20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16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220" w:type="dxa"/>
            <w:vAlign w:val="bottom"/>
          </w:tcPr>
          <w:p>
            <w:pPr>
              <w:spacing w:after="0"/>
              <w:rPr>
                <w:sz w:val="17"/>
                <w:szCs w:val="17"/>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7"/>
        </w:trPr>
        <w:tc>
          <w:tcPr>
            <w:tcW w:w="47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r>
      <w:tr>
        <w:trPr>
          <w:trHeight w:val="230"/>
        </w:trPr>
        <w:tc>
          <w:tcPr>
            <w:tcW w:w="4780" w:type="dxa"/>
            <w:vAlign w:val="bottom"/>
          </w:tcPr>
          <w:p>
            <w:pPr>
              <w:ind w:left="60"/>
              <w:spacing w:after="0" w:line="230" w:lineRule="exact"/>
              <w:rPr>
                <w:sz w:val="20"/>
                <w:szCs w:val="20"/>
                <w:color w:val="auto"/>
              </w:rPr>
            </w:pPr>
            <w:r>
              <w:rPr>
                <w:rFonts w:ascii="Times New Roman" w:cs="Times New Roman" w:eastAsia="Times New Roman" w:hAnsi="Times New Roman"/>
                <w:sz w:val="16"/>
                <w:szCs w:val="16"/>
                <w:color w:val="auto"/>
              </w:rPr>
              <w:t>Investments of Consolidated Funds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4780" w:type="dxa"/>
            <w:vAlign w:val="bottom"/>
            <w:shd w:val="clear" w:color="auto" w:fill="CCEEFF"/>
          </w:tcPr>
          <w:p>
            <w:pPr>
              <w:ind w:left="380"/>
              <w:spacing w:after="0" w:line="230" w:lineRule="exact"/>
              <w:rPr>
                <w:sz w:val="20"/>
                <w:szCs w:val="20"/>
                <w:color w:val="auto"/>
              </w:rPr>
            </w:pPr>
            <w:r>
              <w:rPr>
                <w:rFonts w:ascii="Times New Roman" w:cs="Times New Roman" w:eastAsia="Times New Roman" w:hAnsi="Times New Roman"/>
                <w:sz w:val="16"/>
                <w:szCs w:val="16"/>
                <w:color w:val="auto"/>
              </w:rPr>
              <w:t>Equity securities</w:t>
            </w:r>
            <w:r>
              <w:rPr>
                <w:rFonts w:ascii="Times New Roman" w:cs="Times New Roman" w:eastAsia="Times New Roman" w:hAnsi="Times New Roman"/>
                <w:sz w:val="21"/>
                <w:szCs w:val="21"/>
                <w:color w:val="auto"/>
                <w:vertAlign w:val="superscript"/>
              </w:rPr>
              <w:t>(2)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387.3</w:t>
            </w:r>
          </w:p>
        </w:tc>
      </w:tr>
      <w:tr>
        <w:trPr>
          <w:trHeight w:val="229"/>
        </w:trPr>
        <w:tc>
          <w:tcPr>
            <w:tcW w:w="4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Bonds</w:t>
            </w: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500.4</w:t>
            </w:r>
          </w:p>
        </w:tc>
      </w:tr>
      <w:tr>
        <w:trPr>
          <w:trHeight w:val="230"/>
        </w:trPr>
        <w:tc>
          <w:tcPr>
            <w:tcW w:w="4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Loans</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6,064.9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6,064.9</w:t>
            </w:r>
          </w:p>
        </w:tc>
      </w:tr>
      <w:tr>
        <w:trPr>
          <w:trHeight w:val="236"/>
        </w:trPr>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6,952.6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6,952.6</w:t>
            </w:r>
          </w:p>
        </w:tc>
      </w:tr>
      <w:tr>
        <w:trPr>
          <w:trHeight w:val="257"/>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Investments in CLOs and other:</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57"/>
        </w:trPr>
        <w:tc>
          <w:tcPr>
            <w:tcW w:w="4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Investments in CLOs</w:t>
            </w:r>
          </w:p>
        </w:tc>
        <w:tc>
          <w:tcPr>
            <w:tcW w:w="20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520.8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520.8</w:t>
            </w:r>
          </w:p>
        </w:tc>
      </w:tr>
      <w:tr>
        <w:trPr>
          <w:trHeight w:val="257"/>
        </w:trPr>
        <w:tc>
          <w:tcPr>
            <w:tcW w:w="4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investments</w:t>
            </w:r>
            <w:r>
              <w:rPr>
                <w:rFonts w:ascii="Times New Roman" w:cs="Times New Roman" w:eastAsia="Times New Roman" w:hAnsi="Times New Roman"/>
                <w:sz w:val="21"/>
                <w:szCs w:val="21"/>
                <w:color w:val="auto"/>
                <w:vertAlign w:val="superscript"/>
              </w:rPr>
              <w:t>(3)</w:t>
            </w: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38.3</w:t>
            </w:r>
          </w:p>
        </w:tc>
        <w:tc>
          <w:tcPr>
            <w:tcW w:w="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43.1</w:t>
            </w:r>
          </w:p>
        </w:tc>
        <w:tc>
          <w:tcPr>
            <w:tcW w:w="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93.2</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174.6</w:t>
            </w:r>
          </w:p>
        </w:tc>
      </w:tr>
      <w:tr>
        <w:trPr>
          <w:trHeight w:val="237"/>
        </w:trPr>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614.0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695.4</w:t>
            </w:r>
          </w:p>
        </w:tc>
      </w:tr>
      <w:tr>
        <w:trPr>
          <w:trHeight w:val="256"/>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r>
      <w:tr>
        <w:trPr>
          <w:trHeight w:val="237"/>
        </w:trPr>
        <w:tc>
          <w:tcPr>
            <w:tcW w:w="47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Subtotal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38.3</w:t>
            </w:r>
          </w:p>
        </w:tc>
        <w:tc>
          <w:tcPr>
            <w:tcW w:w="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45.5</w:t>
            </w:r>
          </w:p>
        </w:tc>
        <w:tc>
          <w:tcPr>
            <w:tcW w:w="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7,566.6</w:t>
            </w: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7,650.4</w:t>
            </w:r>
          </w:p>
        </w:tc>
      </w:tr>
      <w:tr>
        <w:trPr>
          <w:trHeight w:val="237"/>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Investments measured at net asset value</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517.1</w:t>
            </w:r>
          </w:p>
        </w:tc>
      </w:tr>
      <w:tr>
        <w:trPr>
          <w:trHeight w:val="209"/>
        </w:trPr>
        <w:tc>
          <w:tcPr>
            <w:tcW w:w="4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8,167.5</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3"/>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4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Loans payable of Consolidated Funds</w:t>
            </w:r>
            <w:r>
              <w:rPr>
                <w:rFonts w:ascii="Times New Roman" w:cs="Times New Roman" w:eastAsia="Times New Roman" w:hAnsi="Times New Roman"/>
                <w:sz w:val="21"/>
                <w:szCs w:val="21"/>
                <w:color w:val="auto"/>
                <w:vertAlign w:val="superscript"/>
              </w:rPr>
              <w:t>(4)(5)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6,352.3</w:t>
            </w:r>
          </w:p>
        </w:tc>
        <w:tc>
          <w:tcPr>
            <w:tcW w:w="8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6,352.3</w:t>
            </w:r>
          </w:p>
        </w:tc>
      </w:tr>
      <w:tr>
        <w:trPr>
          <w:trHeight w:val="270"/>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0.7</w:t>
            </w:r>
          </w:p>
        </w:tc>
        <w:tc>
          <w:tcPr>
            <w:tcW w:w="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0.7</w:t>
            </w:r>
          </w:p>
        </w:tc>
      </w:tr>
      <w:tr>
        <w:trPr>
          <w:trHeight w:val="210"/>
        </w:trPr>
        <w:tc>
          <w:tcPr>
            <w:tcW w:w="4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0.7</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6,352.3</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6,353.0</w:t>
            </w:r>
          </w:p>
        </w:tc>
      </w:tr>
      <w:tr>
        <w:trPr>
          <w:trHeight w:val="20"/>
        </w:trPr>
        <w:tc>
          <w:tcPr>
            <w:tcW w:w="4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80" w:right="40" w:hanging="330"/>
        <w:spacing w:after="0" w:line="280"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balance excludes $506.0 million related to investments of Consolidated Funds that are included in investments measured at net asset value.</w:t>
      </w:r>
    </w:p>
    <w:p>
      <w:pPr>
        <w:spacing w:after="0" w:line="56" w:lineRule="exact"/>
        <w:rPr>
          <w:rFonts w:ascii="Times New Roman" w:cs="Times New Roman" w:eastAsia="Times New Roman" w:hAnsi="Times New Roman"/>
          <w:sz w:val="16"/>
          <w:szCs w:val="16"/>
          <w:color w:val="auto"/>
        </w:rPr>
      </w:pPr>
    </w:p>
    <w:p>
      <w:pPr>
        <w:ind w:left="580" w:right="280" w:hanging="330"/>
        <w:spacing w:after="0" w:line="298"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balance includes $332.1 million related to investments that have been bridged by the Company to investment funds and are accounted for as consolidated VIEs as of March 31, 2024.</w:t>
      </w:r>
    </w:p>
    <w:p>
      <w:pPr>
        <w:spacing w:after="0" w:line="42" w:lineRule="exact"/>
        <w:rPr>
          <w:rFonts w:ascii="Times New Roman" w:cs="Times New Roman" w:eastAsia="Times New Roman" w:hAnsi="Times New Roman"/>
          <w:sz w:val="16"/>
          <w:szCs w:val="16"/>
          <w:color w:val="auto"/>
        </w:rPr>
      </w:pPr>
    </w:p>
    <w:p>
      <w:pPr>
        <w:ind w:left="580" w:right="180" w:hanging="330"/>
        <w:spacing w:after="0" w:line="263"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Level III balance excludes $50.3 million related to three corporate investments in equity securities which the Company has elected to account for under the measurement alternative for equity securities without readily determinable fair values pursuant to ASC 321, </w:t>
      </w:r>
      <w:r>
        <w:rPr>
          <w:rFonts w:ascii="Times New Roman" w:cs="Times New Roman" w:eastAsia="Times New Roman" w:hAnsi="Times New Roman"/>
          <w:sz w:val="16"/>
          <w:szCs w:val="16"/>
          <w:i w:val="1"/>
          <w:iCs w:val="1"/>
          <w:color w:val="auto"/>
        </w:rPr>
        <w:t>Investments – Equity Securities</w:t>
      </w:r>
      <w:r>
        <w:rPr>
          <w:rFonts w:ascii="Times New Roman" w:cs="Times New Roman" w:eastAsia="Times New Roman" w:hAnsi="Times New Roman"/>
          <w:sz w:val="16"/>
          <w:szCs w:val="16"/>
          <w:color w:val="auto"/>
        </w:rPr>
        <w:t>. As a non-recurring fair value measurement, the fair value of these equity securities is excluded from the tabular Level III rollforward disclosures.</w:t>
      </w:r>
    </w:p>
    <w:p>
      <w:pPr>
        <w:spacing w:after="0" w:line="84" w:lineRule="exact"/>
        <w:rPr>
          <w:rFonts w:ascii="Times New Roman" w:cs="Times New Roman" w:eastAsia="Times New Roman" w:hAnsi="Times New Roman"/>
          <w:sz w:val="16"/>
          <w:szCs w:val="16"/>
          <w:color w:val="auto"/>
        </w:rPr>
      </w:pPr>
    </w:p>
    <w:p>
      <w:pPr>
        <w:ind w:left="580" w:hanging="330"/>
        <w:spacing w:after="0" w:line="272"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and subordinated notes issued by CLO vehicles are valued based on the more observable fair value of the CLO financial assets, less (i) the fair value of any beneficial interest held by the Company and (ii) the carrying value of any beneficial interests that represent compensation for services.</w:t>
      </w:r>
    </w:p>
    <w:p>
      <w:pPr>
        <w:spacing w:after="0" w:line="62" w:lineRule="exact"/>
        <w:rPr>
          <w:rFonts w:ascii="Times New Roman" w:cs="Times New Roman" w:eastAsia="Times New Roman" w:hAnsi="Times New Roman"/>
          <w:sz w:val="16"/>
          <w:szCs w:val="16"/>
          <w:color w:val="auto"/>
        </w:rPr>
      </w:pPr>
    </w:p>
    <w:p>
      <w:pPr>
        <w:ind w:left="580" w:hanging="330"/>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payable of Consolidated Funds balance excludes a $182.8 million revolving credit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26136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115" cy="261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assets and liabilities measured at fair value on a recurring basis by the above fair value hierarchy levels as of December 31, 2023:</w:t>
      </w:r>
    </w:p>
    <w:p>
      <w:pPr>
        <w:spacing w:after="0" w:line="245" w:lineRule="exact"/>
        <w:rPr>
          <w:sz w:val="20"/>
          <w:szCs w:val="20"/>
          <w:color w:val="auto"/>
        </w:rPr>
      </w:pPr>
    </w:p>
    <w:tbl>
      <w:tblPr>
        <w:tblLayout w:type="fixed"/>
        <w:tblInd w:w="140" w:type="dxa"/>
        <w:tblCellMar>
          <w:top w:w="0" w:type="dxa"/>
          <w:left w:w="0" w:type="dxa"/>
          <w:bottom w:w="0" w:type="dxa"/>
          <w:right w:w="0" w:type="dxa"/>
        </w:tblCellMar>
      </w:tblPr>
      <w:tr>
        <w:trPr>
          <w:trHeight w:val="212"/>
        </w:trPr>
        <w:tc>
          <w:tcPr>
            <w:tcW w:w="3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132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1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260" w:type="dxa"/>
            <w:vAlign w:val="bottom"/>
          </w:tcPr>
          <w:p>
            <w:pPr>
              <w:spacing w:after="0"/>
              <w:rPr>
                <w:sz w:val="18"/>
                <w:szCs w:val="18"/>
                <w:color w:val="auto"/>
              </w:rPr>
            </w:pPr>
          </w:p>
        </w:tc>
        <w:tc>
          <w:tcPr>
            <w:tcW w:w="7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6"/>
        </w:trPr>
        <w:tc>
          <w:tcPr>
            <w:tcW w:w="3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92"/>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Investments of Consolidated Funds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67"/>
        </w:trPr>
        <w:tc>
          <w:tcPr>
            <w:tcW w:w="3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Equity securities</w:t>
            </w:r>
            <w:r>
              <w:rPr>
                <w:rFonts w:ascii="Times New Roman" w:cs="Times New Roman" w:eastAsia="Times New Roman" w:hAnsi="Times New Roman"/>
                <w:sz w:val="21"/>
                <w:szCs w:val="21"/>
                <w:color w:val="auto"/>
                <w:vertAlign w:val="superscript"/>
              </w:rPr>
              <w:t>(2)</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377.6</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w:t>
            </w:r>
          </w:p>
        </w:tc>
      </w:tr>
      <w:tr>
        <w:trPr>
          <w:trHeight w:val="210"/>
        </w:trPr>
        <w:tc>
          <w:tcPr>
            <w:tcW w:w="3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Bonds</w:t>
            </w:r>
          </w:p>
        </w:tc>
        <w:tc>
          <w:tcPr>
            <w:tcW w:w="1320" w:type="dxa"/>
            <w:vAlign w:val="bottom"/>
          </w:tcPr>
          <w:p>
            <w:pPr>
              <w:spacing w:after="0"/>
              <w:rPr>
                <w:sz w:val="18"/>
                <w:szCs w:val="18"/>
                <w:color w:val="auto"/>
              </w:rPr>
            </w:pPr>
          </w:p>
        </w:tc>
        <w:tc>
          <w:tcPr>
            <w:tcW w:w="10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522.5</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522.5</w:t>
            </w:r>
          </w:p>
        </w:tc>
      </w:tr>
      <w:tr>
        <w:trPr>
          <w:trHeight w:val="257"/>
        </w:trPr>
        <w:tc>
          <w:tcPr>
            <w:tcW w:w="3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Loans</w:t>
            </w:r>
          </w:p>
        </w:tc>
        <w:tc>
          <w:tcPr>
            <w:tcW w:w="1320" w:type="dxa"/>
            <w:vAlign w:val="bottom"/>
          </w:tcPr>
          <w:p>
            <w:pPr>
              <w:spacing w:after="0"/>
              <w:rPr>
                <w:sz w:val="22"/>
                <w:szCs w:val="22"/>
                <w:color w:val="auto"/>
              </w:rPr>
            </w:pPr>
          </w:p>
        </w:tc>
        <w:tc>
          <w:tcPr>
            <w:tcW w:w="10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5,862.1</w:t>
            </w: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5,862.1</w:t>
            </w:r>
          </w:p>
        </w:tc>
      </w:tr>
      <w:tr>
        <w:trPr>
          <w:trHeight w:val="256"/>
        </w:trPr>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6,762.2</w:t>
            </w: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6,762.2</w:t>
            </w:r>
          </w:p>
        </w:tc>
      </w:tr>
      <w:tr>
        <w:trPr>
          <w:trHeight w:val="256"/>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CLOs and other:</w:t>
            </w:r>
          </w:p>
        </w:tc>
        <w:tc>
          <w:tcPr>
            <w:tcW w:w="1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r>
    </w:tbl>
    <w:p>
      <w:pPr>
        <w:sectPr>
          <w:pgSz w:w="11900" w:h="16838" w:orient="portrait"/>
          <w:cols w:equalWidth="0" w:num="1">
            <w:col w:w="9160"/>
          </w:cols>
          <w:pgMar w:left="1320" w:top="108" w:right="1419" w:bottom="0" w:gutter="0" w:footer="0" w:header="0"/>
        </w:sectPr>
      </w:pPr>
    </w:p>
    <w:bookmarkStart w:id="22" w:name="page23"/>
    <w:bookmarkEnd w:id="22"/>
    <w:p>
      <w:pPr>
        <w:spacing w:after="0" w:line="27"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4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Investments in CLOs</w:t>
            </w:r>
          </w:p>
        </w:tc>
        <w:tc>
          <w:tcPr>
            <w:tcW w:w="4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532.6</w:t>
            </w:r>
          </w:p>
        </w:tc>
      </w:tr>
      <w:tr>
        <w:trPr>
          <w:trHeight w:val="121"/>
        </w:trPr>
        <w:tc>
          <w:tcPr>
            <w:tcW w:w="4780" w:type="dxa"/>
            <w:vAlign w:val="bottom"/>
            <w:tcBorders>
              <w:bottom w:val="single" w:sz="8" w:color="CCEEFF"/>
            </w:tcBorders>
          </w:tcPr>
          <w:p>
            <w:pPr>
              <w:ind w:left="380"/>
              <w:spacing w:after="0" w:line="102" w:lineRule="exact"/>
              <w:rPr>
                <w:sz w:val="20"/>
                <w:szCs w:val="20"/>
                <w:color w:val="auto"/>
              </w:rPr>
            </w:pPr>
            <w:r>
              <w:rPr>
                <w:rFonts w:ascii="Times New Roman" w:cs="Times New Roman" w:eastAsia="Times New Roman" w:hAnsi="Times New Roman"/>
                <w:sz w:val="9"/>
                <w:szCs w:val="9"/>
                <w:color w:val="auto"/>
              </w:rPr>
              <w:t>Other investments</w:t>
            </w:r>
            <w:r>
              <w:rPr>
                <w:rFonts w:ascii="Times New Roman" w:cs="Times New Roman" w:eastAsia="Times New Roman" w:hAnsi="Times New Roman"/>
                <w:sz w:val="11"/>
                <w:szCs w:val="11"/>
                <w:color w:val="auto"/>
                <w:vertAlign w:val="superscript"/>
              </w:rPr>
              <w:t>(3)</w:t>
            </w:r>
          </w:p>
        </w:tc>
        <w:tc>
          <w:tcPr>
            <w:tcW w:w="4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38.7</w:t>
            </w:r>
          </w:p>
        </w:tc>
        <w:tc>
          <w:tcPr>
            <w:tcW w:w="6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3"/>
              <w:spacing w:after="0" w:line="102" w:lineRule="exact"/>
              <w:rPr>
                <w:sz w:val="20"/>
                <w:szCs w:val="20"/>
                <w:color w:val="auto"/>
              </w:rPr>
            </w:pPr>
            <w:r>
              <w:rPr>
                <w:rFonts w:ascii="Times New Roman" w:cs="Times New Roman" w:eastAsia="Times New Roman" w:hAnsi="Times New Roman"/>
                <w:sz w:val="11"/>
                <w:szCs w:val="11"/>
                <w:color w:val="auto"/>
              </w:rPr>
              <w:t>42.8</w:t>
            </w:r>
          </w:p>
        </w:tc>
        <w:tc>
          <w:tcPr>
            <w:tcW w:w="6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84.6</w:t>
            </w: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166.1</w:t>
            </w:r>
          </w:p>
        </w:tc>
      </w:tr>
      <w:tr>
        <w:trPr>
          <w:trHeight w:val="237"/>
        </w:trPr>
        <w:tc>
          <w:tcPr>
            <w:tcW w:w="4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42.8</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698.7</w:t>
            </w:r>
          </w:p>
        </w:tc>
      </w:tr>
      <w:tr>
        <w:trPr>
          <w:trHeight w:val="257"/>
        </w:trPr>
        <w:tc>
          <w:tcPr>
            <w:tcW w:w="4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Subtotal</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60" w:type="dxa"/>
            <w:vAlign w:val="bottom"/>
          </w:tcPr>
          <w:p>
            <w:pPr>
              <w:spacing w:after="0"/>
              <w:rPr>
                <w:sz w:val="22"/>
                <w:szCs w:val="22"/>
                <w:color w:val="auto"/>
              </w:rPr>
            </w:pPr>
          </w:p>
        </w:tc>
        <w:tc>
          <w:tcPr>
            <w:tcW w:w="4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42.8</w:t>
            </w:r>
          </w:p>
        </w:tc>
        <w:tc>
          <w:tcPr>
            <w:tcW w:w="6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7,379.4</w:t>
            </w:r>
          </w:p>
        </w:tc>
        <w:tc>
          <w:tcPr>
            <w:tcW w:w="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7,460.9</w:t>
            </w:r>
          </w:p>
        </w:tc>
      </w:tr>
      <w:tr>
        <w:trPr>
          <w:trHeight w:val="257"/>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Investments measured at net asset value</w:t>
            </w:r>
          </w:p>
        </w:tc>
        <w:tc>
          <w:tcPr>
            <w:tcW w:w="4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502.0</w:t>
            </w:r>
          </w:p>
        </w:tc>
      </w:tr>
      <w:tr>
        <w:trPr>
          <w:trHeight w:val="256"/>
        </w:trPr>
        <w:tc>
          <w:tcPr>
            <w:tcW w:w="4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7,962.9</w:t>
            </w:r>
          </w:p>
        </w:tc>
      </w:tr>
      <w:tr>
        <w:trPr>
          <w:trHeight w:val="257"/>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r>
      <w:tr>
        <w:trPr>
          <w:trHeight w:val="237"/>
        </w:trPr>
        <w:tc>
          <w:tcPr>
            <w:tcW w:w="4780" w:type="dxa"/>
            <w:vAlign w:val="bottom"/>
          </w:tcPr>
          <w:p>
            <w:pPr>
              <w:ind w:left="60"/>
              <w:spacing w:after="0" w:line="217" w:lineRule="exact"/>
              <w:rPr>
                <w:sz w:val="20"/>
                <w:szCs w:val="20"/>
                <w:color w:val="auto"/>
              </w:rPr>
            </w:pPr>
            <w:r>
              <w:rPr>
                <w:rFonts w:ascii="Times New Roman" w:cs="Times New Roman" w:eastAsia="Times New Roman" w:hAnsi="Times New Roman"/>
                <w:sz w:val="16"/>
                <w:szCs w:val="16"/>
                <w:color w:val="auto"/>
              </w:rPr>
              <w:t>Loans payable of Consolidated Funds</w:t>
            </w:r>
            <w:r>
              <w:rPr>
                <w:rFonts w:ascii="Times New Roman" w:cs="Times New Roman" w:eastAsia="Times New Roman" w:hAnsi="Times New Roman"/>
                <w:sz w:val="21"/>
                <w:szCs w:val="21"/>
                <w:color w:val="auto"/>
                <w:vertAlign w:val="superscript"/>
              </w:rPr>
              <w:t>(4)(5)</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6,298.6</w:t>
            </w:r>
          </w:p>
        </w:tc>
        <w:tc>
          <w:tcPr>
            <w:tcW w:w="8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6,298.6</w:t>
            </w:r>
          </w:p>
        </w:tc>
      </w:tr>
      <w:tr>
        <w:trPr>
          <w:trHeight w:val="257"/>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6,298.6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-1302385</wp:posOffset>
            </wp:positionV>
            <wp:extent cx="7016115" cy="64484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6115" cy="6448425"/>
                    </a:xfrm>
                    <a:prstGeom prst="rect">
                      <a:avLst/>
                    </a:prstGeom>
                    <a:noFill/>
                  </pic:spPr>
                </pic:pic>
              </a:graphicData>
            </a:graphic>
          </wp:anchor>
        </w:drawing>
      </w:r>
    </w:p>
    <w:p>
      <w:pPr>
        <w:spacing w:after="0" w:line="209" w:lineRule="exact"/>
        <w:rPr>
          <w:sz w:val="20"/>
          <w:szCs w:val="20"/>
          <w:color w:val="auto"/>
        </w:rPr>
      </w:pPr>
    </w:p>
    <w:p>
      <w:pPr>
        <w:ind w:left="1120" w:right="740" w:hanging="330"/>
        <w:spacing w:after="0" w:line="280" w:lineRule="auto"/>
        <w:tabs>
          <w:tab w:leader="none" w:pos="11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balance excludes $490.9 million related to investments of consolidated funds that are included in investments measured at net asset value.</w:t>
      </w:r>
    </w:p>
    <w:p>
      <w:pPr>
        <w:spacing w:after="0" w:line="56" w:lineRule="exact"/>
        <w:rPr>
          <w:rFonts w:ascii="Times New Roman" w:cs="Times New Roman" w:eastAsia="Times New Roman" w:hAnsi="Times New Roman"/>
          <w:sz w:val="16"/>
          <w:szCs w:val="16"/>
          <w:color w:val="auto"/>
        </w:rPr>
      </w:pPr>
    </w:p>
    <w:p>
      <w:pPr>
        <w:ind w:left="1120" w:right="920" w:hanging="330"/>
        <w:spacing w:after="0" w:line="298" w:lineRule="auto"/>
        <w:tabs>
          <w:tab w:leader="none" w:pos="11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balance includes $322.0 million related to investments that h</w:t>
      </w:r>
      <w:r>
        <w:rPr>
          <w:rFonts w:ascii="Times New Roman" w:cs="Times New Roman" w:eastAsia="Times New Roman" w:hAnsi="Times New Roman"/>
          <w:sz w:val="16"/>
          <w:szCs w:val="16"/>
          <w:color w:val="auto"/>
          <w:strike w:val="1"/>
        </w:rPr>
        <w:t>ave been bridge</w:t>
      </w:r>
      <w:r>
        <w:rPr>
          <w:rFonts w:ascii="Times New Roman" w:cs="Times New Roman" w:eastAsia="Times New Roman" w:hAnsi="Times New Roman"/>
          <w:sz w:val="16"/>
          <w:szCs w:val="16"/>
          <w:color w:val="auto"/>
        </w:rPr>
        <w:t>d by the Company to investment funds and are accounted for as consolidated VIEs as of December 31, 2023.</w:t>
      </w:r>
    </w:p>
    <w:p>
      <w:pPr>
        <w:spacing w:after="0" w:line="42" w:lineRule="exact"/>
        <w:rPr>
          <w:rFonts w:ascii="Times New Roman" w:cs="Times New Roman" w:eastAsia="Times New Roman" w:hAnsi="Times New Roman"/>
          <w:sz w:val="16"/>
          <w:szCs w:val="16"/>
          <w:color w:val="auto"/>
        </w:rPr>
      </w:pPr>
    </w:p>
    <w:p>
      <w:pPr>
        <w:ind w:left="1120" w:right="820" w:hanging="330"/>
        <w:spacing w:after="0" w:line="263" w:lineRule="auto"/>
        <w:tabs>
          <w:tab w:leader="none" w:pos="11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Level III balance excludes a $50.4 million related to two corporate investments in equity securities which the Company has elected to account for under the measurement alternative for equity securities without readily determinable fair values pursuant to ASC 321, </w:t>
      </w:r>
      <w:r>
        <w:rPr>
          <w:rFonts w:ascii="Times New Roman" w:cs="Times New Roman" w:eastAsia="Times New Roman" w:hAnsi="Times New Roman"/>
          <w:sz w:val="16"/>
          <w:szCs w:val="16"/>
          <w:i w:val="1"/>
          <w:iCs w:val="1"/>
          <w:color w:val="auto"/>
        </w:rPr>
        <w:t>Investments – Equity Securities</w:t>
      </w:r>
      <w:r>
        <w:rPr>
          <w:rFonts w:ascii="Times New Roman" w:cs="Times New Roman" w:eastAsia="Times New Roman" w:hAnsi="Times New Roman"/>
          <w:sz w:val="16"/>
          <w:szCs w:val="16"/>
          <w:color w:val="auto"/>
        </w:rPr>
        <w:t>. As a non-recurring fair value measurement, the fair value of these equity securities is excluded from the tabular Level III rollforward disclosures.</w:t>
      </w:r>
    </w:p>
    <w:p>
      <w:pPr>
        <w:spacing w:after="0" w:line="84" w:lineRule="exact"/>
        <w:rPr>
          <w:rFonts w:ascii="Times New Roman" w:cs="Times New Roman" w:eastAsia="Times New Roman" w:hAnsi="Times New Roman"/>
          <w:sz w:val="16"/>
          <w:szCs w:val="16"/>
          <w:color w:val="auto"/>
        </w:rPr>
      </w:pPr>
    </w:p>
    <w:p>
      <w:pPr>
        <w:ind w:left="1120" w:right="580" w:hanging="330"/>
        <w:spacing w:after="0" w:line="272" w:lineRule="auto"/>
        <w:tabs>
          <w:tab w:leader="none" w:pos="11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Senior and subordinated notes issued by CLO vehicles are valued </w:t>
      </w:r>
      <w:r>
        <w:rPr>
          <w:rFonts w:ascii="Times New Roman" w:cs="Times New Roman" w:eastAsia="Times New Roman" w:hAnsi="Times New Roman"/>
          <w:sz w:val="16"/>
          <w:szCs w:val="16"/>
          <w:u w:val="single" w:color="auto"/>
          <w:color w:val="auto"/>
        </w:rPr>
        <w:t>based on the m</w:t>
      </w:r>
      <w:r>
        <w:rPr>
          <w:rFonts w:ascii="Times New Roman" w:cs="Times New Roman" w:eastAsia="Times New Roman" w:hAnsi="Times New Roman"/>
          <w:sz w:val="16"/>
          <w:szCs w:val="16"/>
          <w:color w:val="auto"/>
        </w:rPr>
        <w:t>o</w:t>
      </w:r>
      <w:r>
        <w:rPr>
          <w:rFonts w:ascii="Times New Roman" w:cs="Times New Roman" w:eastAsia="Times New Roman" w:hAnsi="Times New Roman"/>
          <w:sz w:val="16"/>
          <w:szCs w:val="16"/>
          <w:u w:val="single" w:color="auto"/>
          <w:color w:val="auto"/>
        </w:rPr>
        <w:t>re observable fa</w:t>
      </w:r>
      <w:r>
        <w:rPr>
          <w:rFonts w:ascii="Times New Roman" w:cs="Times New Roman" w:eastAsia="Times New Roman" w:hAnsi="Times New Roman"/>
          <w:sz w:val="16"/>
          <w:szCs w:val="16"/>
          <w:color w:val="auto"/>
        </w:rPr>
        <w:t>ir value of the CLO financial assets, less (i) the fair value of any beneficial interests held by the Company and (ii) the carrying value of any beneficial interests that represent compensation for services.</w:t>
      </w:r>
    </w:p>
    <w:p>
      <w:pPr>
        <w:spacing w:after="0" w:line="62" w:lineRule="exact"/>
        <w:rPr>
          <w:rFonts w:ascii="Times New Roman" w:cs="Times New Roman" w:eastAsia="Times New Roman" w:hAnsi="Times New Roman"/>
          <w:sz w:val="16"/>
          <w:szCs w:val="16"/>
          <w:color w:val="auto"/>
        </w:rPr>
      </w:pPr>
    </w:p>
    <w:p>
      <w:pPr>
        <w:ind w:left="1120" w:right="740" w:hanging="330"/>
        <w:spacing w:after="0" w:line="280" w:lineRule="auto"/>
        <w:tabs>
          <w:tab w:leader="none" w:pos="11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payable of Consolidated Funds balance excludes a $177.9 million revolving credit balance and $10.0 million of senior notes and subordinated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367030</wp:posOffset>
            </wp:positionV>
            <wp:extent cx="7016115" cy="3985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6115" cy="398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left="540" w:right="1300" w:firstLine="445"/>
        <w:spacing w:after="0" w:line="282" w:lineRule="auto"/>
        <w:rPr>
          <w:sz w:val="20"/>
          <w:szCs w:val="20"/>
          <w:color w:val="auto"/>
        </w:rPr>
      </w:pPr>
      <w:r>
        <w:rPr>
          <w:rFonts w:ascii="Times New Roman" w:cs="Times New Roman" w:eastAsia="Times New Roman" w:hAnsi="Times New Roman"/>
          <w:sz w:val="18"/>
          <w:szCs w:val="18"/>
          <w:color w:val="auto"/>
        </w:rPr>
        <w:t>The changes in financial instruments measured at fair value for which the Company has used Level III inputs to determine fair value are as follows (Dollars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Investments of Consolidated Funds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40" w:type="dxa"/>
            <w:vAlign w:val="bottom"/>
          </w:tcPr>
          <w:p>
            <w:pPr>
              <w:spacing w:after="0"/>
              <w:rPr>
                <w:sz w:val="13"/>
                <w:szCs w:val="13"/>
                <w:color w:val="auto"/>
              </w:rPr>
            </w:pPr>
          </w:p>
        </w:tc>
        <w:tc>
          <w:tcPr>
            <w:tcW w:w="8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Bonds</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vMerge w:val="restart"/>
          </w:tcPr>
          <w:p>
            <w:pPr>
              <w:spacing w:after="0"/>
              <w:rPr>
                <w:sz w:val="13"/>
                <w:szCs w:val="13"/>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Investments in</w:t>
            </w:r>
          </w:p>
        </w:tc>
        <w:tc>
          <w:tcPr>
            <w:tcW w:w="16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3"/>
                <w:szCs w:val="13"/>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CLOs</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377.6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522.5</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5,862.1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532.6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7,379.4</w:t>
            </w:r>
          </w:p>
        </w:tc>
        <w:tc>
          <w:tcPr>
            <w:tcW w:w="0" w:type="dxa"/>
            <w:vAlign w:val="bottom"/>
          </w:tcPr>
          <w:p>
            <w:pPr>
              <w:spacing w:after="0"/>
              <w:rPr>
                <w:sz w:val="1"/>
                <w:szCs w:val="1"/>
                <w:color w:val="auto"/>
              </w:rPr>
            </w:pPr>
          </w:p>
        </w:tc>
      </w:tr>
      <w:tr>
        <w:trPr>
          <w:trHeight w:val="224"/>
        </w:trPr>
        <w:tc>
          <w:tcPr>
            <w:tcW w:w="3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w:t>
            </w:r>
          </w:p>
        </w:tc>
        <w:tc>
          <w:tcPr>
            <w:tcW w:w="180" w:type="dxa"/>
            <w:vAlign w:val="bottom"/>
          </w:tcPr>
          <w:p>
            <w:pPr>
              <w:spacing w:after="0"/>
              <w:rPr>
                <w:sz w:val="19"/>
                <w:szCs w:val="19"/>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1,397.4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1,469.6</w:t>
            </w:r>
          </w:p>
        </w:tc>
        <w:tc>
          <w:tcPr>
            <w:tcW w:w="0" w:type="dxa"/>
            <w:vAlign w:val="bottom"/>
          </w:tcPr>
          <w:p>
            <w:pPr>
              <w:spacing w:after="0"/>
              <w:rPr>
                <w:sz w:val="1"/>
                <w:szCs w:val="1"/>
                <w:color w:val="auto"/>
              </w:rPr>
            </w:pPr>
          </w:p>
        </w:tc>
      </w:tr>
      <w:tr>
        <w:trPr>
          <w:trHeight w:val="235"/>
        </w:trPr>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Sales and distributions</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(72.8)</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(729.5)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(24.0)</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(833.3)</w:t>
            </w:r>
          </w:p>
        </w:tc>
        <w:tc>
          <w:tcPr>
            <w:tcW w:w="0" w:type="dxa"/>
            <w:vAlign w:val="bottom"/>
          </w:tcPr>
          <w:p>
            <w:pPr>
              <w:spacing w:after="0"/>
              <w:rPr>
                <w:sz w:val="1"/>
                <w:szCs w:val="1"/>
                <w:color w:val="auto"/>
              </w:rPr>
            </w:pPr>
          </w:p>
        </w:tc>
      </w:tr>
      <w:tr>
        <w:trPr>
          <w:trHeight w:val="224"/>
        </w:trPr>
        <w:tc>
          <w:tcPr>
            <w:tcW w:w="3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Settlements</w:t>
            </w: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(464.7)</w:t>
            </w: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Realized and unrealized gains (losses), net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Included in earnings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104.1</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Included in other comprehensive income</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w:t>
            </w: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(88.5)</w:t>
            </w:r>
          </w:p>
        </w:tc>
        <w:tc>
          <w:tcPr>
            <w:tcW w:w="0" w:type="dxa"/>
            <w:vAlign w:val="bottom"/>
          </w:tcPr>
          <w:p>
            <w:pPr>
              <w:spacing w:after="0"/>
              <w:rPr>
                <w:sz w:val="1"/>
                <w:szCs w:val="1"/>
                <w:color w:val="auto"/>
              </w:rPr>
            </w:pPr>
          </w:p>
        </w:tc>
      </w:tr>
      <w:tr>
        <w:trPr>
          <w:trHeight w:val="187"/>
        </w:trPr>
        <w:tc>
          <w:tcPr>
            <w:tcW w:w="3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end of period</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387.3</w:t>
            </w:r>
          </w:p>
        </w:tc>
        <w:tc>
          <w:tcPr>
            <w:tcW w:w="60" w:type="dxa"/>
            <w:vAlign w:val="bottom"/>
          </w:tcPr>
          <w:p>
            <w:pPr>
              <w:spacing w:after="0"/>
              <w:rPr>
                <w:sz w:val="16"/>
                <w:szCs w:val="16"/>
                <w:color w:val="auto"/>
              </w:rPr>
            </w:pP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500.4</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6,064.9</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520.8</w:t>
            </w:r>
          </w:p>
        </w:tc>
        <w:tc>
          <w:tcPr>
            <w:tcW w:w="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93.2</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7,566.6</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20" w:type="dxa"/>
            <w:vAlign w:val="bottom"/>
            <w:shd w:val="clear" w:color="auto" w:fill="CCEEFF"/>
          </w:tcPr>
          <w:p>
            <w:pPr>
              <w:ind w:left="40"/>
              <w:spacing w:after="0" w:line="156" w:lineRule="exact"/>
              <w:rPr>
                <w:sz w:val="20"/>
                <w:szCs w:val="20"/>
                <w:color w:val="auto"/>
              </w:rPr>
            </w:pPr>
            <w:r>
              <w:rPr>
                <w:rFonts w:ascii="Times New Roman" w:cs="Times New Roman" w:eastAsia="Times New Roman" w:hAnsi="Times New Roman"/>
                <w:sz w:val="14"/>
                <w:szCs w:val="14"/>
                <w:color w:val="auto"/>
              </w:rPr>
              <w:t>Changes in unrealized gains (losses) included in earnings</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w:t>
            </w:r>
          </w:p>
        </w:tc>
        <w:tc>
          <w:tcPr>
            <w:tcW w:w="6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w:t>
            </w:r>
          </w:p>
        </w:tc>
        <w:tc>
          <w:tcPr>
            <w:tcW w:w="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60.8</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15.2</w:t>
            </w:r>
          </w:p>
        </w:tc>
        <w:tc>
          <w:tcPr>
            <w:tcW w:w="4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92.0</w:t>
            </w: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related to financial assets still held at the reporting date</w:t>
            </w:r>
          </w:p>
        </w:tc>
        <w:tc>
          <w:tcPr>
            <w:tcW w:w="18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Changes in unrealized gains (losses) included in other</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620" w:type="dxa"/>
            <w:vAlign w:val="bottom"/>
          </w:tcPr>
          <w:p>
            <w:pPr>
              <w:ind w:left="40"/>
              <w:spacing w:after="0" w:line="145" w:lineRule="exact"/>
              <w:rPr>
                <w:sz w:val="20"/>
                <w:szCs w:val="20"/>
                <w:color w:val="auto"/>
              </w:rPr>
            </w:pPr>
            <w:r>
              <w:rPr>
                <w:rFonts w:ascii="Times New Roman" w:cs="Times New Roman" w:eastAsia="Times New Roman" w:hAnsi="Times New Roman"/>
                <w:sz w:val="14"/>
                <w:szCs w:val="14"/>
                <w:color w:val="auto"/>
              </w:rPr>
              <w:t>comprehensive income related to financial assets still held at</w:t>
            </w: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(10.2)</w:t>
            </w: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(68.9)</w:t>
            </w:r>
          </w:p>
        </w:tc>
        <w:tc>
          <w:tcPr>
            <w:tcW w:w="10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4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(83.1)</w:t>
            </w:r>
          </w:p>
        </w:tc>
        <w:tc>
          <w:tcPr>
            <w:tcW w:w="0" w:type="dxa"/>
            <w:vAlign w:val="bottom"/>
          </w:tcPr>
          <w:p>
            <w:pPr>
              <w:spacing w:after="0"/>
              <w:rPr>
                <w:sz w:val="1"/>
                <w:szCs w:val="1"/>
                <w:color w:val="auto"/>
              </w:rPr>
            </w:pPr>
          </w:p>
        </w:tc>
      </w:tr>
      <w:tr>
        <w:trPr>
          <w:trHeight w:val="188"/>
        </w:trPr>
        <w:tc>
          <w:tcPr>
            <w:tcW w:w="3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the reporting date</w:t>
            </w:r>
          </w:p>
        </w:tc>
        <w:tc>
          <w:tcPr>
            <w:tcW w:w="1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65" w:orient="portrait"/>
          <w:cols w:equalWidth="0" w:num="1">
            <w:col w:w="10340"/>
          </w:cols>
          <w:pgMar w:left="780" w:top="91" w:right="779" w:bottom="0" w:gutter="0" w:footer="0" w:header="0"/>
        </w:sectPr>
      </w:pPr>
    </w:p>
    <w:p>
      <w:pPr>
        <w:spacing w:after="0" w:line="31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b w:val="1"/>
          <w:bCs w:val="1"/>
          <w:color w:val="auto"/>
        </w:rPr>
        <w:t>Financial Assets</w:t>
      </w:r>
    </w:p>
    <w:p>
      <w:pPr>
        <w:sectPr>
          <w:pgSz w:w="11900" w:h="16865" w:orient="portrait"/>
          <w:cols w:equalWidth="0" w:num="1">
            <w:col w:w="10340"/>
          </w:cols>
          <w:pgMar w:left="780" w:top="91" w:right="779" w:bottom="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40" w:type="dxa"/>
            <w:vAlign w:val="bottom"/>
            <w:gridSpan w:val="8"/>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 of Consolidated Funds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jc w:val="center"/>
              <w:ind w:right="20"/>
              <w:spacing w:after="0" w:line="131" w:lineRule="exact"/>
              <w:rPr>
                <w:sz w:val="20"/>
                <w:szCs w:val="20"/>
                <w:color w:val="auto"/>
              </w:rPr>
            </w:pPr>
            <w:r>
              <w:rPr>
                <w:rFonts w:ascii="Times New Roman" w:cs="Times New Roman" w:eastAsia="Times New Roman" w:hAnsi="Times New Roman"/>
                <w:sz w:val="14"/>
                <w:szCs w:val="14"/>
                <w:b w:val="1"/>
                <w:bCs w:val="1"/>
                <w:color w:val="auto"/>
              </w:rPr>
              <w:t>Investments in</w:t>
            </w:r>
          </w:p>
        </w:tc>
        <w:tc>
          <w:tcPr>
            <w:tcW w:w="220" w:type="dxa"/>
            <w:vAlign w:val="bottom"/>
          </w:tcPr>
          <w:p>
            <w:pPr>
              <w:spacing w:after="0"/>
              <w:rPr>
                <w:sz w:val="11"/>
                <w:szCs w:val="11"/>
                <w:color w:val="auto"/>
              </w:rPr>
            </w:pPr>
          </w:p>
        </w:tc>
        <w:tc>
          <w:tcPr>
            <w:tcW w:w="8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Bonds</w:t>
            </w:r>
          </w:p>
        </w:tc>
        <w:tc>
          <w:tcPr>
            <w:tcW w:w="240" w:type="dxa"/>
            <w:vAlign w:val="bottom"/>
          </w:tcPr>
          <w:p>
            <w:pPr>
              <w:spacing w:after="0"/>
              <w:rPr>
                <w:sz w:val="16"/>
                <w:szCs w:val="16"/>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CLOs</w:t>
            </w: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6"/>
                <w:szCs w:val="16"/>
                <w:color w:val="auto"/>
              </w:rPr>
            </w:pPr>
          </w:p>
        </w:tc>
        <w:tc>
          <w:tcPr>
            <w:tcW w:w="8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60" w:type="dxa"/>
            <w:vAlign w:val="bottom"/>
          </w:tcPr>
          <w:p>
            <w:pPr>
              <w:spacing w:after="0"/>
              <w:rPr>
                <w:sz w:val="19"/>
                <w:szCs w:val="19"/>
                <w:color w:val="auto"/>
              </w:rPr>
            </w:pP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594.9</w:t>
            </w:r>
          </w:p>
        </w:tc>
        <w:tc>
          <w:tcPr>
            <w:tcW w:w="80" w:type="dxa"/>
            <w:vAlign w:val="bottom"/>
          </w:tcPr>
          <w:p>
            <w:pPr>
              <w:spacing w:after="0"/>
              <w:rPr>
                <w:sz w:val="19"/>
                <w:szCs w:val="19"/>
                <w:color w:val="auto"/>
              </w:rPr>
            </w:pP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5,352.9</w:t>
            </w:r>
          </w:p>
        </w:tc>
        <w:tc>
          <w:tcPr>
            <w:tcW w:w="60" w:type="dxa"/>
            <w:vAlign w:val="bottom"/>
          </w:tcPr>
          <w:p>
            <w:pPr>
              <w:spacing w:after="0"/>
              <w:rPr>
                <w:sz w:val="19"/>
                <w:szCs w:val="19"/>
                <w:color w:val="auto"/>
              </w:rPr>
            </w:pP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526.1</w:t>
            </w:r>
          </w:p>
        </w:tc>
        <w:tc>
          <w:tcPr>
            <w:tcW w:w="40" w:type="dxa"/>
            <w:vAlign w:val="bottom"/>
          </w:tcPr>
          <w:p>
            <w:pPr>
              <w:spacing w:after="0"/>
              <w:rPr>
                <w:sz w:val="19"/>
                <w:szCs w:val="19"/>
                <w:color w:val="auto"/>
              </w:rPr>
            </w:pP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80" w:type="dxa"/>
            <w:vAlign w:val="bottom"/>
          </w:tcPr>
          <w:p>
            <w:pPr>
              <w:spacing w:after="0"/>
              <w:rPr>
                <w:sz w:val="19"/>
                <w:szCs w:val="19"/>
                <w:color w:val="auto"/>
              </w:rPr>
            </w:pP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6,983.9</w:t>
            </w:r>
          </w:p>
        </w:tc>
        <w:tc>
          <w:tcPr>
            <w:tcW w:w="0" w:type="dxa"/>
            <w:vAlign w:val="bottom"/>
          </w:tcPr>
          <w:p>
            <w:pPr>
              <w:spacing w:after="0"/>
              <w:rPr>
                <w:sz w:val="1"/>
                <w:szCs w:val="1"/>
                <w:color w:val="auto"/>
              </w:rPr>
            </w:pPr>
          </w:p>
        </w:tc>
      </w:tr>
      <w:tr>
        <w:trPr>
          <w:trHeight w:val="23"/>
        </w:trPr>
        <w:tc>
          <w:tcPr>
            <w:tcW w:w="3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Purchases</w:t>
            </w: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272.5</w:t>
            </w:r>
          </w:p>
        </w:tc>
        <w:tc>
          <w:tcPr>
            <w:tcW w:w="0" w:type="dxa"/>
            <w:vAlign w:val="bottom"/>
          </w:tcPr>
          <w:p>
            <w:pPr>
              <w:spacing w:after="0"/>
              <w:rPr>
                <w:sz w:val="1"/>
                <w:szCs w:val="1"/>
                <w:color w:val="auto"/>
              </w:rPr>
            </w:pPr>
          </w:p>
        </w:tc>
      </w:tr>
      <w:tr>
        <w:trPr>
          <w:trHeight w:val="206"/>
        </w:trPr>
        <w:tc>
          <w:tcPr>
            <w:tcW w:w="3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Sales and distributions</w:t>
            </w: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Settlements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0" w:type="dxa"/>
            <w:vAlign w:val="bottom"/>
          </w:tcPr>
          <w:p>
            <w:pPr>
              <w:spacing w:after="0"/>
              <w:rPr>
                <w:sz w:val="1"/>
                <w:szCs w:val="1"/>
                <w:color w:val="auto"/>
              </w:rPr>
            </w:pPr>
          </w:p>
        </w:tc>
      </w:tr>
      <w:tr>
        <w:trPr>
          <w:trHeight w:val="206"/>
        </w:trPr>
        <w:tc>
          <w:tcPr>
            <w:tcW w:w="3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Realized and unrealized gains (losses), net</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Included in earnings</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0" w:type="dxa"/>
            <w:vAlign w:val="bottom"/>
          </w:tcPr>
          <w:p>
            <w:pPr>
              <w:spacing w:after="0"/>
              <w:rPr>
                <w:sz w:val="1"/>
                <w:szCs w:val="1"/>
                <w:color w:val="auto"/>
              </w:rPr>
            </w:pPr>
          </w:p>
        </w:tc>
      </w:tr>
      <w:tr>
        <w:trPr>
          <w:trHeight w:val="206"/>
        </w:trPr>
        <w:tc>
          <w:tcPr>
            <w:tcW w:w="36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Included in other comprehensive income</w:t>
            </w:r>
          </w:p>
        </w:tc>
        <w:tc>
          <w:tcPr>
            <w:tcW w:w="2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Balance, end of period</w:t>
            </w:r>
          </w:p>
        </w:tc>
        <w:tc>
          <w:tcPr>
            <w:tcW w:w="2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435.5</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5,481.7</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544.8</w:t>
            </w: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7,131.3</w:t>
            </w:r>
          </w:p>
        </w:tc>
        <w:tc>
          <w:tcPr>
            <w:tcW w:w="0" w:type="dxa"/>
            <w:vAlign w:val="bottom"/>
          </w:tcPr>
          <w:p>
            <w:pPr>
              <w:spacing w:after="0"/>
              <w:rPr>
                <w:sz w:val="1"/>
                <w:szCs w:val="1"/>
                <w:color w:val="auto"/>
              </w:rPr>
            </w:pPr>
          </w:p>
        </w:tc>
      </w:tr>
      <w:tr>
        <w:trPr>
          <w:trHeight w:val="133"/>
        </w:trPr>
        <w:tc>
          <w:tcPr>
            <w:tcW w:w="3620" w:type="dxa"/>
            <w:vAlign w:val="bottom"/>
          </w:tcPr>
          <w:p>
            <w:pPr>
              <w:ind w:left="60"/>
              <w:spacing w:after="0" w:line="133" w:lineRule="exact"/>
              <w:rPr>
                <w:sz w:val="20"/>
                <w:szCs w:val="20"/>
                <w:color w:val="auto"/>
              </w:rPr>
            </w:pPr>
            <w:r>
              <w:rPr>
                <w:rFonts w:ascii="Times New Roman" w:cs="Times New Roman" w:eastAsia="Times New Roman" w:hAnsi="Times New Roman"/>
                <w:sz w:val="14"/>
                <w:szCs w:val="14"/>
                <w:color w:val="auto"/>
              </w:rPr>
              <w:t>Changes in unrealized gains (losses) included in earnings</w:t>
            </w: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related to financial assets still held at the reporting date</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60" w:type="dxa"/>
            <w:vAlign w:val="bottom"/>
          </w:tcPr>
          <w:p>
            <w:pPr>
              <w:spacing w:after="0"/>
              <w:rPr>
                <w:sz w:val="16"/>
                <w:szCs w:val="16"/>
                <w:color w:val="auto"/>
              </w:rPr>
            </w:pP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6"/>
                <w:szCs w:val="16"/>
                <w:color w:val="auto"/>
              </w:rPr>
            </w:pP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60" w:type="dxa"/>
            <w:vAlign w:val="bottom"/>
          </w:tcPr>
          <w:p>
            <w:pPr>
              <w:spacing w:after="0"/>
              <w:rPr>
                <w:sz w:val="16"/>
                <w:szCs w:val="16"/>
                <w:color w:val="auto"/>
              </w:rPr>
            </w:pP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40" w:type="dxa"/>
            <w:vAlign w:val="bottom"/>
          </w:tcPr>
          <w:p>
            <w:pPr>
              <w:spacing w:after="0"/>
              <w:rPr>
                <w:sz w:val="16"/>
                <w:szCs w:val="16"/>
                <w:color w:val="auto"/>
              </w:rPr>
            </w:pP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0" w:type="dxa"/>
            <w:vAlign w:val="bottom"/>
          </w:tcPr>
          <w:p>
            <w:pPr>
              <w:spacing w:after="0"/>
              <w:rPr>
                <w:sz w:val="1"/>
                <w:szCs w:val="1"/>
                <w:color w:val="auto"/>
              </w:rPr>
            </w:pPr>
          </w:p>
        </w:tc>
      </w:tr>
      <w:tr>
        <w:trPr>
          <w:trHeight w:val="190"/>
        </w:trPr>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Changes in unrealized gains (losses) included in other</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comprehensive income related to financial assets still held at</w:t>
            </w:r>
          </w:p>
        </w:tc>
        <w:tc>
          <w:tcPr>
            <w:tcW w:w="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2"/>
                <w:szCs w:val="12"/>
                <w:color w:val="auto"/>
              </w:rPr>
            </w:pP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60" w:type="dxa"/>
            <w:vAlign w:val="bottom"/>
          </w:tcPr>
          <w:p>
            <w:pPr>
              <w:spacing w:after="0"/>
              <w:rPr>
                <w:sz w:val="12"/>
                <w:szCs w:val="12"/>
                <w:color w:val="auto"/>
              </w:rPr>
            </w:pP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40" w:type="dxa"/>
            <w:vAlign w:val="bottom"/>
          </w:tcPr>
          <w:p>
            <w:pPr>
              <w:spacing w:after="0"/>
              <w:rPr>
                <w:sz w:val="12"/>
                <w:szCs w:val="12"/>
                <w:color w:val="auto"/>
              </w:rPr>
            </w:pPr>
          </w:p>
        </w:tc>
        <w:tc>
          <w:tcPr>
            <w:tcW w:w="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0" w:type="dxa"/>
            <w:vAlign w:val="bottom"/>
          </w:tcPr>
          <w:p>
            <w:pPr>
              <w:spacing w:after="0"/>
              <w:rPr>
                <w:sz w:val="1"/>
                <w:szCs w:val="1"/>
                <w:color w:val="auto"/>
              </w:rPr>
            </w:pPr>
          </w:p>
        </w:tc>
      </w:tr>
      <w:tr>
        <w:trPr>
          <w:trHeight w:val="188"/>
        </w:trPr>
        <w:tc>
          <w:tcPr>
            <w:tcW w:w="3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reporting date</w:t>
            </w:r>
          </w:p>
        </w:tc>
        <w:tc>
          <w:tcPr>
            <w:tcW w:w="20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0768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16115" cy="5076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367030</wp:posOffset>
            </wp:positionV>
            <wp:extent cx="7016115" cy="53568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16115" cy="535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0" w:lineRule="exact"/>
        <w:rPr>
          <w:sz w:val="20"/>
          <w:szCs w:val="20"/>
          <w:color w:val="auto"/>
        </w:rPr>
      </w:pPr>
    </w:p>
    <w:tbl>
      <w:tblPr>
        <w:tblLayout w:type="fixed"/>
        <w:tblInd w:w="164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4"/>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gridSpan w:val="4"/>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Loans Payable of Consolidated Funds</w:t>
            </w:r>
          </w:p>
        </w:tc>
        <w:tc>
          <w:tcPr>
            <w:tcW w:w="0" w:type="dxa"/>
            <w:vAlign w:val="bottom"/>
          </w:tcPr>
          <w:p>
            <w:pPr>
              <w:spacing w:after="0"/>
              <w:rPr>
                <w:sz w:val="1"/>
                <w:szCs w:val="1"/>
                <w:color w:val="auto"/>
              </w:rPr>
            </w:pPr>
          </w:p>
        </w:tc>
      </w:tr>
      <w:tr>
        <w:trPr>
          <w:trHeight w:val="235"/>
        </w:trPr>
        <w:tc>
          <w:tcPr>
            <w:tcW w:w="4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6,298.6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5,491.6</w:t>
            </w:r>
          </w:p>
        </w:tc>
        <w:tc>
          <w:tcPr>
            <w:tcW w:w="0" w:type="dxa"/>
            <w:vAlign w:val="bottom"/>
          </w:tcPr>
          <w:p>
            <w:pPr>
              <w:spacing w:after="0"/>
              <w:rPr>
                <w:sz w:val="1"/>
                <w:szCs w:val="1"/>
                <w:color w:val="auto"/>
              </w:rPr>
            </w:pPr>
          </w:p>
        </w:tc>
      </w:tr>
      <w:tr>
        <w:trPr>
          <w:trHeight w:val="225"/>
        </w:trPr>
        <w:tc>
          <w:tcPr>
            <w:tcW w:w="4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Borrowings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546.7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35"/>
        </w:trPr>
        <w:tc>
          <w:tcPr>
            <w:tcW w:w="4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Paydowns</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(207.7)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24"/>
        </w:trPr>
        <w:tc>
          <w:tcPr>
            <w:tcW w:w="4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Sales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(288.7)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235"/>
        </w:trPr>
        <w:tc>
          <w:tcPr>
            <w:tcW w:w="43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Realized and unrealized (gains) losses, net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3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Included in earnings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Included in other comprehensive income</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188"/>
        </w:trPr>
        <w:tc>
          <w:tcPr>
            <w:tcW w:w="4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6,352.3</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5,647.9</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80" w:type="dxa"/>
            <w:vAlign w:val="bottom"/>
            <w:shd w:val="clear" w:color="auto" w:fill="CCEEFF"/>
          </w:tcPr>
          <w:p>
            <w:pPr>
              <w:ind w:left="40"/>
              <w:spacing w:after="0" w:line="143" w:lineRule="exact"/>
              <w:rPr>
                <w:sz w:val="20"/>
                <w:szCs w:val="20"/>
                <w:color w:val="auto"/>
              </w:rPr>
            </w:pPr>
            <w:r>
              <w:rPr>
                <w:rFonts w:ascii="Times New Roman" w:cs="Times New Roman" w:eastAsia="Times New Roman" w:hAnsi="Times New Roman"/>
                <w:sz w:val="14"/>
                <w:szCs w:val="14"/>
                <w:color w:val="auto"/>
              </w:rPr>
              <w:t>Changes in unrealized (gains) losses included in earnings related to</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91.1</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0" w:type="dxa"/>
            <w:vAlign w:val="bottom"/>
          </w:tcPr>
          <w:p>
            <w:pPr>
              <w:spacing w:after="0"/>
              <w:rPr>
                <w:sz w:val="1"/>
                <w:szCs w:val="1"/>
                <w:color w:val="auto"/>
              </w:rPr>
            </w:pPr>
          </w:p>
        </w:tc>
      </w:tr>
      <w:tr>
        <w:trPr>
          <w:trHeight w:val="189"/>
        </w:trPr>
        <w:tc>
          <w:tcPr>
            <w:tcW w:w="4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financial liabilities still held at the reporting date</w:t>
            </w:r>
          </w:p>
        </w:tc>
        <w:tc>
          <w:tcPr>
            <w:tcW w:w="14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Changes in unrealized (gains) losses included in other comprehensive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(87.9)</w:t>
            </w:r>
          </w:p>
        </w:tc>
        <w:tc>
          <w:tcPr>
            <w:tcW w:w="80" w:type="dxa"/>
            <w:vAlign w:val="bottom"/>
          </w:tcPr>
          <w:p>
            <w:pPr>
              <w:spacing w:after="0"/>
              <w:rPr>
                <w:sz w:val="15"/>
                <w:szCs w:val="15"/>
                <w:color w:val="auto"/>
              </w:rPr>
            </w:pPr>
          </w:p>
        </w:tc>
        <w:tc>
          <w:tcPr>
            <w:tcW w:w="3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188"/>
        </w:trPr>
        <w:tc>
          <w:tcPr>
            <w:tcW w:w="4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related to financial liabilities still held at the reporting date</w:t>
            </w:r>
          </w:p>
        </w:tc>
        <w:tc>
          <w:tcPr>
            <w:tcW w:w="1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500" w:right="720" w:firstLine="445"/>
        <w:spacing w:after="0" w:line="261" w:lineRule="auto"/>
        <w:rPr>
          <w:sz w:val="20"/>
          <w:szCs w:val="20"/>
          <w:color w:val="auto"/>
        </w:rPr>
      </w:pPr>
      <w:r>
        <w:rPr>
          <w:rFonts w:ascii="Times New Roman" w:cs="Times New Roman" w:eastAsia="Times New Roman" w:hAnsi="Times New Roman"/>
          <w:sz w:val="18"/>
          <w:szCs w:val="18"/>
          <w:color w:val="auto"/>
        </w:rPr>
        <w:t>Realized and unrealized gains and losses included in earnings for Level III investments for investments in CLOs and other investments are included in investment income (loss), and such gains and losses for investments of Consolidated Funds and loans payable of the Consolidated Funds are included in net investment gains (losses) of Consolidated Funds in the condensed consolidated statements of operations.</w:t>
      </w:r>
    </w:p>
    <w:p>
      <w:pPr>
        <w:spacing w:after="0" w:line="180" w:lineRule="exact"/>
        <w:rPr>
          <w:sz w:val="20"/>
          <w:szCs w:val="20"/>
          <w:color w:val="auto"/>
        </w:rPr>
      </w:pPr>
    </w:p>
    <w:p>
      <w:pPr>
        <w:ind w:left="500" w:right="800" w:firstLine="405"/>
        <w:spacing w:after="0" w:line="282" w:lineRule="auto"/>
        <w:rPr>
          <w:sz w:val="20"/>
          <w:szCs w:val="20"/>
          <w:color w:val="auto"/>
        </w:rPr>
      </w:pPr>
      <w:r>
        <w:rPr>
          <w:rFonts w:ascii="Times New Roman" w:cs="Times New Roman" w:eastAsia="Times New Roman" w:hAnsi="Times New Roman"/>
          <w:sz w:val="18"/>
          <w:szCs w:val="18"/>
          <w:color w:val="auto"/>
        </w:rPr>
        <w:t>Gains and losses included in other comprehensive income for all Level III financial asset and liabilities are included in accumulated other comprehensive loss and non-controlling interests in consolidated entities.</w:t>
      </w:r>
    </w:p>
    <w:p>
      <w:pPr>
        <w:sectPr>
          <w:pgSz w:w="11900" w:h="16838" w:orient="portrait"/>
          <w:cols w:equalWidth="0" w:num="1">
            <w:col w:w="10240"/>
          </w:cols>
          <w:pgMar w:left="820" w:top="155" w:right="8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705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16115" cy="370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367030</wp:posOffset>
            </wp:positionV>
            <wp:extent cx="7016115" cy="67284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16115" cy="672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quantitative information about the Company’s Level III inputs as of March 31,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8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380" w:type="dxa"/>
            <w:vAlign w:val="bottom"/>
            <w:gridSpan w:val="2"/>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0" w:type="dxa"/>
            <w:vAlign w:val="bottom"/>
          </w:tcPr>
          <w:p>
            <w:pPr>
              <w:spacing w:after="0"/>
              <w:rPr>
                <w:sz w:val="1"/>
                <w:szCs w:val="1"/>
                <w:color w:val="auto"/>
              </w:rPr>
            </w:pPr>
          </w:p>
        </w:tc>
      </w:tr>
      <w:tr>
        <w:trPr>
          <w:trHeight w:val="50"/>
        </w:trPr>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16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Valuation Technique(s)</w:t>
            </w:r>
          </w:p>
        </w:tc>
        <w:tc>
          <w:tcPr>
            <w:tcW w:w="21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1180" w:type="dxa"/>
            <w:vAlign w:val="bottom"/>
            <w:tcBorders>
              <w:bottom w:val="single" w:sz="8" w:color="auto"/>
            </w:tcBorders>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138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240"/>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Investments of Consolidated Funds: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Equity securities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3.0</w:t>
            </w: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Consensus Pricing</w:t>
            </w: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Indicative Quotes ($ per share)</w:t>
            </w:r>
          </w:p>
        </w:tc>
        <w:tc>
          <w:tcPr>
            <w:tcW w:w="13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0.00 - 203.50 (0.08)</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317.1</w:t>
            </w: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Discounted Cash Flow</w:t>
            </w: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Discount Rates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- 10%</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Terminal Growth Rate</w:t>
            </w:r>
          </w:p>
        </w:tc>
        <w:tc>
          <w:tcPr>
            <w:tcW w:w="13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0% - 7% (5%)</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Comparable Multiple</w:t>
            </w: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EBITDA Multiple</w:t>
            </w:r>
          </w:p>
        </w:tc>
        <w:tc>
          <w:tcPr>
            <w:tcW w:w="13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12.7x - 12.7x (12.7x)</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TCF Multiple</w:t>
            </w:r>
          </w:p>
        </w:tc>
        <w:tc>
          <w:tcPr>
            <w:tcW w:w="13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25.0x - 25.0x (25.0x)</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44.4</w:t>
            </w: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Discounted Cash Flow</w:t>
            </w: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Discount Rates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- 10%</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Terminal Growth Rate</w:t>
            </w:r>
          </w:p>
        </w:tc>
        <w:tc>
          <w:tcPr>
            <w:tcW w:w="13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0% - 7% (5%)</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Comparable Multiple</w:t>
            </w: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TCF Multiple</w:t>
            </w:r>
          </w:p>
        </w:tc>
        <w:tc>
          <w:tcPr>
            <w:tcW w:w="13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25.0x - 25.0x (25.0x)</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15.0</w:t>
            </w: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Discounted Cash Flow</w:t>
            </w: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Discount Rates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- 11%</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Terminal Growth Rate</w:t>
            </w:r>
          </w:p>
        </w:tc>
        <w:tc>
          <w:tcPr>
            <w:tcW w:w="13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5% - 5% (5%)</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Comparable Multiple</w:t>
            </w: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EBITDA Multiple</w:t>
            </w:r>
          </w:p>
        </w:tc>
        <w:tc>
          <w:tcPr>
            <w:tcW w:w="13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7.3x - 7.3x (7.3x)</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7.8</w:t>
            </w: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(1)</w:t>
            </w: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N/A</w:t>
            </w:r>
          </w:p>
        </w:tc>
        <w:tc>
          <w:tcPr>
            <w:tcW w:w="920" w:type="dxa"/>
            <w:vAlign w:val="bottom"/>
          </w:tcPr>
          <w:p>
            <w:pPr>
              <w:jc w:val="center"/>
              <w:ind w:left="548"/>
              <w:spacing w:after="0"/>
              <w:rPr>
                <w:sz w:val="20"/>
                <w:szCs w:val="20"/>
                <w:color w:val="auto"/>
              </w:rPr>
            </w:pPr>
            <w:r>
              <w:rPr>
                <w:rFonts w:ascii="Times New Roman" w:cs="Times New Roman" w:eastAsia="Times New Roman" w:hAnsi="Times New Roman"/>
                <w:sz w:val="14"/>
                <w:szCs w:val="14"/>
                <w:color w:val="auto"/>
              </w:rPr>
              <w:t>N/A</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3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Bonds</w:t>
            </w:r>
          </w:p>
        </w:tc>
        <w:tc>
          <w:tcPr>
            <w:tcW w:w="220" w:type="dxa"/>
            <w:vAlign w:val="bottom"/>
          </w:tcPr>
          <w:p>
            <w:pPr>
              <w:spacing w:after="0"/>
              <w:rPr>
                <w:sz w:val="24"/>
                <w:szCs w:val="24"/>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500.4</w:t>
            </w: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Consensus Pricing</w:t>
            </w: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3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30 - 108 (93)</w:t>
            </w:r>
          </w:p>
        </w:tc>
        <w:tc>
          <w:tcPr>
            <w:tcW w:w="0" w:type="dxa"/>
            <w:vAlign w:val="bottom"/>
          </w:tcPr>
          <w:p>
            <w:pPr>
              <w:spacing w:after="0"/>
              <w:rPr>
                <w:sz w:val="1"/>
                <w:szCs w:val="1"/>
                <w:color w:val="auto"/>
              </w:rPr>
            </w:pPr>
          </w:p>
        </w:tc>
      </w:tr>
      <w:tr>
        <w:trPr>
          <w:trHeight w:val="229"/>
        </w:trPr>
        <w:tc>
          <w:tcPr>
            <w:tcW w:w="23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Loans</w:t>
            </w:r>
          </w:p>
        </w:tc>
        <w:tc>
          <w:tcPr>
            <w:tcW w:w="220" w:type="dxa"/>
            <w:vAlign w:val="bottom"/>
          </w:tcPr>
          <w:p>
            <w:pPr>
              <w:spacing w:after="0"/>
              <w:rPr>
                <w:sz w:val="19"/>
                <w:szCs w:val="19"/>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6,040.8</w:t>
            </w: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Consensus Pricing</w:t>
            </w: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3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0 - 102 (97)</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10.7</w:t>
            </w: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Discounted Cash Flow</w:t>
            </w: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Discount Rates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- 21%</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8.9</w:t>
            </w: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Discounted Cash Flow</w:t>
            </w: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Discount Rates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- 17%</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Constant Prepayment Rate</w:t>
            </w:r>
          </w:p>
        </w:tc>
        <w:tc>
          <w:tcPr>
            <w:tcW w:w="13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8% - 8% (8%)</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Constant Default Rate</w:t>
            </w:r>
          </w:p>
        </w:tc>
        <w:tc>
          <w:tcPr>
            <w:tcW w:w="13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1% - 1% (1%)</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4.5</w:t>
            </w: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(1)</w:t>
            </w: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N/A</w:t>
            </w:r>
          </w:p>
        </w:tc>
        <w:tc>
          <w:tcPr>
            <w:tcW w:w="920" w:type="dxa"/>
            <w:vAlign w:val="bottom"/>
          </w:tcPr>
          <w:p>
            <w:pPr>
              <w:jc w:val="center"/>
              <w:ind w:left="548"/>
              <w:spacing w:after="0"/>
              <w:rPr>
                <w:sz w:val="20"/>
                <w:szCs w:val="20"/>
                <w:color w:val="auto"/>
              </w:rPr>
            </w:pPr>
            <w:r>
              <w:rPr>
                <w:rFonts w:ascii="Times New Roman" w:cs="Times New Roman" w:eastAsia="Times New Roman" w:hAnsi="Times New Roman"/>
                <w:sz w:val="14"/>
                <w:szCs w:val="14"/>
                <w:color w:val="auto"/>
              </w:rPr>
              <w:t>N/A</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6,952.6</w:t>
            </w:r>
          </w:p>
        </w:tc>
        <w:tc>
          <w:tcPr>
            <w:tcW w:w="18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Investments in CLOs: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3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Senior secured notes</w:t>
            </w:r>
          </w:p>
        </w:tc>
        <w:tc>
          <w:tcPr>
            <w:tcW w:w="220" w:type="dxa"/>
            <w:vAlign w:val="bottom"/>
          </w:tcPr>
          <w:p>
            <w:pPr>
              <w:spacing w:after="0"/>
              <w:rPr>
                <w:sz w:val="13"/>
                <w:szCs w:val="13"/>
                <w:color w:val="auto"/>
              </w:rPr>
            </w:pPr>
          </w:p>
        </w:tc>
        <w:tc>
          <w:tcPr>
            <w:tcW w:w="1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458.7</w:t>
            </w:r>
          </w:p>
        </w:tc>
        <w:tc>
          <w:tcPr>
            <w:tcW w:w="1840" w:type="dxa"/>
            <w:vAlign w:val="bottom"/>
          </w:tcPr>
          <w:p>
            <w:pPr>
              <w:ind w:left="80"/>
              <w:spacing w:after="0" w:line="159" w:lineRule="exact"/>
              <w:rPr>
                <w:sz w:val="20"/>
                <w:szCs w:val="20"/>
                <w:color w:val="auto"/>
              </w:rPr>
            </w:pPr>
            <w:r>
              <w:rPr>
                <w:rFonts w:ascii="Times New Roman" w:cs="Times New Roman" w:eastAsia="Times New Roman" w:hAnsi="Times New Roman"/>
                <w:sz w:val="14"/>
                <w:szCs w:val="14"/>
                <w:color w:val="auto"/>
              </w:rPr>
              <w:t>Consensus Pricing with</w:t>
            </w:r>
          </w:p>
        </w:tc>
        <w:tc>
          <w:tcPr>
            <w:tcW w:w="21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380" w:type="dxa"/>
            <w:vAlign w:val="bottom"/>
            <w:gridSpan w:val="2"/>
            <w:vMerge w:val="restart"/>
          </w:tcPr>
          <w:p>
            <w:pPr>
              <w:jc w:val="center"/>
              <w:ind w:left="108"/>
              <w:spacing w:after="0"/>
              <w:rPr>
                <w:sz w:val="20"/>
                <w:szCs w:val="20"/>
                <w:color w:val="auto"/>
              </w:rPr>
            </w:pPr>
            <w:r>
              <w:rPr>
                <w:rFonts w:ascii="Times New Roman" w:cs="Times New Roman" w:eastAsia="Times New Roman" w:hAnsi="Times New Roman"/>
                <w:sz w:val="14"/>
                <w:szCs w:val="14"/>
                <w:color w:val="auto"/>
              </w:rPr>
              <w:t>75 - 100 (98)</w:t>
            </w:r>
          </w:p>
        </w:tc>
        <w:tc>
          <w:tcPr>
            <w:tcW w:w="0" w:type="dxa"/>
            <w:vAlign w:val="bottom"/>
          </w:tcPr>
          <w:p>
            <w:pPr>
              <w:spacing w:after="0"/>
              <w:rPr>
                <w:sz w:val="1"/>
                <w:szCs w:val="1"/>
                <w:color w:val="auto"/>
              </w:rPr>
            </w:pPr>
          </w:p>
        </w:tc>
      </w:tr>
      <w:tr>
        <w:trPr>
          <w:trHeight w:val="188"/>
        </w:trPr>
        <w:tc>
          <w:tcPr>
            <w:tcW w:w="2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Discounted Cash Flow</w:t>
            </w:r>
          </w:p>
        </w:tc>
        <w:tc>
          <w:tcPr>
            <w:tcW w:w="212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Discount Margins (Basis</w:t>
            </w:r>
          </w:p>
        </w:tc>
        <w:tc>
          <w:tcPr>
            <w:tcW w:w="1380" w:type="dxa"/>
            <w:vAlign w:val="bottom"/>
            <w:gridSpan w:val="2"/>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110 - 1,613 (267)</w:t>
            </w: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Points)</w:t>
            </w: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Default Rates</w:t>
            </w:r>
          </w:p>
        </w:tc>
        <w:tc>
          <w:tcPr>
            <w:tcW w:w="13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2% - 2% (2%)</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Recovery Rates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- 60%</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59"/>
        </w:trPr>
        <w:tc>
          <w:tcPr>
            <w:tcW w:w="2340" w:type="dxa"/>
            <w:vAlign w:val="bottom"/>
            <w:gridSpan w:val="2"/>
          </w:tcPr>
          <w:p>
            <w:pPr>
              <w:ind w:left="320"/>
              <w:spacing w:after="0" w:line="159" w:lineRule="exact"/>
              <w:rPr>
                <w:sz w:val="20"/>
                <w:szCs w:val="20"/>
                <w:color w:val="auto"/>
              </w:rPr>
            </w:pPr>
            <w:r>
              <w:rPr>
                <w:rFonts w:ascii="Times New Roman" w:cs="Times New Roman" w:eastAsia="Times New Roman" w:hAnsi="Times New Roman"/>
                <w:sz w:val="14"/>
                <w:szCs w:val="14"/>
                <w:color w:val="auto"/>
              </w:rPr>
              <w:t>Subordinated notes and preferred</w:t>
            </w:r>
          </w:p>
        </w:tc>
        <w:tc>
          <w:tcPr>
            <w:tcW w:w="220" w:type="dxa"/>
            <w:vAlign w:val="bottom"/>
          </w:tcPr>
          <w:p>
            <w:pPr>
              <w:spacing w:after="0"/>
              <w:rPr>
                <w:sz w:val="13"/>
                <w:szCs w:val="13"/>
                <w:color w:val="auto"/>
              </w:rPr>
            </w:pPr>
          </w:p>
        </w:tc>
        <w:tc>
          <w:tcPr>
            <w:tcW w:w="1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61.0</w:t>
            </w:r>
          </w:p>
        </w:tc>
        <w:tc>
          <w:tcPr>
            <w:tcW w:w="1840" w:type="dxa"/>
            <w:vAlign w:val="bottom"/>
          </w:tcPr>
          <w:p>
            <w:pPr>
              <w:ind w:left="80"/>
              <w:spacing w:after="0" w:line="159" w:lineRule="exact"/>
              <w:rPr>
                <w:sz w:val="20"/>
                <w:szCs w:val="20"/>
                <w:color w:val="auto"/>
              </w:rPr>
            </w:pPr>
            <w:r>
              <w:rPr>
                <w:rFonts w:ascii="Times New Roman" w:cs="Times New Roman" w:eastAsia="Times New Roman" w:hAnsi="Times New Roman"/>
                <w:sz w:val="14"/>
                <w:szCs w:val="14"/>
                <w:color w:val="auto"/>
              </w:rPr>
              <w:t>Consensus Pricing with</w:t>
            </w:r>
          </w:p>
        </w:tc>
        <w:tc>
          <w:tcPr>
            <w:tcW w:w="21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380" w:type="dxa"/>
            <w:vAlign w:val="bottom"/>
            <w:gridSpan w:val="2"/>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6 - 93 (42)</w:t>
            </w:r>
          </w:p>
        </w:tc>
        <w:tc>
          <w:tcPr>
            <w:tcW w:w="0" w:type="dxa"/>
            <w:vAlign w:val="bottom"/>
          </w:tcPr>
          <w:p>
            <w:pPr>
              <w:spacing w:after="0"/>
              <w:rPr>
                <w:sz w:val="1"/>
                <w:szCs w:val="1"/>
                <w:color w:val="auto"/>
              </w:rPr>
            </w:pPr>
          </w:p>
        </w:tc>
      </w:tr>
      <w:tr>
        <w:trPr>
          <w:trHeight w:val="188"/>
        </w:trPr>
        <w:tc>
          <w:tcPr>
            <w:tcW w:w="23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Discounted Cash Flow</w:t>
            </w:r>
          </w:p>
        </w:tc>
        <w:tc>
          <w:tcPr>
            <w:tcW w:w="212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Discount Rates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- 35%</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Default Rates</w:t>
            </w:r>
          </w:p>
        </w:tc>
        <w:tc>
          <w:tcPr>
            <w:tcW w:w="13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2% - 2% (2%)</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Recovery Rates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 - 60%</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0.1</w:t>
            </w: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Liquidation Analysis</w:t>
            </w: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of Net Book Value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 - 10%</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w:t>
            </w:r>
          </w:p>
        </w:tc>
        <w:tc>
          <w:tcPr>
            <w:tcW w:w="1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(1)</w:t>
            </w:r>
          </w:p>
        </w:tc>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N/A</w:t>
            </w:r>
          </w:p>
        </w:tc>
        <w:tc>
          <w:tcPr>
            <w:tcW w:w="920" w:type="dxa"/>
            <w:vAlign w:val="bottom"/>
          </w:tcPr>
          <w:p>
            <w:pPr>
              <w:jc w:val="center"/>
              <w:ind w:left="548"/>
              <w:spacing w:after="0"/>
              <w:rPr>
                <w:sz w:val="20"/>
                <w:szCs w:val="20"/>
                <w:color w:val="auto"/>
              </w:rPr>
            </w:pPr>
            <w:r>
              <w:rPr>
                <w:rFonts w:ascii="Times New Roman" w:cs="Times New Roman" w:eastAsia="Times New Roman" w:hAnsi="Times New Roman"/>
                <w:sz w:val="14"/>
                <w:szCs w:val="14"/>
                <w:color w:val="auto"/>
              </w:rPr>
              <w:t>N/A</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investments: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1440" w:right="139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BDC preferred shares</w:t>
            </w: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90.1</w:t>
            </w:r>
          </w:p>
        </w:tc>
        <w:tc>
          <w:tcPr>
            <w:tcW w:w="60" w:type="dxa"/>
            <w:vAlign w:val="bottom"/>
          </w:tcPr>
          <w:p>
            <w:pPr>
              <w:spacing w:after="0"/>
              <w:rPr>
                <w:sz w:val="13"/>
                <w:szCs w:val="13"/>
                <w:color w:val="auto"/>
              </w:rPr>
            </w:pPr>
          </w:p>
        </w:tc>
        <w:tc>
          <w:tcPr>
            <w:tcW w:w="19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Market Yield Analysis</w:t>
            </w: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Market Yields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 - 11% (11%)</w:t>
            </w:r>
          </w:p>
        </w:tc>
        <w:tc>
          <w:tcPr>
            <w:tcW w:w="0" w:type="dxa"/>
            <w:vAlign w:val="bottom"/>
          </w:tcPr>
          <w:p>
            <w:pPr>
              <w:spacing w:after="0"/>
              <w:rPr>
                <w:sz w:val="1"/>
                <w:szCs w:val="1"/>
                <w:color w:val="auto"/>
              </w:rPr>
            </w:pPr>
          </w:p>
        </w:tc>
      </w:tr>
      <w:tr>
        <w:trPr>
          <w:trHeight w:val="190"/>
        </w:trPr>
        <w:tc>
          <w:tcPr>
            <w:tcW w:w="2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Aviation subordinated notes</w:t>
            </w: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60" w:type="dxa"/>
            <w:vAlign w:val="bottom"/>
          </w:tcPr>
          <w:p>
            <w:pPr>
              <w:spacing w:after="0"/>
              <w:rPr>
                <w:sz w:val="16"/>
                <w:szCs w:val="16"/>
                <w:color w:val="auto"/>
              </w:rPr>
            </w:pPr>
          </w:p>
        </w:tc>
        <w:tc>
          <w:tcPr>
            <w:tcW w:w="19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 - 21% (21%)</w:t>
            </w:r>
          </w:p>
        </w:tc>
        <w:tc>
          <w:tcPr>
            <w:tcW w:w="0" w:type="dxa"/>
            <w:vAlign w:val="bottom"/>
          </w:tcPr>
          <w:p>
            <w:pPr>
              <w:spacing w:after="0"/>
              <w:rPr>
                <w:sz w:val="1"/>
                <w:szCs w:val="1"/>
                <w:color w:val="auto"/>
              </w:rPr>
            </w:pPr>
          </w:p>
        </w:tc>
      </w:tr>
      <w:tr>
        <w:trPr>
          <w:trHeight w:val="161"/>
        </w:trPr>
        <w:tc>
          <w:tcPr>
            <w:tcW w:w="2460" w:type="dxa"/>
            <w:vAlign w:val="bottom"/>
          </w:tcPr>
          <w:p>
            <w:pPr>
              <w:ind w:left="60"/>
              <w:spacing w:after="0" w:line="154" w:lineRule="exact"/>
              <w:rPr>
                <w:sz w:val="20"/>
                <w:szCs w:val="20"/>
                <w:color w:val="auto"/>
              </w:rPr>
            </w:pPr>
            <w:r>
              <w:rPr>
                <w:rFonts w:ascii="Times New Roman" w:cs="Times New Roman" w:eastAsia="Times New Roman" w:hAnsi="Times New Roman"/>
                <w:sz w:val="14"/>
                <w:szCs w:val="14"/>
                <w:color w:val="auto"/>
              </w:rPr>
              <w:t>Total</w:t>
            </w:r>
          </w:p>
        </w:tc>
        <w:tc>
          <w:tcPr>
            <w:tcW w:w="480" w:type="dxa"/>
            <w:vAlign w:val="bottom"/>
          </w:tcPr>
          <w:p>
            <w:pPr>
              <w:jc w:val="right"/>
              <w:ind w:right="308"/>
              <w:spacing w:after="0" w:line="154"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7,566.6</w:t>
            </w:r>
          </w:p>
        </w:tc>
        <w:tc>
          <w:tcPr>
            <w:tcW w:w="60" w:type="dxa"/>
            <w:vAlign w:val="bottom"/>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4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Loans payable of Consolidated Funds:</w:t>
            </w:r>
          </w:p>
        </w:tc>
        <w:tc>
          <w:tcPr>
            <w:tcW w:w="4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6,153.0</w:t>
            </w: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Senior secured notes</w:t>
            </w:r>
          </w:p>
        </w:tc>
        <w:tc>
          <w:tcPr>
            <w:tcW w:w="48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9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(2)</w:t>
            </w: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9"/>
        </w:trPr>
        <w:tc>
          <w:tcPr>
            <w:tcW w:w="2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Subordinated notes and preferred</w:t>
            </w:r>
          </w:p>
        </w:tc>
        <w:tc>
          <w:tcPr>
            <w:tcW w:w="4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188.0</w:t>
            </w:r>
          </w:p>
        </w:tc>
        <w:tc>
          <w:tcPr>
            <w:tcW w:w="60" w:type="dxa"/>
            <w:vAlign w:val="bottom"/>
          </w:tcPr>
          <w:p>
            <w:pPr>
              <w:spacing w:after="0"/>
              <w:rPr>
                <w:sz w:val="17"/>
                <w:szCs w:val="17"/>
                <w:color w:val="auto"/>
              </w:rPr>
            </w:pPr>
          </w:p>
        </w:tc>
        <w:tc>
          <w:tcPr>
            <w:tcW w:w="19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Consensus Pricing with</w:t>
            </w:r>
          </w:p>
        </w:tc>
        <w:tc>
          <w:tcPr>
            <w:tcW w:w="1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19 - 94 (56)</w:t>
            </w:r>
          </w:p>
        </w:tc>
        <w:tc>
          <w:tcPr>
            <w:tcW w:w="0" w:type="dxa"/>
            <w:vAlign w:val="bottom"/>
          </w:tcPr>
          <w:p>
            <w:pPr>
              <w:spacing w:after="0"/>
              <w:rPr>
                <w:sz w:val="1"/>
                <w:szCs w:val="1"/>
                <w:color w:val="auto"/>
              </w:rPr>
            </w:pPr>
          </w:p>
        </w:tc>
      </w:tr>
      <w:tr>
        <w:trPr>
          <w:trHeight w:val="188"/>
        </w:trPr>
        <w:tc>
          <w:tcPr>
            <w:tcW w:w="2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4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9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1960" w:type="dxa"/>
            <w:vAlign w:val="bottom"/>
            <w:gridSpan w:val="2"/>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 - 30% (19%)</w:t>
            </w: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Default Rates</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 - 2% (2%)</w:t>
            </w:r>
          </w:p>
        </w:tc>
        <w:tc>
          <w:tcPr>
            <w:tcW w:w="0" w:type="dxa"/>
            <w:vAlign w:val="bottom"/>
          </w:tcPr>
          <w:p>
            <w:pPr>
              <w:spacing w:after="0"/>
              <w:rPr>
                <w:sz w:val="1"/>
                <w:szCs w:val="1"/>
                <w:color w:val="auto"/>
              </w:rPr>
            </w:pPr>
          </w:p>
        </w:tc>
      </w:tr>
      <w:tr>
        <w:trPr>
          <w:trHeight w:val="206"/>
        </w:trPr>
        <w:tc>
          <w:tcPr>
            <w:tcW w:w="2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Recovery Rates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 - 60% (60%)</w:t>
            </w: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4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11.3</w:t>
            </w:r>
          </w:p>
        </w:tc>
        <w:tc>
          <w:tcPr>
            <w:tcW w:w="6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(1)</w:t>
            </w: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3"/>
        </w:trPr>
        <w:tc>
          <w:tcPr>
            <w:tcW w:w="2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6,352.3</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-1893570</wp:posOffset>
            </wp:positionV>
            <wp:extent cx="7016115" cy="23336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16115" cy="2333625"/>
                    </a:xfrm>
                    <a:prstGeom prst="rect">
                      <a:avLst/>
                    </a:prstGeom>
                    <a:noFill/>
                  </pic:spPr>
                </pic:pic>
              </a:graphicData>
            </a:graphic>
          </wp:anchor>
        </w:drawing>
      </w:r>
    </w:p>
    <w:p>
      <w:pPr>
        <w:spacing w:after="0" w:line="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81000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16115" cy="810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3" w:lineRule="exact"/>
        <w:rPr>
          <w:sz w:val="20"/>
          <w:szCs w:val="20"/>
          <w:color w:val="auto"/>
        </w:rPr>
      </w:pPr>
    </w:p>
    <w:p>
      <w:pPr>
        <w:ind w:left="340" w:hanging="333"/>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approximates transaction price that was in close proximity to the reporting date.</w:t>
      </w:r>
    </w:p>
    <w:p>
      <w:pPr>
        <w:spacing w:after="0" w:line="113" w:lineRule="exact"/>
        <w:rPr>
          <w:rFonts w:ascii="Times New Roman" w:cs="Times New Roman" w:eastAsia="Times New Roman" w:hAnsi="Times New Roman"/>
          <w:sz w:val="16"/>
          <w:szCs w:val="16"/>
          <w:color w:val="auto"/>
        </w:rPr>
      </w:pPr>
    </w:p>
    <w:p>
      <w:pPr>
        <w:ind w:left="340" w:right="140" w:hanging="333"/>
        <w:spacing w:after="0" w:line="272"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and subordinated notes issued by CLO vehicles are classified based on the more observable fair value of the CLO financial assets, less (i) the fair value of any beneficial interests held by the Company and (ii) the carrying value of any beneficial interests that represent compensation for services.</w:t>
      </w:r>
    </w:p>
    <w:p>
      <w:pPr>
        <w:sectPr>
          <w:pgSz w:w="11900" w:h="16838" w:orient="portrait"/>
          <w:cols w:equalWidth="0" w:num="1">
            <w:col w:w="9380"/>
          </w:cols>
          <w:pgMar w:left="1320" w:top="87" w:right="1199" w:bottom="1440" w:gutter="0" w:footer="0" w:header="0"/>
        </w:sectPr>
      </w:pPr>
    </w:p>
    <w:bookmarkStart w:id="26" w:name="page27"/>
    <w:bookmarkEnd w:id="26"/>
    <w:p>
      <w:pPr>
        <w:jc w:val="center"/>
        <w:ind w:right="1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620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6115" cy="962025"/>
                    </a:xfrm>
                    <a:prstGeom prst="rect">
                      <a:avLst/>
                    </a:prstGeom>
                    <a:noFill/>
                  </pic:spPr>
                </pic:pic>
              </a:graphicData>
            </a:graphic>
          </wp:anchor>
        </w:drawing>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9073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quantitative information about the Company’s Level III inputs as of December 31,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0" w:type="dxa"/>
            <w:vAlign w:val="bottom"/>
          </w:tcPr>
          <w:p>
            <w:pPr>
              <w:spacing w:after="0"/>
              <w:rPr>
                <w:sz w:val="1"/>
                <w:szCs w:val="1"/>
                <w:color w:val="auto"/>
              </w:rPr>
            </w:pPr>
          </w:p>
        </w:tc>
      </w:tr>
      <w:tr>
        <w:trPr>
          <w:trHeight w:val="39"/>
        </w:trPr>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3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3"/>
                <w:szCs w:val="3"/>
                <w:color w:val="auto"/>
              </w:rPr>
            </w:pPr>
          </w:p>
        </w:tc>
        <w:tc>
          <w:tcPr>
            <w:tcW w:w="1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Valuation Technique(s)</w:t>
            </w:r>
          </w:p>
        </w:tc>
        <w:tc>
          <w:tcPr>
            <w:tcW w:w="19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6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460" w:type="dxa"/>
            <w:vAlign w:val="bottom"/>
            <w:gridSpan w:val="3"/>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gridSpan w:val="2"/>
            <w:vMerge w:val="continue"/>
          </w:tcPr>
          <w:p>
            <w:pPr>
              <w:spacing w:after="0"/>
              <w:rPr>
                <w:sz w:val="13"/>
                <w:szCs w:val="13"/>
                <w:color w:val="auto"/>
              </w:rPr>
            </w:pPr>
          </w:p>
        </w:tc>
        <w:tc>
          <w:tcPr>
            <w:tcW w:w="1960" w:type="dxa"/>
            <w:vAlign w:val="bottom"/>
            <w:gridSpan w:val="2"/>
            <w:vMerge w:val="continue"/>
          </w:tcPr>
          <w:p>
            <w:pPr>
              <w:spacing w:after="0"/>
              <w:rPr>
                <w:sz w:val="13"/>
                <w:szCs w:val="13"/>
                <w:color w:val="auto"/>
              </w:rPr>
            </w:pPr>
          </w:p>
        </w:tc>
        <w:tc>
          <w:tcPr>
            <w:tcW w:w="1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1"/>
        </w:trPr>
        <w:tc>
          <w:tcPr>
            <w:tcW w:w="6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46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4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Investments of Consolidated Funds: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shd w:val="clear" w:color="auto" w:fill="CCEEFF"/>
          </w:tcPr>
          <w:p>
            <w:pPr>
              <w:spacing w:after="0"/>
              <w:rPr>
                <w:sz w:val="20"/>
                <w:szCs w:val="20"/>
                <w:color w:val="auto"/>
              </w:rPr>
            </w:pPr>
          </w:p>
        </w:tc>
        <w:tc>
          <w:tcPr>
            <w:tcW w:w="2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Equity securities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6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Consensus Pricing</w:t>
            </w:r>
          </w:p>
        </w:tc>
        <w:tc>
          <w:tcPr>
            <w:tcW w:w="1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Indicative Quotes ($ per share)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0.00 - 208.38 (0.11)</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322.1</w:t>
            </w:r>
          </w:p>
        </w:tc>
        <w:tc>
          <w:tcPr>
            <w:tcW w:w="60" w:type="dxa"/>
            <w:vAlign w:val="bottom"/>
          </w:tcPr>
          <w:p>
            <w:pPr>
              <w:spacing w:after="0"/>
              <w:rPr>
                <w:sz w:val="19"/>
                <w:szCs w:val="19"/>
                <w:color w:val="auto"/>
              </w:rPr>
            </w:pPr>
          </w:p>
        </w:tc>
        <w:tc>
          <w:tcPr>
            <w:tcW w:w="19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 - 11% (10%)</w:t>
            </w:r>
          </w:p>
        </w:tc>
        <w:tc>
          <w:tcPr>
            <w:tcW w:w="0" w:type="dxa"/>
            <w:vAlign w:val="bottom"/>
          </w:tcPr>
          <w:p>
            <w:pPr>
              <w:spacing w:after="0"/>
              <w:rPr>
                <w:sz w:val="1"/>
                <w:szCs w:val="1"/>
                <w:color w:val="auto"/>
              </w:rPr>
            </w:pPr>
          </w:p>
        </w:tc>
      </w:tr>
      <w:tr>
        <w:trPr>
          <w:trHeight w:val="234"/>
        </w:trPr>
        <w:tc>
          <w:tcPr>
            <w:tcW w:w="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Terminal Growth Rate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 - 7% (5%)</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Comparable Multiple</w:t>
            </w: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EBITDA Multiple</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12.7x - 12.7x (12.7x)</w:t>
            </w:r>
          </w:p>
        </w:tc>
        <w:tc>
          <w:tcPr>
            <w:tcW w:w="0" w:type="dxa"/>
            <w:vAlign w:val="bottom"/>
          </w:tcPr>
          <w:p>
            <w:pPr>
              <w:spacing w:after="0"/>
              <w:rPr>
                <w:sz w:val="1"/>
                <w:szCs w:val="1"/>
                <w:color w:val="auto"/>
              </w:rPr>
            </w:pPr>
          </w:p>
        </w:tc>
      </w:tr>
      <w:tr>
        <w:trPr>
          <w:trHeight w:val="234"/>
        </w:trPr>
        <w:tc>
          <w:tcPr>
            <w:tcW w:w="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TCF Multiple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24.3x - 24.3x (24.3x)</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60" w:type="dxa"/>
            <w:vAlign w:val="bottom"/>
          </w:tcPr>
          <w:p>
            <w:pPr>
              <w:spacing w:after="0"/>
              <w:rPr>
                <w:sz w:val="19"/>
                <w:szCs w:val="19"/>
                <w:color w:val="auto"/>
              </w:rPr>
            </w:pPr>
          </w:p>
        </w:tc>
        <w:tc>
          <w:tcPr>
            <w:tcW w:w="19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 - 10% (10%)</w:t>
            </w:r>
          </w:p>
        </w:tc>
        <w:tc>
          <w:tcPr>
            <w:tcW w:w="0" w:type="dxa"/>
            <w:vAlign w:val="bottom"/>
          </w:tcPr>
          <w:p>
            <w:pPr>
              <w:spacing w:after="0"/>
              <w:rPr>
                <w:sz w:val="1"/>
                <w:szCs w:val="1"/>
                <w:color w:val="auto"/>
              </w:rPr>
            </w:pPr>
          </w:p>
        </w:tc>
      </w:tr>
      <w:tr>
        <w:trPr>
          <w:trHeight w:val="234"/>
        </w:trPr>
        <w:tc>
          <w:tcPr>
            <w:tcW w:w="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Terminal Growth Rate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 - 7% - (7%)</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Comparable Multiple</w:t>
            </w: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TCF Multiple</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24.3x - 24.3x (24.3x)</w:t>
            </w:r>
          </w:p>
        </w:tc>
        <w:tc>
          <w:tcPr>
            <w:tcW w:w="0" w:type="dxa"/>
            <w:vAlign w:val="bottom"/>
          </w:tcPr>
          <w:p>
            <w:pPr>
              <w:spacing w:after="0"/>
              <w:rPr>
                <w:sz w:val="1"/>
                <w:szCs w:val="1"/>
                <w:color w:val="auto"/>
              </w:rPr>
            </w:pPr>
          </w:p>
        </w:tc>
      </w:tr>
      <w:tr>
        <w:trPr>
          <w:trHeight w:val="235"/>
        </w:trPr>
        <w:tc>
          <w:tcPr>
            <w:tcW w:w="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6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(1)</w:t>
            </w:r>
          </w:p>
        </w:tc>
        <w:tc>
          <w:tcPr>
            <w:tcW w:w="1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Bonds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522.5</w:t>
            </w:r>
          </w:p>
        </w:tc>
        <w:tc>
          <w:tcPr>
            <w:tcW w:w="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Consensus Pricing</w:t>
            </w:r>
          </w:p>
        </w:tc>
        <w:tc>
          <w:tcPr>
            <w:tcW w:w="1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30 - 105 (90)</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24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Loans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5,829.3</w:t>
            </w:r>
          </w:p>
        </w:tc>
        <w:tc>
          <w:tcPr>
            <w:tcW w:w="60" w:type="dxa"/>
            <w:vAlign w:val="bottom"/>
          </w:tcPr>
          <w:p>
            <w:pPr>
              <w:spacing w:after="0"/>
              <w:rPr>
                <w:sz w:val="19"/>
                <w:szCs w:val="19"/>
                <w:color w:val="auto"/>
              </w:rPr>
            </w:pPr>
          </w:p>
        </w:tc>
        <w:tc>
          <w:tcPr>
            <w:tcW w:w="19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Consensus Pricing</w:t>
            </w: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Indicative Quotes (% of Par)</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0 - 102 (95)</w:t>
            </w:r>
          </w:p>
        </w:tc>
        <w:tc>
          <w:tcPr>
            <w:tcW w:w="0" w:type="dxa"/>
            <w:vAlign w:val="bottom"/>
          </w:tcPr>
          <w:p>
            <w:pPr>
              <w:spacing w:after="0"/>
              <w:rPr>
                <w:sz w:val="1"/>
                <w:szCs w:val="1"/>
                <w:color w:val="auto"/>
              </w:rPr>
            </w:pPr>
          </w:p>
        </w:tc>
      </w:tr>
      <w:tr>
        <w:trPr>
          <w:trHeight w:val="221"/>
        </w:trPr>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c>
          <w:tcPr>
            <w:tcW w:w="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1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 - 16% (15%)</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60" w:type="dxa"/>
            <w:vAlign w:val="bottom"/>
          </w:tcPr>
          <w:p>
            <w:pPr>
              <w:spacing w:after="0"/>
              <w:rPr>
                <w:sz w:val="18"/>
                <w:szCs w:val="18"/>
                <w:color w:val="auto"/>
              </w:rPr>
            </w:pPr>
          </w:p>
        </w:tc>
        <w:tc>
          <w:tcPr>
            <w:tcW w:w="19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 - 17% (17%)</w:t>
            </w:r>
          </w:p>
        </w:tc>
        <w:tc>
          <w:tcPr>
            <w:tcW w:w="0" w:type="dxa"/>
            <w:vAlign w:val="bottom"/>
          </w:tcPr>
          <w:p>
            <w:pPr>
              <w:spacing w:after="0"/>
              <w:rPr>
                <w:sz w:val="1"/>
                <w:szCs w:val="1"/>
                <w:color w:val="auto"/>
              </w:rPr>
            </w:pPr>
          </w:p>
        </w:tc>
      </w:tr>
      <w:tr>
        <w:trPr>
          <w:trHeight w:val="221"/>
        </w:trPr>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Constant Prepayment Rate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 - 8% (8%)</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Constant Default Rate</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 - 1% (1%)</w:t>
            </w:r>
          </w:p>
        </w:tc>
        <w:tc>
          <w:tcPr>
            <w:tcW w:w="0" w:type="dxa"/>
            <w:vAlign w:val="bottom"/>
          </w:tcPr>
          <w:p>
            <w:pPr>
              <w:spacing w:after="0"/>
              <w:rPr>
                <w:sz w:val="1"/>
                <w:szCs w:val="1"/>
                <w:color w:val="auto"/>
              </w:rPr>
            </w:pPr>
          </w:p>
        </w:tc>
      </w:tr>
      <w:tr>
        <w:trPr>
          <w:trHeight w:val="221"/>
        </w:trPr>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Recovery Rate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 - 0% (0%)</w:t>
            </w:r>
          </w:p>
        </w:tc>
        <w:tc>
          <w:tcPr>
            <w:tcW w:w="0" w:type="dxa"/>
            <w:vAlign w:val="bottom"/>
          </w:tcPr>
          <w:p>
            <w:pPr>
              <w:spacing w:after="0"/>
              <w:rPr>
                <w:sz w:val="1"/>
                <w:szCs w:val="1"/>
                <w:color w:val="auto"/>
              </w:rPr>
            </w:pPr>
          </w:p>
        </w:tc>
      </w:tr>
      <w:tr>
        <w:trPr>
          <w:trHeight w:val="211"/>
        </w:trPr>
        <w:tc>
          <w:tcPr>
            <w:tcW w:w="60" w:type="dxa"/>
            <w:vAlign w:val="bottom"/>
            <w:tcBorders>
              <w:bottom w:val="single" w:sz="8" w:color="CCEEFF"/>
            </w:tcBorders>
          </w:tcPr>
          <w:p>
            <w:pPr>
              <w:spacing w:after="0"/>
              <w:rPr>
                <w:sz w:val="18"/>
                <w:szCs w:val="18"/>
                <w:color w:val="auto"/>
              </w:rPr>
            </w:pPr>
          </w:p>
        </w:tc>
        <w:tc>
          <w:tcPr>
            <w:tcW w:w="240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6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(1)</w:t>
            </w:r>
          </w:p>
        </w:tc>
        <w:tc>
          <w:tcPr>
            <w:tcW w:w="19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5"/>
        </w:trPr>
        <w:tc>
          <w:tcPr>
            <w:tcW w:w="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6,762.2</w:t>
            </w: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Investments in CLOs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60" w:type="dxa"/>
            <w:vAlign w:val="bottom"/>
            <w:shd w:val="clear" w:color="auto" w:fill="CCEEFF"/>
          </w:tcPr>
          <w:p>
            <w:pPr>
              <w:spacing w:after="0"/>
              <w:rPr>
                <w:sz w:val="13"/>
                <w:szCs w:val="13"/>
                <w:color w:val="auto"/>
              </w:rPr>
            </w:pPr>
          </w:p>
        </w:tc>
        <w:tc>
          <w:tcPr>
            <w:tcW w:w="2400" w:type="dxa"/>
            <w:vAlign w:val="bottom"/>
            <w:gridSpan w:val="2"/>
            <w:shd w:val="clear" w:color="auto" w:fill="CCEEFF"/>
          </w:tcPr>
          <w:p>
            <w:pPr>
              <w:ind w:left="320"/>
              <w:spacing w:after="0" w:line="158" w:lineRule="exact"/>
              <w:rPr>
                <w:sz w:val="20"/>
                <w:szCs w:val="20"/>
                <w:color w:val="auto"/>
              </w:rPr>
            </w:pPr>
            <w:r>
              <w:rPr>
                <w:rFonts w:ascii="Times New Roman" w:cs="Times New Roman" w:eastAsia="Times New Roman" w:hAnsi="Times New Roman"/>
                <w:sz w:val="14"/>
                <w:szCs w:val="14"/>
                <w:color w:val="auto"/>
              </w:rPr>
              <w:t>Senior secured notes</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472.2</w:t>
            </w:r>
          </w:p>
        </w:tc>
        <w:tc>
          <w:tcPr>
            <w:tcW w:w="6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Discounted Cash Flow with</w:t>
            </w:r>
          </w:p>
        </w:tc>
        <w:tc>
          <w:tcPr>
            <w:tcW w:w="1960" w:type="dxa"/>
            <w:vAlign w:val="bottom"/>
            <w:gridSpan w:val="2"/>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Indicative Quotes (% of Par)</w:t>
            </w:r>
          </w:p>
        </w:tc>
        <w:tc>
          <w:tcPr>
            <w:tcW w:w="162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72 - 101 (96)</w:t>
            </w:r>
          </w:p>
        </w:tc>
        <w:tc>
          <w:tcPr>
            <w:tcW w:w="0" w:type="dxa"/>
            <w:vAlign w:val="bottom"/>
          </w:tcPr>
          <w:p>
            <w:pPr>
              <w:spacing w:after="0"/>
              <w:rPr>
                <w:sz w:val="1"/>
                <w:szCs w:val="1"/>
                <w:color w:val="auto"/>
              </w:rPr>
            </w:pPr>
          </w:p>
        </w:tc>
      </w:tr>
      <w:tr>
        <w:trPr>
          <w:trHeight w:val="205"/>
        </w:trPr>
        <w:tc>
          <w:tcPr>
            <w:tcW w:w="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Consensus Pricing</w:t>
            </w:r>
          </w:p>
        </w:tc>
        <w:tc>
          <w:tcPr>
            <w:tcW w:w="19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6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Discount Margins (Basis</w:t>
            </w:r>
          </w:p>
        </w:tc>
        <w:tc>
          <w:tcPr>
            <w:tcW w:w="16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139 - 1,600 (319)</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Points)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Default Rates</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 - 2% (2%)</w:t>
            </w: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Recovery Rates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 - 60% (60%)</w:t>
            </w: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60" w:type="dxa"/>
            <w:vAlign w:val="bottom"/>
            <w:shd w:val="clear" w:color="auto" w:fill="CCEEFF"/>
          </w:tcPr>
          <w:p>
            <w:pPr>
              <w:spacing w:after="0"/>
              <w:rPr>
                <w:sz w:val="13"/>
                <w:szCs w:val="13"/>
                <w:color w:val="auto"/>
              </w:rPr>
            </w:pPr>
          </w:p>
        </w:tc>
        <w:tc>
          <w:tcPr>
            <w:tcW w:w="2400" w:type="dxa"/>
            <w:vAlign w:val="bottom"/>
            <w:gridSpan w:val="2"/>
            <w:shd w:val="clear" w:color="auto" w:fill="CCEEFF"/>
          </w:tcPr>
          <w:p>
            <w:pPr>
              <w:ind w:left="320"/>
              <w:spacing w:after="0" w:line="153" w:lineRule="exact"/>
              <w:rPr>
                <w:sz w:val="20"/>
                <w:szCs w:val="20"/>
                <w:color w:val="auto"/>
              </w:rPr>
            </w:pPr>
            <w:r>
              <w:rPr>
                <w:rFonts w:ascii="Times New Roman" w:cs="Times New Roman" w:eastAsia="Times New Roman" w:hAnsi="Times New Roman"/>
                <w:sz w:val="14"/>
                <w:szCs w:val="14"/>
                <w:color w:val="auto"/>
              </w:rPr>
              <w:t>Subordinated notes and preferred</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59.4</w:t>
            </w:r>
          </w:p>
        </w:tc>
        <w:tc>
          <w:tcPr>
            <w:tcW w:w="6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Discounted Cash Flow with</w:t>
            </w:r>
          </w:p>
        </w:tc>
        <w:tc>
          <w:tcPr>
            <w:tcW w:w="1960" w:type="dxa"/>
            <w:vAlign w:val="bottom"/>
            <w:gridSpan w:val="2"/>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Indicative Quotes (% of Par)</w:t>
            </w:r>
          </w:p>
        </w:tc>
        <w:tc>
          <w:tcPr>
            <w:tcW w:w="162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rPr>
              <w:t>6 - 90 (40)</w:t>
            </w:r>
          </w:p>
        </w:tc>
        <w:tc>
          <w:tcPr>
            <w:tcW w:w="0" w:type="dxa"/>
            <w:vAlign w:val="bottom"/>
          </w:tcPr>
          <w:p>
            <w:pPr>
              <w:spacing w:after="0"/>
              <w:rPr>
                <w:sz w:val="1"/>
                <w:szCs w:val="1"/>
                <w:color w:val="auto"/>
              </w:rPr>
            </w:pPr>
          </w:p>
        </w:tc>
      </w:tr>
      <w:tr>
        <w:trPr>
          <w:trHeight w:val="185"/>
        </w:trPr>
        <w:tc>
          <w:tcPr>
            <w:tcW w:w="6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Consensus Pricing</w:t>
            </w:r>
          </w:p>
        </w:tc>
        <w:tc>
          <w:tcPr>
            <w:tcW w:w="1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 Rate</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 - 40% (21%)</w:t>
            </w: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Default Rates</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 - 2% (2%)</w:t>
            </w: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Recovery Rates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 - 60% (60%)</w:t>
            </w: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(1)</w:t>
            </w: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3"/>
        </w:trPr>
        <w:tc>
          <w:tcPr>
            <w:tcW w:w="24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Other investments: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BDC preferred shares</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6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Market Yield Analysis</w:t>
            </w: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Market Yields</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 - 11% (11%)</w:t>
            </w: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4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Aviation subordinated notes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tcPr>
          <w:p>
            <w:pPr>
              <w:spacing w:after="0"/>
              <w:rPr>
                <w:sz w:val="16"/>
                <w:szCs w:val="16"/>
                <w:color w:val="auto"/>
              </w:rPr>
            </w:pPr>
          </w:p>
        </w:tc>
        <w:tc>
          <w:tcPr>
            <w:tcW w:w="19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Discounted Cash Flow</w:t>
            </w: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 - 21% (21%)</w:t>
            </w:r>
          </w:p>
        </w:tc>
        <w:tc>
          <w:tcPr>
            <w:tcW w:w="0" w:type="dxa"/>
            <w:vAlign w:val="bottom"/>
          </w:tcPr>
          <w:p>
            <w:pPr>
              <w:spacing w:after="0"/>
              <w:rPr>
                <w:sz w:val="1"/>
                <w:szCs w:val="1"/>
                <w:color w:val="auto"/>
              </w:rPr>
            </w:pPr>
          </w:p>
        </w:tc>
      </w:tr>
      <w:tr>
        <w:trPr>
          <w:trHeight w:val="37"/>
        </w:trPr>
        <w:tc>
          <w:tcPr>
            <w:tcW w:w="6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9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6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46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7,379.4</w:t>
            </w:r>
          </w:p>
        </w:tc>
        <w:tc>
          <w:tcPr>
            <w:tcW w:w="6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Loans payable of Consolidated Funds:</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24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Senior secured notes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6,090.1</w:t>
            </w:r>
          </w:p>
        </w:tc>
        <w:tc>
          <w:tcPr>
            <w:tcW w:w="60" w:type="dxa"/>
            <w:vAlign w:val="bottom"/>
          </w:tcPr>
          <w:p>
            <w:pPr>
              <w:spacing w:after="0"/>
              <w:rPr>
                <w:sz w:val="16"/>
                <w:szCs w:val="16"/>
                <w:color w:val="auto"/>
              </w:rPr>
            </w:pPr>
          </w:p>
        </w:tc>
        <w:tc>
          <w:tcPr>
            <w:tcW w:w="19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(2)</w:t>
            </w: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60" w:type="dxa"/>
            <w:vAlign w:val="bottom"/>
            <w:shd w:val="clear" w:color="auto" w:fill="CCEEFF"/>
          </w:tcPr>
          <w:p>
            <w:pPr>
              <w:spacing w:after="0"/>
              <w:rPr>
                <w:sz w:val="13"/>
                <w:szCs w:val="13"/>
                <w:color w:val="auto"/>
              </w:rPr>
            </w:pPr>
          </w:p>
        </w:tc>
        <w:tc>
          <w:tcPr>
            <w:tcW w:w="2400" w:type="dxa"/>
            <w:vAlign w:val="bottom"/>
            <w:gridSpan w:val="2"/>
            <w:shd w:val="clear" w:color="auto" w:fill="CCEEFF"/>
          </w:tcPr>
          <w:p>
            <w:pPr>
              <w:ind w:left="320"/>
              <w:spacing w:after="0" w:line="153" w:lineRule="exact"/>
              <w:rPr>
                <w:sz w:val="20"/>
                <w:szCs w:val="20"/>
                <w:color w:val="auto"/>
              </w:rPr>
            </w:pPr>
            <w:r>
              <w:rPr>
                <w:rFonts w:ascii="Times New Roman" w:cs="Times New Roman" w:eastAsia="Times New Roman" w:hAnsi="Times New Roman"/>
                <w:sz w:val="14"/>
                <w:szCs w:val="14"/>
                <w:color w:val="auto"/>
              </w:rPr>
              <w:t>Subordinated notes and preferred</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190.0</w:t>
            </w:r>
          </w:p>
        </w:tc>
        <w:tc>
          <w:tcPr>
            <w:tcW w:w="6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Discounted Cash Flow with</w:t>
            </w:r>
          </w:p>
        </w:tc>
        <w:tc>
          <w:tcPr>
            <w:tcW w:w="1960" w:type="dxa"/>
            <w:vAlign w:val="bottom"/>
            <w:gridSpan w:val="2"/>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Indicative Quotes (% of Par)</w:t>
            </w:r>
          </w:p>
        </w:tc>
        <w:tc>
          <w:tcPr>
            <w:tcW w:w="162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rPr>
              <w:t>16 - 103 (41)</w:t>
            </w:r>
          </w:p>
        </w:tc>
        <w:tc>
          <w:tcPr>
            <w:tcW w:w="0" w:type="dxa"/>
            <w:vAlign w:val="bottom"/>
          </w:tcPr>
          <w:p>
            <w:pPr>
              <w:spacing w:after="0"/>
              <w:rPr>
                <w:sz w:val="1"/>
                <w:szCs w:val="1"/>
                <w:color w:val="auto"/>
              </w:rPr>
            </w:pPr>
          </w:p>
        </w:tc>
      </w:tr>
      <w:tr>
        <w:trPr>
          <w:trHeight w:val="205"/>
        </w:trPr>
        <w:tc>
          <w:tcPr>
            <w:tcW w:w="6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Consensus Pricing</w:t>
            </w:r>
          </w:p>
        </w:tc>
        <w:tc>
          <w:tcPr>
            <w:tcW w:w="19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Discount Rates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 - 30% (21%)</w:t>
            </w: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Default Rates</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 - 2% (2%)</w:t>
            </w: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Recovery Rates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 - 60% (60%)</w:t>
            </w: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(1)</w:t>
            </w: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N/A</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2"/>
        </w:trPr>
        <w:tc>
          <w:tcPr>
            <w:tcW w:w="24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6,298.6</w:t>
            </w: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340" w:hanging="333"/>
        <w:spacing w:after="0"/>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approximates transaction price that was in close proximity to the reporting date.</w:t>
      </w:r>
    </w:p>
    <w:p>
      <w:pPr>
        <w:spacing w:after="0" w:line="26" w:lineRule="exact"/>
        <w:rPr>
          <w:rFonts w:ascii="Times New Roman" w:cs="Times New Roman" w:eastAsia="Times New Roman" w:hAnsi="Times New Roman"/>
          <w:sz w:val="16"/>
          <w:szCs w:val="16"/>
          <w:color w:val="auto"/>
        </w:rPr>
      </w:pPr>
    </w:p>
    <w:p>
      <w:pPr>
        <w:ind w:left="340" w:right="140" w:hanging="333"/>
        <w:spacing w:after="0" w:line="267"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and subordinated notes issued by CLO vehicles are classified based on the more observable fair value of the CLO financial assets, less (i) the fair value of any beneficial interests held by the Company and (ii) the carrying value of any beneficial interests that represent compensation for services.</w:t>
      </w:r>
    </w:p>
    <w:p>
      <w:pPr>
        <w:spacing w:after="0" w:line="13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3162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16115" cy="316230"/>
                    </a:xfrm>
                    <a:prstGeom prst="rect">
                      <a:avLst/>
                    </a:prstGeom>
                    <a:noFill/>
                  </pic:spPr>
                </pic:pic>
              </a:graphicData>
            </a:graphic>
          </wp:anchor>
        </w:drawing>
      </w:r>
    </w:p>
    <w:p>
      <w:pPr>
        <w:sectPr>
          <w:pgSz w:w="11900" w:h="16838" w:orient="portrait"/>
          <w:cols w:equalWidth="0" w:num="1">
            <w:col w:w="9380"/>
          </w:cols>
          <w:pgMar w:left="1320" w:top="999" w:right="1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9380"/>
          </w:cols>
          <w:pgMar w:left="1320" w:top="999" w:right="1199" w:bottom="0" w:gutter="0" w:footer="0" w:header="0"/>
          <w:type w:val="continuous"/>
        </w:sectPr>
      </w:pPr>
    </w:p>
    <w:bookmarkStart w:id="27" w:name="page28"/>
    <w:bookmarkEnd w:id="27"/>
    <w:p>
      <w:pPr>
        <w:spacing w:after="0" w:line="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-103505</wp:posOffset>
            </wp:positionV>
            <wp:extent cx="7016115" cy="87458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16115" cy="874585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investments of the Company’s consolidated funds are indicative quotes. Significant decreases in indicative quotes in isolation would result in a significantly lower fair value measurement.</w:t>
      </w:r>
    </w:p>
    <w:p>
      <w:pPr>
        <w:spacing w:after="0" w:line="176"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Company’s investments in CLOs and other investments include indicative quotes, discount margins, discount rates, default rates, and recovery rates. Significant decreases in indicative quotes or recovery rates in isolation would result in a significantly lower fair value measurement. Significant increases in discount margins, discount rates or default rates in isolation would result in a significantly lower fair value measurement.</w:t>
      </w:r>
    </w:p>
    <w:p>
      <w:pPr>
        <w:spacing w:after="0" w:line="183"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The significant unobservable inputs used in the fair value measurement of the Company’s loans payable of Consolidated Funds are discount rates, default rates, recovery rates and indicative quotes. Significant increases in discount rates or default rates in isolation would result in a significantly lower fair value measurement. Significant decreases in recovery rates or indicative quotes in isolation would result in a significantly lower fair value measurement.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00" w:type="dxa"/>
            <w:vAlign w:val="bottom"/>
            <w:tcBorders>
              <w:bottom w:val="single" w:sz="8" w:color="auto"/>
            </w:tcBorders>
          </w:tcPr>
          <w:p>
            <w:pPr>
              <w:spacing w:after="0"/>
              <w:rPr>
                <w:sz w:val="17"/>
                <w:szCs w:val="17"/>
                <w:color w:val="auto"/>
              </w:rPr>
            </w:pPr>
          </w:p>
        </w:tc>
      </w:tr>
      <w:tr>
        <w:trPr>
          <w:trHeight w:val="196"/>
        </w:trPr>
        <w:tc>
          <w:tcPr>
            <w:tcW w:w="6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Accrued performance allocations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5,567.6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6,169.9</w:t>
            </w:r>
          </w:p>
        </w:tc>
      </w:tr>
      <w:tr>
        <w:trPr>
          <w:trHeight w:val="257"/>
        </w:trPr>
        <w:tc>
          <w:tcPr>
            <w:tcW w:w="6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Principal equity method investments, excluding performance allocations</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3,145.4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3,024.1</w:t>
            </w:r>
          </w:p>
        </w:tc>
      </w:tr>
      <w:tr>
        <w:trPr>
          <w:trHeight w:val="257"/>
        </w:trPr>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Principal investments in CLOs</w:t>
            </w: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520.8</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w:t>
            </w:r>
          </w:p>
        </w:tc>
      </w:tr>
      <w:tr>
        <w:trPr>
          <w:trHeight w:val="256"/>
        </w:trPr>
        <w:tc>
          <w:tcPr>
            <w:tcW w:w="6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Other investments</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239.4</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w:t>
            </w:r>
          </w:p>
        </w:tc>
      </w:tr>
      <w:tr>
        <w:trPr>
          <w:trHeight w:val="235"/>
        </w:trPr>
        <w:tc>
          <w:tcPr>
            <w:tcW w:w="6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9,473.2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9,955.3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Accrued Performance Allocations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accrued performance allocations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60" w:type="dxa"/>
            <w:vAlign w:val="bottom"/>
            <w:tcBorders>
              <w:bottom w:val="single" w:sz="8" w:color="auto"/>
            </w:tcBorders>
          </w:tcPr>
          <w:p>
            <w:pPr>
              <w:spacing w:after="0"/>
              <w:rPr>
                <w:sz w:val="17"/>
                <w:szCs w:val="17"/>
                <w:color w:val="auto"/>
              </w:rPr>
            </w:pPr>
          </w:p>
        </w:tc>
      </w:tr>
      <w:tr>
        <w:trPr>
          <w:trHeight w:val="210"/>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6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Global Private Equity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3,547.7</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4,310.7</w:t>
            </w:r>
          </w:p>
        </w:tc>
      </w:tr>
      <w:tr>
        <w:trPr>
          <w:trHeight w:val="257"/>
        </w:trPr>
        <w:tc>
          <w:tcPr>
            <w:tcW w:w="6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Global Credit</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381.6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323.4</w:t>
            </w:r>
          </w:p>
        </w:tc>
      </w:tr>
      <w:tr>
        <w:trPr>
          <w:trHeight w:val="256"/>
        </w:trPr>
        <w:tc>
          <w:tcPr>
            <w:tcW w:w="6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Global Investment Solutions</w:t>
            </w: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1,638.3</w:t>
            </w:r>
          </w:p>
        </w:tc>
        <w:tc>
          <w:tcPr>
            <w:tcW w:w="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1,535.8</w:t>
            </w:r>
          </w:p>
        </w:tc>
      </w:tr>
      <w:tr>
        <w:trPr>
          <w:trHeight w:val="210"/>
        </w:trPr>
        <w:tc>
          <w:tcPr>
            <w:tcW w:w="6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5,567.6</w:t>
            </w: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6,169.9</w:t>
            </w:r>
          </w:p>
        </w:tc>
      </w:tr>
      <w:tr>
        <w:trPr>
          <w:trHeight w:val="20"/>
        </w:trPr>
        <w:tc>
          <w:tcPr>
            <w:tcW w:w="6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80" w:firstLine="445"/>
        <w:spacing w:after="0" w:line="282" w:lineRule="auto"/>
        <w:rPr>
          <w:sz w:val="20"/>
          <w:szCs w:val="20"/>
          <w:color w:val="auto"/>
        </w:rPr>
      </w:pPr>
      <w:r>
        <w:rPr>
          <w:rFonts w:ascii="Times New Roman" w:cs="Times New Roman" w:eastAsia="Times New Roman" w:hAnsi="Times New Roman"/>
          <w:sz w:val="18"/>
          <w:szCs w:val="18"/>
          <w:color w:val="auto"/>
        </w:rPr>
        <w:t>None of the Company’s accrued performance allocations from an individual fund exceeded 10% of total accrued performance allocations at March 31, 2024 and December 31, 2023.</w:t>
      </w:r>
    </w:p>
    <w:p>
      <w:pPr>
        <w:spacing w:after="0" w:line="162"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Accrued performance allocations are shown gross of the Company’s accrued performance allocations and incentive fee related compensation (see Note 7, Accrued Compensation and Benefits), and accrued giveback obligations, which are separately presented in the condensed consolidated balance sheets. The components of the accrued giveback obligations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1687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16115" cy="168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2"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00" w:type="dxa"/>
            <w:vAlign w:val="bottom"/>
          </w:tcPr>
          <w:p>
            <w:pPr>
              <w:spacing w:after="0"/>
              <w:rPr>
                <w:sz w:val="18"/>
                <w:szCs w:val="18"/>
                <w:color w:val="auto"/>
              </w:rPr>
            </w:pPr>
          </w:p>
        </w:tc>
      </w:tr>
      <w:tr>
        <w:trPr>
          <w:trHeight w:val="222"/>
        </w:trPr>
        <w:tc>
          <w:tcPr>
            <w:tcW w:w="40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0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4"/>
        </w:trPr>
        <w:tc>
          <w:tcPr>
            <w:tcW w:w="40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6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6"/>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Global Private Equity</w:t>
            </w:r>
          </w:p>
        </w:tc>
        <w:tc>
          <w:tcPr>
            <w:tcW w:w="2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(18.4)</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56"/>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Global Credit</w:t>
            </w:r>
          </w:p>
        </w:tc>
        <w:tc>
          <w:tcPr>
            <w:tcW w:w="27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(25.6)</w:t>
            </w: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r>
    </w:tbl>
    <w:p>
      <w:pPr>
        <w:sectPr>
          <w:pgSz w:w="11900" w:h="16858" w:orient="portrait"/>
          <w:cols w:equalWidth="0" w:num="1">
            <w:col w:w="9240"/>
          </w:cols>
          <w:pgMar w:left="1320" w:top="96" w:right="1339" w:bottom="0" w:gutter="0" w:footer="0" w:header="0"/>
        </w:sectPr>
      </w:pPr>
    </w:p>
    <w:bookmarkStart w:id="28" w:name="page29"/>
    <w:bookmarkEnd w:id="28"/>
    <w:p>
      <w:pPr>
        <w:ind w:left="60"/>
        <w:spacing w:after="0"/>
        <w:tabs>
          <w:tab w:leader="none" w:pos="6640" w:val="left"/>
          <w:tab w:leader="none" w:pos="7280" w:val="left"/>
          <w:tab w:leader="none" w:pos="8420" w:val="left"/>
        </w:tabs>
        <w:rPr>
          <w:sz w:val="20"/>
          <w:szCs w:val="20"/>
          <w:color w:val="auto"/>
        </w:rPr>
      </w:pPr>
      <w:r>
        <w:rPr>
          <w:rFonts w:ascii="Times New Roman" w:cs="Times New Roman" w:eastAsia="Times New Roman" w:hAnsi="Times New Roman"/>
          <w:sz w:val="16"/>
          <w:szCs w:val="16"/>
          <w:color w:val="auto"/>
        </w:rPr>
        <w:t>Total</w:t>
      </w:r>
      <w:r>
        <w:rPr>
          <w:sz w:val="20"/>
          <w:szCs w:val="20"/>
          <w:color w:val="auto"/>
        </w:rPr>
        <w:tab/>
      </w: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 xml:space="preserve">(44.0)  </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-106045</wp:posOffset>
            </wp:positionV>
            <wp:extent cx="7016115" cy="7374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16115" cy="7374255"/>
                    </a:xfrm>
                    <a:prstGeom prst="rect">
                      <a:avLst/>
                    </a:prstGeom>
                    <a:noFill/>
                  </pic:spPr>
                </pic:pic>
              </a:graphicData>
            </a:graphic>
          </wp:anchor>
        </w:drawing>
      </w: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Principal Equity-Method Investments, Excluding Performance Allocations</w:t>
      </w:r>
    </w:p>
    <w:p>
      <w:pPr>
        <w:spacing w:after="0" w:line="229" w:lineRule="exact"/>
        <w:rPr>
          <w:sz w:val="20"/>
          <w:szCs w:val="20"/>
          <w:color w:val="auto"/>
        </w:rPr>
      </w:pPr>
    </w:p>
    <w:p>
      <w:pPr>
        <w:jc w:val="both"/>
        <w:ind w:right="20" w:firstLine="445"/>
        <w:spacing w:after="0" w:line="261" w:lineRule="auto"/>
        <w:rPr>
          <w:sz w:val="20"/>
          <w:szCs w:val="20"/>
          <w:color w:val="auto"/>
        </w:rPr>
      </w:pPr>
      <w:r>
        <w:rPr>
          <w:rFonts w:ascii="Times New Roman" w:cs="Times New Roman" w:eastAsia="Times New Roman" w:hAnsi="Times New Roman"/>
          <w:sz w:val="18"/>
          <w:szCs w:val="18"/>
          <w:color w:val="auto"/>
        </w:rPr>
        <w:t xml:space="preserve">The Company’s principal equity method investments (excluding performance allocations) include its fund investments in </w:t>
      </w:r>
      <w:r>
        <w:rPr>
          <w:rFonts w:ascii="Times New Roman" w:cs="Times New Roman" w:eastAsia="Times New Roman" w:hAnsi="Times New Roman"/>
          <w:sz w:val="18"/>
          <w:szCs w:val="18"/>
          <w:color w:val="auto"/>
          <w:highlight w:val="white"/>
        </w:rPr>
        <w:t>Global Private Equity, Global Credit, and Global Investment Solutions typically as general partner interests, and its invest</w:t>
      </w:r>
      <w:r>
        <w:rPr>
          <w:rFonts w:ascii="Times New Roman" w:cs="Times New Roman" w:eastAsia="Times New Roman" w:hAnsi="Times New Roman"/>
          <w:sz w:val="18"/>
          <w:szCs w:val="18"/>
          <w:color w:val="auto"/>
        </w:rPr>
        <w:t>ments</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highlight w:val="white"/>
          <w:shd w:val="clear" w:color="auto" w:fill="CCEEFF"/>
        </w:rPr>
        <w:t>in Fortitude through a Carlyle-affiliated fund (included within Global Credit) and NGP (included within Global Private Eq</w:t>
      </w:r>
      <w:r>
        <w:rPr>
          <w:rFonts w:ascii="Times New Roman" w:cs="Times New Roman" w:eastAsia="Times New Roman" w:hAnsi="Times New Roman"/>
          <w:sz w:val="18"/>
          <w:szCs w:val="18"/>
          <w:color w:val="auto"/>
          <w:highlight w:val="white"/>
        </w:rPr>
        <w:t>uity),</w:t>
      </w:r>
      <w:r>
        <w:rPr>
          <w:rFonts w:ascii="Times New Roman" w:cs="Times New Roman" w:eastAsia="Times New Roman" w:hAnsi="Times New Roman"/>
          <w:sz w:val="18"/>
          <w:szCs w:val="18"/>
          <w:color w:val="auto"/>
          <w:highlight w:val="white"/>
          <w:shd w:val="clear" w:color="auto" w:fill="CCEEFF"/>
        </w:rPr>
        <w:t xml:space="preserve"> </w:t>
      </w:r>
      <w:r>
        <w:rPr>
          <w:rFonts w:ascii="Times New Roman" w:cs="Times New Roman" w:eastAsia="Times New Roman" w:hAnsi="Times New Roman"/>
          <w:sz w:val="18"/>
          <w:szCs w:val="18"/>
          <w:color w:val="auto"/>
          <w:highlight w:val="white"/>
        </w:rPr>
        <w:t xml:space="preserve">which are not consolidated. Principal investments are related to the following segments: </w:t>
      </w:r>
      <w:r>
        <w:rPr>
          <w:sz w:val="1"/>
          <w:szCs w:val="1"/>
          <w:color w:val="auto"/>
        </w:rPr>
        <w:drawing>
          <wp:inline distT="0" distB="0" distL="0" distR="0">
            <wp:extent cx="694055" cy="3429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4055" cy="34290"/>
                    </a:xfrm>
                    <a:prstGeom prst="rect">
                      <a:avLst/>
                    </a:prstGeom>
                    <a:noFill/>
                    <a:ln>
                      <a:noFill/>
                    </a:ln>
                  </pic:spPr>
                </pic:pic>
              </a:graphicData>
            </a:graphic>
          </wp:inline>
        </w:drawing>
        <w:drawing>
          <wp:inline distT="0" distB="0" distL="0" distR="0">
            <wp:extent cx="677545" cy="3429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7545" cy="34290"/>
                    </a:xfrm>
                    <a:prstGeom prst="rect">
                      <a:avLst/>
                    </a:prstGeom>
                    <a:noFill/>
                    <a:ln>
                      <a:noFill/>
                    </a:ln>
                  </pic:spPr>
                </pic:pic>
              </a:graphicData>
            </a:graphic>
          </wp:inline>
        </w:drawing>
      </w:r>
    </w:p>
    <w:p>
      <w:pPr>
        <w:spacing w:after="0" w:line="155"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6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40" w:type="dxa"/>
            <w:vAlign w:val="bottom"/>
            <w:tcBorders>
              <w:bottom w:val="single" w:sz="8" w:color="auto"/>
            </w:tcBorders>
          </w:tcPr>
          <w:p>
            <w:pPr>
              <w:spacing w:after="0"/>
              <w:rPr>
                <w:sz w:val="17"/>
                <w:szCs w:val="17"/>
                <w:color w:val="auto"/>
              </w:rPr>
            </w:pPr>
          </w:p>
        </w:tc>
      </w:tr>
      <w:tr>
        <w:trPr>
          <w:trHeight w:val="196"/>
        </w:trPr>
        <w:tc>
          <w:tcPr>
            <w:tcW w:w="6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6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Global Private Equity</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1,798.3</w:t>
            </w:r>
          </w:p>
        </w:tc>
      </w:tr>
      <w:tr>
        <w:trPr>
          <w:trHeight w:val="257"/>
        </w:trPr>
        <w:tc>
          <w:tcPr>
            <w:tcW w:w="6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Global Credit</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1,114.8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987.4</w:t>
            </w:r>
          </w:p>
        </w:tc>
      </w:tr>
      <w:tr>
        <w:trPr>
          <w:trHeight w:val="257"/>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Global Investment Solutions</w:t>
            </w: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w:t>
            </w:r>
          </w:p>
        </w:tc>
      </w:tr>
      <w:tr>
        <w:trPr>
          <w:trHeight w:val="209"/>
        </w:trPr>
        <w:tc>
          <w:tcPr>
            <w:tcW w:w="6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3,145.4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3,024.1</w:t>
            </w:r>
          </w:p>
        </w:tc>
      </w:tr>
      <w:tr>
        <w:trPr>
          <w:trHeight w:val="21"/>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660" w:right="160" w:hanging="329"/>
        <w:spacing w:after="0" w:line="267"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includes $918.0 million and $916.2 million as of March 31, 2024 and December 31, 2023, respectively, related to the Company’s equity method investments in NGP.</w:t>
      </w:r>
    </w:p>
    <w:p>
      <w:pPr>
        <w:ind w:left="660" w:right="140" w:hanging="329"/>
        <w:spacing w:after="0" w:line="275" w:lineRule="auto"/>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2024 and December 31, 2023, the balance includes $709.3 million and $595.4 million, respectively, related to the Company’s investment in Fortitude.</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 in Fortitude</w:t>
      </w:r>
    </w:p>
    <w:p>
      <w:pPr>
        <w:spacing w:after="0" w:line="229"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On November 13, 2018, the Company acquired a 19.9% interest in Fortitude Group Holdings, LLC (“Fortitude Holdings”), a wholly owned subsidiary of American International Group, Inc. (“AIG”). Fortitude Holdings owns 100% of the outstanding common shares of Fortitude Reinsurance Company Ltd., a Bermuda domiciled reinsurer (“Fortitude Re”). The Company paid $381 million in cash at closing and paid $95 million in additional deferred consideration during the three months ended March 31, 2024. In May 2020, the initial purchase price was adjusted upward by $99.5 million in accordance with the purchase agreement as Fortitude Holdings chose not to distribute a planned non-pro rata dividend to AIG, of which the Company paid $79.6 million in May 2020. The remaining $19.9 million was paid during the three months ended March 31, 2024.</w:t>
      </w:r>
    </w:p>
    <w:p>
      <w:pPr>
        <w:spacing w:after="0" w:line="192" w:lineRule="exact"/>
        <w:rPr>
          <w:sz w:val="20"/>
          <w:szCs w:val="20"/>
          <w:color w:val="auto"/>
        </w:rPr>
      </w:pPr>
    </w:p>
    <w:p>
      <w:pPr>
        <w:ind w:right="80" w:firstLine="445"/>
        <w:spacing w:after="0" w:line="270" w:lineRule="auto"/>
        <w:rPr>
          <w:sz w:val="20"/>
          <w:szCs w:val="20"/>
          <w:color w:val="auto"/>
        </w:rPr>
      </w:pPr>
      <w:r>
        <w:rPr>
          <w:rFonts w:ascii="Times New Roman" w:cs="Times New Roman" w:eastAsia="Times New Roman" w:hAnsi="Times New Roman"/>
          <w:sz w:val="17"/>
          <w:szCs w:val="17"/>
          <w:color w:val="auto"/>
        </w:rPr>
        <w:t>On June 2, 2020, Carlyle FRL, L.P. (“Carlyle FRL”), a Carlyle-affiliated investment fund, and T&amp;D United Capital Co., Ltd. (“T&amp;D”), a strategic third-party investor, acquired a 51.6% ownership interest and 25.0% ownership interest, respectively, in Fortitude Holdings from AIG. At closing, the Company contributed its existing 19.9% interest in Fortitude Holdings to Carlyle FRL, such that Carlyle FRL held a 71.5% interest in Fortitude Holdings. Taken together, Carlyle FRL and T&amp;D had</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96.5% ownership of Fortitude Holdings. In October 2021, Carlyle FRL, T&amp;D and an affiliate of AIG contributed the entirety of their interest in Fortitude Holdings to FGH Parent, L.P. (“FGH Parent”), a newly-formed entity interposed as the direct parent of Fortitude Holdings, in exchange for an equivalent ownership interest in FGH Parent. References to “Fortitude” prior to this restructuring refer to Fortitude Holdings and refer to FGH Parent for subsequent periods.</w:t>
      </w:r>
    </w:p>
    <w:p>
      <w:pPr>
        <w:spacing w:after="0" w:line="189"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In March 2022, the Company raised $2.0 billion in third-party equity capital from certain investors in Carlyle FRL and T&amp;D, and committed $100 million from the Company for additional equity capital in Fortitude. In May 2022, Fortitude called $1.1 billion of the capital raise, reducing the Company’s indirect ownership of Fortitude from 19.9% to 13.5%. As a result of the dilution, the Company recorded a reduction in the carrying value of its equity method investment and corresponding loss of $176.9 million. In May 2023, Fortitude called the remaining $1 billion of the capital commitments and the Company’s indirect ownership of Fortitude further decreased from 13.5% to 10.5%, resulting in an additional reduction in the carrying value and a</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3059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16115" cy="305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corresponding loss of $104.0 million. Effective October 2023, a third-party investor in Carlyle FRL received a distribution in kind of its interest in FGH Parent held indirectly through the fund, reducing Carlyle FRL’s ownership in FGH Parent to 38.5%. Following the additional capital contributions in 2022 and 2023, Carlyle FRL and its strategic third-party investors collectively hold a 97.5% interest in FGH Parent. As of March 31, 2024, the carrying value of the Company’s investment in Carlyle FRL, which is an investment company that accounts for its investment in Fortitude at fair value, was $709.3 million, relative to equity invested of $679.6 million.</w:t>
      </w:r>
    </w:p>
    <w:p>
      <w:pPr>
        <w:spacing w:after="0" w:line="187"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The Company has an asset management relationship with Fortitude pursuant to which Fortitude committed to allocate assets in asset management strategies and vehicles of the Company and its affiliates. As of March 31, 2024, Fortitude, its affiliates and certain Fortitude reinsurance counterparties have committed approximately $17.9 billion of capital to-date to various Carlyle strategies. On April 1, 2022, the Company entered into a strategic advisory services agreement with certain subsidiaries of Fortitude through Carlyle Insurance Solutions Management L.L.C. (“CISM”), an investment adviser. Under the agreement, CISM provides Fortitude with certain services, including business development and growth, transaction origination and execution, and capital management services in exchange for a recurring management fee based on Fortitude’s general account assets, which adjusts within an agreed range based on Fortitude’s overall profitability. Third party investors who participated in the March 2022 capital raise also made a minority investment in CISM, which is reflected as a non-controlling</w:t>
      </w:r>
    </w:p>
    <w:p>
      <w:pPr>
        <w:sectPr>
          <w:pgSz w:w="11900" w:h="16838" w:orient="portrait"/>
          <w:cols w:equalWidth="0" w:num="1">
            <w:col w:w="9240"/>
          </w:cols>
          <w:pgMar w:left="1320" w:top="124" w:right="1339" w:bottom="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interest in consolidated entities in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-110490</wp:posOffset>
            </wp:positionV>
            <wp:extent cx="7016115" cy="6002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16115" cy="6002655"/>
                    </a:xfrm>
                    <a:prstGeom prst="rect">
                      <a:avLst/>
                    </a:prstGeom>
                    <a:noFill/>
                  </pic:spPr>
                </pic:pic>
              </a:graphicData>
            </a:graphic>
          </wp:anchor>
        </w:drawing>
      </w:r>
    </w:p>
    <w:p>
      <w:pPr>
        <w:spacing w:after="0" w:line="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 in NGP</w:t>
      </w:r>
    </w:p>
    <w:p>
      <w:pPr>
        <w:spacing w:after="0" w:line="22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Company has equity interests in NGP Management Company, L.L.C. (“NGP Management”), the general partners of certain carry funds advised by NGP, and principal investments in certain NGP funds as described below. The Company does not control NGP and accounts for its investments in NGP under the equity method of accounting, and includes these investments in the Global Private Equity segment.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investments in NGP as of March 31, 2024 and December 31, 2023 are as follows:</w:t>
      </w:r>
    </w:p>
    <w:p>
      <w:pPr>
        <w:spacing w:after="0" w:line="214" w:lineRule="exact"/>
        <w:rPr>
          <w:sz w:val="20"/>
          <w:szCs w:val="20"/>
          <w:color w:val="auto"/>
        </w:rPr>
      </w:pPr>
    </w:p>
    <w:tbl>
      <w:tblPr>
        <w:tblLayout w:type="fixed"/>
        <w:tblInd w:w="540" w:type="dxa"/>
        <w:tblCellMar>
          <w:top w:w="0" w:type="dxa"/>
          <w:left w:w="0" w:type="dxa"/>
          <w:bottom w:w="0" w:type="dxa"/>
          <w:right w:w="0" w:type="dxa"/>
        </w:tblCellMar>
      </w:tblPr>
      <w:tr>
        <w:trPr>
          <w:trHeight w:val="205"/>
        </w:trPr>
        <w:tc>
          <w:tcPr>
            <w:tcW w:w="5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60" w:type="dxa"/>
            <w:vAlign w:val="bottom"/>
            <w:tcBorders>
              <w:bottom w:val="single" w:sz="8" w:color="auto"/>
            </w:tcBorders>
          </w:tcPr>
          <w:p>
            <w:pPr>
              <w:spacing w:after="0"/>
              <w:rPr>
                <w:sz w:val="17"/>
                <w:szCs w:val="17"/>
                <w:color w:val="auto"/>
              </w:rPr>
            </w:pPr>
          </w:p>
        </w:tc>
      </w:tr>
      <w:tr>
        <w:trPr>
          <w:trHeight w:val="196"/>
        </w:trPr>
        <w:tc>
          <w:tcPr>
            <w:tcW w:w="5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5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5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70"/>
        </w:trPr>
        <w:tc>
          <w:tcPr>
            <w:tcW w:w="5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 in NGP Management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369.3</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w:t>
            </w:r>
          </w:p>
        </w:tc>
      </w:tr>
      <w:tr>
        <w:trPr>
          <w:trHeight w:val="270"/>
        </w:trPr>
        <w:tc>
          <w:tcPr>
            <w:tcW w:w="58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Investments in NGP general partners - accrued performance allocations</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488.4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484.4</w:t>
            </w:r>
          </w:p>
        </w:tc>
      </w:tr>
      <w:tr>
        <w:trPr>
          <w:trHeight w:val="270"/>
        </w:trPr>
        <w:tc>
          <w:tcPr>
            <w:tcW w:w="5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Principal investments in NGP funds</w:t>
            </w: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60.3</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r>
      <w:tr>
        <w:trPr>
          <w:trHeight w:val="223"/>
        </w:trPr>
        <w:tc>
          <w:tcPr>
            <w:tcW w:w="58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investments in NGP</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918.0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916.2</w:t>
            </w:r>
          </w:p>
        </w:tc>
      </w:tr>
      <w:tr>
        <w:trPr>
          <w:trHeight w:val="21"/>
        </w:trPr>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right="80" w:firstLine="445"/>
        <w:spacing w:after="0" w:line="275" w:lineRule="auto"/>
        <w:rPr>
          <w:sz w:val="20"/>
          <w:szCs w:val="20"/>
          <w:color w:val="auto"/>
        </w:rPr>
      </w:pPr>
      <w:r>
        <w:rPr>
          <w:rFonts w:ascii="Times New Roman" w:cs="Times New Roman" w:eastAsia="Times New Roman" w:hAnsi="Times New Roman"/>
          <w:sz w:val="17"/>
          <w:szCs w:val="17"/>
          <w:i w:val="1"/>
          <w:iCs w:val="1"/>
          <w:color w:val="auto"/>
        </w:rPr>
        <w:t>Investment in NGP Management</w:t>
      </w:r>
      <w:r>
        <w:rPr>
          <w:rFonts w:ascii="Times New Roman" w:cs="Times New Roman" w:eastAsia="Times New Roman" w:hAnsi="Times New Roman"/>
          <w:sz w:val="17"/>
          <w:szCs w:val="17"/>
          <w:color w:val="auto"/>
        </w:rPr>
        <w:t>. The Company’s equity interests in NGP Management entitle the Company to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allocation of income equal to 55.0% of the management fee related revenues of NGP Management, which serves as the investment advisor to the NGP Energy Funds. Management fees are generally calculated as 1.0% to 2.0% of the limited partners’ commitments during the fund’s investment period, and 0.5% to 2.0% based on the lower of cost or fair market value of invested capital following the expiration or termination of the investment period. Management fee related revenues from NGP Management are primarily driven by NGP XII and NGP XI during the three months ended March 31, 2024 and 2023.</w:t>
      </w:r>
    </w:p>
    <w:p>
      <w:pPr>
        <w:spacing w:after="0" w:line="170"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Company records investment income (loss) for its equity income allocation from NGP management fee related revenues and also records its share of any allocated expenses from NGP Management, as well as expenses associated with the compensatory elements of the investment. The net investment income (loss) recognized in the Company’s condensed consolidated statements of operations for the three months ended March 31, 2024 and 2023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4431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16115" cy="4431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51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3" w:lineRule="exact"/>
        <w:rPr>
          <w:sz w:val="20"/>
          <w:szCs w:val="20"/>
          <w:color w:val="auto"/>
        </w:rPr>
      </w:pPr>
    </w:p>
    <w:tbl>
      <w:tblPr>
        <w:tblLayout w:type="fixed"/>
        <w:tblInd w:w="104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7"/>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6"/>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Management fee related revenues from NGP Management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56"/>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Expenses related to the investment in NGP Management</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3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investment income from NGP Management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Company assesses the remaining carrying value of its equity method investment for impairment whenever events or circumstances indicate that the carrying value may not be recoverable, and considers factors including, but not limited to, expected cash flows from its interest in future management fees and NGP’s ability to raise new funds.</w:t>
      </w:r>
    </w:p>
    <w:p>
      <w:pPr>
        <w:spacing w:after="0" w:line="174"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Investment in the General Partners of NGP Carry Funds</w:t>
      </w:r>
      <w:r>
        <w:rPr>
          <w:rFonts w:ascii="Times New Roman" w:cs="Times New Roman" w:eastAsia="Times New Roman" w:hAnsi="Times New Roman"/>
          <w:sz w:val="18"/>
          <w:szCs w:val="18"/>
          <w:color w:val="auto"/>
        </w:rPr>
        <w:t>. The Company’s investment in the general partners of the NGP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 Funds entitle it to 47.5% (40.0% or 42.75% in the case of certain funds) of the performance allocations received by certain current and future NGP fund general partners. The Company records its equity income allocation from NGP performance allocations in principal investment income (loss) from equity method investments rather than performance allocations in its condensed consolidated statements of operations. The Company recognized $15.3 million and $1.7 million of net investment earnings (losses) related to these performance allocations for the three months ended March 31, 2024 and 2023, respectively.</w:t>
      </w:r>
    </w:p>
    <w:p>
      <w:pPr>
        <w:spacing w:after="0" w:line="183"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Principal Investments in NGP Funds</w:t>
      </w:r>
      <w:r>
        <w:rPr>
          <w:rFonts w:ascii="Times New Roman" w:cs="Times New Roman" w:eastAsia="Times New Roman" w:hAnsi="Times New Roman"/>
          <w:sz w:val="18"/>
          <w:szCs w:val="18"/>
          <w:color w:val="auto"/>
        </w:rPr>
        <w:t>. The Company also holds principal investments in the NGP Carry Funds.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recognized net investment earnings (losses) related to principal investment income (loss) in its condensed consolidated statements of operations of $2.0 million and $(0.1) million for the three months ended March 31, 2024 and 2023, respectively.</w:t>
      </w:r>
    </w:p>
    <w:p>
      <w:pPr>
        <w:sectPr>
          <w:pgSz w:w="11900" w:h="16838" w:orient="portrait"/>
          <w:cols w:equalWidth="0" w:num="1">
            <w:col w:w="9140"/>
          </w:cols>
          <w:pgMar w:left="1320" w:top="108" w:right="1439" w:bottom="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6310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16115"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5802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16115" cy="5802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Principal Investments in CLOs and Other Investments</w:t>
      </w:r>
    </w:p>
    <w:p>
      <w:pPr>
        <w:spacing w:after="0" w:line="22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Principal investments in CLOs as of March 31, 2024 and December 31, 2023 were $520.8 million and $532.6 million, respectively, and consisted of investments in CLO senior and subordinated notes. A portion of the Company’s principal investments in CLOs is collateral to CLO term loans (see Note 6, Borrowings). As of March 31, 2024 and December 31, 2023, other investments include the Company’s investment in the BDC Preferred Shares at fair value of $90.1 million and $81.7 million, respectively (see Note 9, Related Party Transactions).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 Income (Loss)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investment income (loss) are as follows:</w:t>
      </w:r>
    </w:p>
    <w:p>
      <w:pPr>
        <w:spacing w:after="0" w:line="280"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4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3" w:lineRule="exact"/>
        <w:rPr>
          <w:sz w:val="20"/>
          <w:szCs w:val="20"/>
          <w:color w:val="auto"/>
        </w:rPr>
      </w:pPr>
    </w:p>
    <w:tbl>
      <w:tblPr>
        <w:tblLayout w:type="fixed"/>
        <w:tblInd w:w="1360" w:type="dxa"/>
        <w:tblCellMar>
          <w:top w:w="0" w:type="dxa"/>
          <w:left w:w="0" w:type="dxa"/>
          <w:bottom w:w="0" w:type="dxa"/>
          <w:right w:w="0" w:type="dxa"/>
        </w:tblCellMar>
      </w:tblPr>
      <w:tr>
        <w:trPr>
          <w:trHeight w:val="205"/>
        </w:trPr>
        <w:tc>
          <w:tcPr>
            <w:tcW w:w="4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Performance allocations</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56"/>
        </w:trPr>
        <w:tc>
          <w:tcPr>
            <w:tcW w:w="4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Realized</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389.7</w:t>
            </w:r>
          </w:p>
        </w:tc>
        <w:tc>
          <w:tcPr>
            <w:tcW w:w="6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w:t>
            </w:r>
          </w:p>
        </w:tc>
      </w:tr>
      <w:tr>
        <w:trPr>
          <w:trHeight w:val="256"/>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Unrealized</w:t>
            </w: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(546.7)</w:t>
            </w:r>
          </w:p>
        </w:tc>
        <w:tc>
          <w:tcPr>
            <w:tcW w:w="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36"/>
        </w:trPr>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(157.0)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w:t>
            </w:r>
          </w:p>
        </w:tc>
      </w:tr>
      <w:tr>
        <w:trPr>
          <w:trHeight w:val="189"/>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Principal investment income (loss) from equity method</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3"/>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investments (excluding performance allocations)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56"/>
        </w:trPr>
        <w:tc>
          <w:tcPr>
            <w:tcW w:w="4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Realized</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256"/>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Unrealized</w:t>
            </w: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w:t>
            </w:r>
          </w:p>
        </w:tc>
        <w:tc>
          <w:tcPr>
            <w:tcW w:w="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36"/>
        </w:trPr>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176"/>
        </w:trPr>
        <w:tc>
          <w:tcPr>
            <w:tcW w:w="4460" w:type="dxa"/>
            <w:vAlign w:val="bottom"/>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auto"/>
              </w:rPr>
              <w:t>Principal investment income (loss) from investments in CLOs and</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03"/>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investments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56"/>
        </w:trPr>
        <w:tc>
          <w:tcPr>
            <w:tcW w:w="4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Realized</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56"/>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Unrealized</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w:t>
            </w:r>
          </w:p>
        </w:tc>
        <w:tc>
          <w:tcPr>
            <w:tcW w:w="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37"/>
        </w:trPr>
        <w:tc>
          <w:tcPr>
            <w:tcW w:w="44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26.0</w:t>
            </w: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34"/>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(83.9)</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9140"/>
          </w:cols>
          <w:pgMar w:left="1320" w:top="1440" w:right="1439" w:bottom="0" w:gutter="0" w:footer="0" w:header="0"/>
        </w:sectPr>
      </w:pPr>
    </w:p>
    <w:p>
      <w:pPr>
        <w:ind w:left="660" w:right="540" w:hanging="329"/>
        <w:spacing w:after="0" w:line="280"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three months ended March 31, 2023 included investment loss of $13.3 million associated with the remeasurement of a corporate investment, resulting from observable price changes pursuant to ASC 321, </w:t>
      </w:r>
      <w:r>
        <w:rPr>
          <w:rFonts w:ascii="Times New Roman" w:cs="Times New Roman" w:eastAsia="Times New Roman" w:hAnsi="Times New Roman"/>
          <w:sz w:val="16"/>
          <w:szCs w:val="16"/>
          <w:i w:val="1"/>
          <w:iCs w:val="1"/>
          <w:color w:val="auto"/>
        </w:rPr>
        <w:t>Investments - Equity Securities</w:t>
      </w:r>
      <w:r>
        <w:rPr>
          <w:rFonts w:ascii="Times New Roman" w:cs="Times New Roman" w:eastAsia="Times New Roman" w:hAnsi="Times New Roman"/>
          <w:sz w:val="16"/>
          <w:szCs w:val="16"/>
          <w:color w:val="auto"/>
        </w:rPr>
        <w:t>.</w:t>
      </w:r>
    </w:p>
    <w:p>
      <w:pPr>
        <w:sectPr>
          <w:pgSz w:w="11900" w:h="16838" w:orient="portrait"/>
          <w:cols w:equalWidth="0" w:num="1">
            <w:col w:w="9140"/>
          </w:cols>
          <w:pgMar w:left="1320" w:top="1440" w:right="1439" w:bottom="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color w:val="auto"/>
        </w:rPr>
        <w:t>The performance allocations included in revenues are derived from the following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-119380</wp:posOffset>
            </wp:positionV>
            <wp:extent cx="7016115" cy="32594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16115" cy="3259455"/>
                    </a:xfrm>
                    <a:prstGeom prst="rect">
                      <a:avLst/>
                    </a:prstGeom>
                    <a:noFill/>
                  </pic:spPr>
                </pic:pic>
              </a:graphicData>
            </a:graphic>
          </wp:anchor>
        </w:drawing>
      </w:r>
    </w:p>
    <w:p>
      <w:pPr>
        <w:spacing w:after="0" w:line="192"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0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3" w:lineRule="exact"/>
        <w:rPr>
          <w:sz w:val="20"/>
          <w:szCs w:val="20"/>
          <w:color w:val="auto"/>
        </w:rPr>
      </w:pPr>
    </w:p>
    <w:tbl>
      <w:tblPr>
        <w:tblLayout w:type="fixed"/>
        <w:tblInd w:w="1580" w:type="dxa"/>
        <w:tblCellMar>
          <w:top w:w="0" w:type="dxa"/>
          <w:left w:w="0" w:type="dxa"/>
          <w:bottom w:w="0" w:type="dxa"/>
          <w:right w:w="0" w:type="dxa"/>
        </w:tblCellMar>
      </w:tblPr>
      <w:tr>
        <w:trPr>
          <w:trHeight w:val="205"/>
        </w:trPr>
        <w:tc>
          <w:tcPr>
            <w:tcW w:w="4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Global Private Equity</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(363.5)</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57"/>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Global Credit</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57"/>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Global Investment Solutions</w:t>
            </w:r>
          </w:p>
        </w:tc>
        <w:tc>
          <w:tcPr>
            <w:tcW w:w="2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141.4</w:t>
            </w:r>
          </w:p>
        </w:tc>
        <w:tc>
          <w:tcPr>
            <w:tcW w:w="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r>
      <w:tr>
        <w:trPr>
          <w:trHeight w:val="209"/>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(157.0)</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w:t>
            </w:r>
          </w:p>
        </w:tc>
      </w:tr>
      <w:tr>
        <w:trPr>
          <w:trHeight w:val="21"/>
        </w:trPr>
        <w:tc>
          <w:tcPr>
            <w:tcW w:w="4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funds that are the primary drivers of performance allocations for the periods presented and the total revenue recognized, including performance allocations as well as fund management fees and principal investment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71742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16115" cy="7174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(Dollars in millions)</w:t>
      </w:r>
    </w:p>
    <w:p>
      <w:pPr>
        <w:spacing w:after="0" w:line="41" w:lineRule="exact"/>
        <w:rPr>
          <w:sz w:val="20"/>
          <w:szCs w:val="20"/>
          <w:color w:val="auto"/>
        </w:rPr>
      </w:pPr>
    </w:p>
    <w:tbl>
      <w:tblPr>
        <w:tblLayout w:type="fixed"/>
        <w:tblInd w:w="2240" w:type="dxa"/>
        <w:tblCellMar>
          <w:top w:w="0" w:type="dxa"/>
          <w:left w:w="0" w:type="dxa"/>
          <w:bottom w:w="0" w:type="dxa"/>
          <w:right w:w="0" w:type="dxa"/>
        </w:tblCellMar>
      </w:tblPr>
      <w:tr>
        <w:trPr>
          <w:trHeight w:val="298"/>
        </w:trPr>
        <w:tc>
          <w:tcPr>
            <w:tcW w:w="1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Global Private Equity</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Carlyle Europe Partners V, L.P.</w:t>
            </w:r>
          </w:p>
        </w:tc>
        <w:tc>
          <w:tcPr>
            <w:tcW w:w="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w:t>
            </w:r>
          </w:p>
        </w:tc>
      </w:tr>
      <w:tr>
        <w:trPr>
          <w:trHeight w:val="74"/>
        </w:trPr>
        <w:tc>
          <w:tcPr>
            <w:tcW w:w="156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r>
      <w:tr>
        <w:trPr>
          <w:trHeight w:val="318"/>
        </w:trPr>
        <w:tc>
          <w:tcPr>
            <w:tcW w:w="1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Global Private Equity</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Carlyle Partners VI, L.P.</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r>
      <w:tr>
        <w:trPr>
          <w:trHeight w:val="73"/>
        </w:trPr>
        <w:tc>
          <w:tcPr>
            <w:tcW w:w="15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r>
      <w:tr>
        <w:trPr>
          <w:trHeight w:val="318"/>
        </w:trPr>
        <w:tc>
          <w:tcPr>
            <w:tcW w:w="1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Global Private Equity</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Carlyle Partners VII, L.P.</w:t>
            </w: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r>
      <w:tr>
        <w:trPr>
          <w:trHeight w:val="74"/>
        </w:trPr>
        <w:tc>
          <w:tcPr>
            <w:tcW w:w="3720" w:type="dxa"/>
            <w:vAlign w:val="bottom"/>
            <w:gridSpan w:val="2"/>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r>
      <w:tr>
        <w:trPr>
          <w:trHeight w:val="526"/>
        </w:trPr>
        <w:tc>
          <w:tcPr>
            <w:tcW w:w="3720" w:type="dxa"/>
            <w:vAlign w:val="bottom"/>
            <w:tcBorders>
              <w:bottom w:val="single" w:sz="8" w:color="auto"/>
            </w:tcBorders>
            <w:gridSpan w:val="2"/>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50"/>
        </w:trPr>
        <w:tc>
          <w:tcPr>
            <w:tcW w:w="1560" w:type="dxa"/>
            <w:vAlign w:val="bottom"/>
          </w:tcPr>
          <w:p>
            <w:pPr>
              <w:spacing w:after="0"/>
              <w:rPr>
                <w:sz w:val="21"/>
                <w:szCs w:val="21"/>
                <w:color w:val="auto"/>
              </w:rPr>
            </w:pPr>
          </w:p>
        </w:tc>
        <w:tc>
          <w:tcPr>
            <w:tcW w:w="2160" w:type="dxa"/>
            <w:vAlign w:val="bottom"/>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305"/>
        </w:trPr>
        <w:tc>
          <w:tcPr>
            <w:tcW w:w="1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Global Private Equity</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Carlyle Partners VI, L.P.</w:t>
            </w:r>
          </w:p>
        </w:tc>
        <w:tc>
          <w:tcPr>
            <w:tcW w:w="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r>
      <w:tr>
        <w:trPr>
          <w:trHeight w:val="87"/>
        </w:trPr>
        <w:tc>
          <w:tcPr>
            <w:tcW w:w="156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r>
    </w:tbl>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Carlyle’s income (loss) from its principal equity method investments consists of:</w:t>
      </w:r>
    </w:p>
    <w:p>
      <w:pPr>
        <w:spacing w:after="0" w:line="185" w:lineRule="exact"/>
        <w:rPr>
          <w:sz w:val="20"/>
          <w:szCs w:val="20"/>
          <w:color w:val="auto"/>
        </w:rPr>
      </w:pPr>
    </w:p>
    <w:p>
      <w:pPr>
        <w:jc w:val="center"/>
        <w:ind w:left="33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33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3" w:lineRule="exact"/>
        <w:rPr>
          <w:sz w:val="20"/>
          <w:szCs w:val="20"/>
          <w:color w:val="auto"/>
        </w:rPr>
      </w:pPr>
    </w:p>
    <w:tbl>
      <w:tblPr>
        <w:tblLayout w:type="fixed"/>
        <w:tblInd w:w="1920" w:type="dxa"/>
        <w:tblCellMar>
          <w:top w:w="0" w:type="dxa"/>
          <w:left w:w="0" w:type="dxa"/>
          <w:bottom w:w="0" w:type="dxa"/>
          <w:right w:w="0" w:type="dxa"/>
        </w:tblCellMar>
      </w:tblPr>
      <w:tr>
        <w:trPr>
          <w:trHeight w:val="191"/>
        </w:trPr>
        <w:tc>
          <w:tcPr>
            <w:tcW w:w="3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7"/>
        </w:trPr>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6"/>
        </w:trPr>
        <w:tc>
          <w:tcPr>
            <w:tcW w:w="3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Global Private Equity</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28.8</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57"/>
        </w:trPr>
        <w:tc>
          <w:tcPr>
            <w:tcW w:w="33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Global Credit</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56"/>
        </w:trPr>
        <w:tc>
          <w:tcPr>
            <w:tcW w:w="3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Global Investment Solutions</w:t>
            </w: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w:t>
            </w:r>
          </w:p>
        </w:tc>
        <w:tc>
          <w:tcPr>
            <w:tcW w:w="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10"/>
        </w:trPr>
        <w:tc>
          <w:tcPr>
            <w:tcW w:w="33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47.1</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0"/>
        </w:trPr>
        <w:tc>
          <w:tcPr>
            <w:tcW w:w="3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420" w:firstLine="445"/>
        <w:spacing w:after="0" w:line="312" w:lineRule="auto"/>
        <w:rPr>
          <w:sz w:val="20"/>
          <w:szCs w:val="20"/>
          <w:color w:val="auto"/>
        </w:rPr>
      </w:pPr>
      <w:r>
        <w:rPr>
          <w:rFonts w:ascii="Times New Roman" w:cs="Times New Roman" w:eastAsia="Times New Roman" w:hAnsi="Times New Roman"/>
          <w:sz w:val="17"/>
          <w:szCs w:val="17"/>
          <w:color w:val="auto"/>
        </w:rPr>
        <w:t>Principal investment income for Global Private Equity includes the Company’s equity income allocation from NGP performance allocations of $15.3 million and $1.7 million for three months ended March 31, 2024 and 2023, respectively.</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Investments of Consolidated Funds</w:t>
      </w:r>
    </w:p>
    <w:p>
      <w:pPr>
        <w:spacing w:after="0" w:line="22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Company consolidates the financial positions and results of operations of certain CLOs in which it is the primary beneficiary. During the three months ended March 31, 2024, the Company did not form any new CLOs for which the Company is the primary beneficiary. Investments in Consolidated Funds as of March 31, 2024 also include $332.1 million related to investments that have been bridged by the Company to investment funds and are accounted for as consolidated VIEs.</w:t>
      </w:r>
    </w:p>
    <w:p>
      <w:pPr>
        <w:spacing w:after="0" w:line="180"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There were no individual investments with a fair value greater than five percent of the Company’s total assets for any period presented.</w:t>
      </w:r>
    </w:p>
    <w:p>
      <w:pPr>
        <w:sectPr>
          <w:pgSz w:w="11900" w:h="16838" w:orient="portrait"/>
          <w:cols w:equalWidth="0" w:num="1">
            <w:col w:w="9200"/>
          </w:cols>
          <w:pgMar w:left="1320" w:top="121" w:right="137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8878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16115" cy="1887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8545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16115" cy="854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 and Other Income of Consolidated Funds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interest and other income of Consolidated Funds are as follows:</w:t>
      </w:r>
    </w:p>
    <w:p>
      <w:pPr>
        <w:spacing w:after="0" w:line="172"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38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3" w:lineRule="exact"/>
        <w:rPr>
          <w:sz w:val="20"/>
          <w:szCs w:val="20"/>
          <w:color w:val="auto"/>
        </w:rPr>
      </w:pPr>
    </w:p>
    <w:tbl>
      <w:tblPr>
        <w:tblLayout w:type="fixed"/>
        <w:tblInd w:w="1540" w:type="dxa"/>
        <w:tblCellMar>
          <w:top w:w="0" w:type="dxa"/>
          <w:left w:w="0" w:type="dxa"/>
          <w:bottom w:w="0" w:type="dxa"/>
          <w:right w:w="0" w:type="dxa"/>
        </w:tblCellMar>
      </w:tblPr>
      <w:tr>
        <w:trPr>
          <w:trHeight w:val="205"/>
        </w:trPr>
        <w:tc>
          <w:tcPr>
            <w:tcW w:w="39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7"/>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 income from investments</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w:t>
            </w:r>
          </w:p>
        </w:tc>
      </w:tr>
      <w:tr>
        <w:trPr>
          <w:trHeight w:val="257"/>
        </w:trPr>
        <w:tc>
          <w:tcPr>
            <w:tcW w:w="39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22.3</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34"/>
        </w:trPr>
        <w:tc>
          <w:tcPr>
            <w:tcW w:w="39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Investment Income (Loss) of Consolidated Funds</w:t>
      </w:r>
    </w:p>
    <w:p>
      <w:pPr>
        <w:spacing w:after="0" w:line="229"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Net investment income (loss) of Consolidated Funds includes net realized gains (losses) from sales of investments and unrealized gains (losses) resulting from changes in fair value of the Consolidated Funds’ investments. The components of Net investment income (loss) of Consolidated Funds are as follows:</w:t>
      </w:r>
    </w:p>
    <w:p>
      <w:pPr>
        <w:spacing w:after="0" w:line="122"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38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3" w:lineRule="exact"/>
        <w:rPr>
          <w:sz w:val="20"/>
          <w:szCs w:val="20"/>
          <w:color w:val="auto"/>
        </w:rPr>
      </w:pPr>
    </w:p>
    <w:tbl>
      <w:tblPr>
        <w:tblLayout w:type="fixed"/>
        <w:tblInd w:w="1560" w:type="dxa"/>
        <w:tblCellMar>
          <w:top w:w="0" w:type="dxa"/>
          <w:left w:w="0" w:type="dxa"/>
          <w:bottom w:w="0" w:type="dxa"/>
          <w:right w:w="0" w:type="dxa"/>
        </w:tblCellMar>
      </w:tblPr>
      <w:tr>
        <w:trPr>
          <w:trHeight w:val="205"/>
        </w:trPr>
        <w:tc>
          <w:tcPr>
            <w:tcW w:w="39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7"/>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6"/>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Gains from investments of Consolidated Funds</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82.7</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w:t>
            </w:r>
          </w:p>
        </w:tc>
      </w:tr>
      <w:tr>
        <w:trPr>
          <w:trHeight w:val="257"/>
        </w:trPr>
        <w:tc>
          <w:tcPr>
            <w:tcW w:w="3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Losses from liabilities of CLOs</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(89.7)</w:t>
            </w: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w:t>
            </w:r>
          </w:p>
        </w:tc>
      </w:tr>
      <w:tr>
        <w:trPr>
          <w:trHeight w:val="235"/>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realized and unrealized gains (losses) earned from investments of the Consolidated Funds:</w:t>
      </w:r>
    </w:p>
    <w:p>
      <w:pPr>
        <w:spacing w:after="0" w:line="185"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38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3" w:lineRule="exact"/>
        <w:rPr>
          <w:sz w:val="20"/>
          <w:szCs w:val="20"/>
          <w:color w:val="auto"/>
        </w:rPr>
      </w:pPr>
    </w:p>
    <w:tbl>
      <w:tblPr>
        <w:tblLayout w:type="fixed"/>
        <w:tblInd w:w="1560" w:type="dxa"/>
        <w:tblCellMar>
          <w:top w:w="0" w:type="dxa"/>
          <w:left w:w="0" w:type="dxa"/>
          <w:bottom w:w="0" w:type="dxa"/>
          <w:right w:w="0" w:type="dxa"/>
        </w:tblCellMar>
      </w:tblPr>
      <w:tr>
        <w:trPr>
          <w:trHeight w:val="191"/>
        </w:trPr>
        <w:tc>
          <w:tcPr>
            <w:tcW w:w="3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Realized losses</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56"/>
        </w:trPr>
        <w:tc>
          <w:tcPr>
            <w:tcW w:w="3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change in unrealized gains</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103.9</w:t>
            </w: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w:t>
            </w:r>
          </w:p>
        </w:tc>
      </w:tr>
      <w:tr>
        <w:trPr>
          <w:trHeight w:val="235"/>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82.7</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 and Goodwill</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carrying amount of intangible assets as of March 31, 2024 and December 31, 2023:</w:t>
      </w:r>
    </w:p>
    <w:p>
      <w:pPr>
        <w:spacing w:after="0" w:line="293" w:lineRule="exact"/>
        <w:rPr>
          <w:sz w:val="20"/>
          <w:szCs w:val="20"/>
          <w:color w:val="auto"/>
        </w:rPr>
      </w:pPr>
    </w:p>
    <w:tbl>
      <w:tblPr>
        <w:tblLayout w:type="fixed"/>
        <w:tblInd w:w="1740" w:type="dxa"/>
        <w:tblCellMar>
          <w:top w:w="0" w:type="dxa"/>
          <w:left w:w="0" w:type="dxa"/>
          <w:bottom w:w="0" w:type="dxa"/>
          <w:right w:w="0" w:type="dxa"/>
        </w:tblCellMar>
      </w:tblPr>
      <w:tr>
        <w:trPr>
          <w:trHeight w:val="205"/>
        </w:trPr>
        <w:tc>
          <w:tcPr>
            <w:tcW w:w="27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20" w:type="dxa"/>
            <w:vAlign w:val="bottom"/>
            <w:tcBorders>
              <w:bottom w:val="single" w:sz="8" w:color="auto"/>
            </w:tcBorders>
          </w:tcPr>
          <w:p>
            <w:pPr>
              <w:spacing w:after="0"/>
              <w:rPr>
                <w:sz w:val="17"/>
                <w:szCs w:val="17"/>
                <w:color w:val="auto"/>
              </w:rPr>
            </w:pPr>
          </w:p>
        </w:tc>
      </w:tr>
      <w:tr>
        <w:trPr>
          <w:trHeight w:val="169"/>
        </w:trPr>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0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27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29"/>
        </w:trPr>
        <w:tc>
          <w:tcPr>
            <w:tcW w:w="2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Acquired contractual rights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924.1</w:t>
            </w:r>
          </w:p>
        </w:tc>
      </w:tr>
      <w:tr>
        <w:trPr>
          <w:trHeight w:val="229"/>
        </w:trPr>
        <w:tc>
          <w:tcPr>
            <w:tcW w:w="2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(262.0)</w:t>
            </w:r>
          </w:p>
        </w:tc>
      </w:tr>
      <w:tr>
        <w:trPr>
          <w:trHeight w:val="209"/>
        </w:trPr>
        <w:tc>
          <w:tcPr>
            <w:tcW w:w="2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Finite-lived intangible assets, net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662.1</w:t>
            </w:r>
          </w:p>
        </w:tc>
      </w:tr>
      <w:tr>
        <w:trPr>
          <w:trHeight w:val="229"/>
        </w:trPr>
        <w:tc>
          <w:tcPr>
            <w:tcW w:w="2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w:t>
            </w:r>
          </w:p>
        </w:tc>
      </w:tr>
      <w:tr>
        <w:trPr>
          <w:trHeight w:val="208"/>
        </w:trPr>
        <w:tc>
          <w:tcPr>
            <w:tcW w:w="2720" w:type="dxa"/>
            <w:vAlign w:val="bottom"/>
            <w:tcBorders>
              <w:bottom w:val="single" w:sz="8" w:color="CCEEFF"/>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732.8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766.1</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00"/>
          </w:cols>
          <w:pgMar w:left="1320" w:top="1440" w:right="1379" w:bottom="0" w:gutter="0" w:footer="0" w:header="0"/>
        </w:sectPr>
      </w:pPr>
    </w:p>
    <w:p>
      <w:pPr>
        <w:spacing w:after="0" w:line="52" w:lineRule="exact"/>
        <w:rPr>
          <w:sz w:val="20"/>
          <w:szCs w:val="20"/>
          <w:color w:val="auto"/>
        </w:rPr>
      </w:pPr>
    </w:p>
    <w:p>
      <w:pPr>
        <w:ind w:firstLine="445"/>
        <w:spacing w:after="0" w:line="289" w:lineRule="auto"/>
        <w:rPr>
          <w:sz w:val="20"/>
          <w:szCs w:val="20"/>
          <w:color w:val="auto"/>
        </w:rPr>
      </w:pPr>
      <w:r>
        <w:rPr>
          <w:rFonts w:ascii="Times New Roman" w:cs="Times New Roman" w:eastAsia="Times New Roman" w:hAnsi="Times New Roman"/>
          <w:sz w:val="17"/>
          <w:szCs w:val="17"/>
          <w:color w:val="auto"/>
        </w:rPr>
        <w:t>As discussed in Note 2, Summary of Significant Accounting Policies, the Company reviews its intangible assets for impairment whenever events or changes in circumstances indicate that the carrying amount of the asset may not be recoverable, and considers factors including, but not limited to, expected cash flows from its interest in future management fees and the</w:t>
      </w:r>
    </w:p>
    <w:p>
      <w:pPr>
        <w:sectPr>
          <w:pgSz w:w="11900" w:h="16838" w:orient="portrait"/>
          <w:cols w:equalWidth="0" w:num="1">
            <w:col w:w="9200"/>
          </w:cols>
          <w:pgMar w:left="1320" w:top="1440" w:right="1379" w:bottom="0" w:gutter="0" w:footer="0" w:header="0"/>
          <w:type w:val="continuous"/>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16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16115" cy="516255"/>
                    </a:xfrm>
                    <a:prstGeom prst="rect">
                      <a:avLst/>
                    </a:prstGeom>
                    <a:noFill/>
                  </pic:spPr>
                </pic:pic>
              </a:graphicData>
            </a:graphic>
          </wp:anchor>
        </w:drawing>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9073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ability to raise new funds. For both the three months ended March 31, 2024 and 2023, the Company recorded no impairment losses.</w:t>
      </w:r>
    </w:p>
    <w:p>
      <w:pPr>
        <w:spacing w:after="0" w:line="162"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Intangible asset amortization expense was $32.6 million and $32.8 million for the three months ended March 31, 2024 and 2023, respectively, and is included in general, administrative, and other expenses in the condensed consolidated statements of operations. Certain intangible assets are held by entities of which the functional currency is not the U.S. dollar. Any corresponding currency translation is recorded in accumulated other comprehensive income (loss).</w:t>
      </w:r>
    </w:p>
    <w:p>
      <w:pPr>
        <w:spacing w:after="0" w:line="180"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expected amortization expense for 2024 through 2028 and thereafter (Dollars in millions):</w:t>
      </w:r>
    </w:p>
    <w:p>
      <w:pPr>
        <w:spacing w:after="0" w:line="27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b w:val="1"/>
          <w:bCs w:val="1"/>
          <w:color w:val="auto"/>
        </w:rPr>
        <w:t>Year ending December 31,</w:t>
      </w:r>
    </w:p>
    <w:p>
      <w:pPr>
        <w:spacing w:after="0" w:line="21" w:lineRule="exact"/>
        <w:rPr>
          <w:sz w:val="20"/>
          <w:szCs w:val="20"/>
          <w:color w:val="auto"/>
        </w:rPr>
      </w:pPr>
    </w:p>
    <w:tbl>
      <w:tblPr>
        <w:tblLayout w:type="fixed"/>
        <w:tblInd w:w="1740" w:type="dxa"/>
        <w:tblCellMar>
          <w:top w:w="0" w:type="dxa"/>
          <w:left w:w="0" w:type="dxa"/>
          <w:bottom w:w="0" w:type="dxa"/>
          <w:right w:w="0" w:type="dxa"/>
        </w:tblCellMar>
      </w:tblPr>
      <w:tr>
        <w:trPr>
          <w:trHeight w:val="263"/>
        </w:trPr>
        <w:tc>
          <w:tcPr>
            <w:tcW w:w="40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2024 (excluding the three months ended March 31, 2024)</w:t>
            </w:r>
          </w:p>
        </w:tc>
        <w:tc>
          <w:tcPr>
            <w:tcW w:w="54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r>
      <w:tr>
        <w:trPr>
          <w:trHeight w:val="283"/>
        </w:trPr>
        <w:tc>
          <w:tcPr>
            <w:tcW w:w="40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2025</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w:t>
            </w:r>
          </w:p>
        </w:tc>
      </w:tr>
      <w:tr>
        <w:trPr>
          <w:trHeight w:val="284"/>
        </w:trPr>
        <w:tc>
          <w:tcPr>
            <w:tcW w:w="4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2026</w:t>
            </w:r>
          </w:p>
        </w:tc>
        <w:tc>
          <w:tcPr>
            <w:tcW w:w="5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r>
      <w:tr>
        <w:trPr>
          <w:trHeight w:val="283"/>
        </w:trPr>
        <w:tc>
          <w:tcPr>
            <w:tcW w:w="40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2027</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w:t>
            </w:r>
          </w:p>
        </w:tc>
      </w:tr>
      <w:tr>
        <w:trPr>
          <w:trHeight w:val="283"/>
        </w:trPr>
        <w:tc>
          <w:tcPr>
            <w:tcW w:w="4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2028</w:t>
            </w:r>
          </w:p>
        </w:tc>
        <w:tc>
          <w:tcPr>
            <w:tcW w:w="5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r>
      <w:tr>
        <w:trPr>
          <w:trHeight w:val="283"/>
        </w:trPr>
        <w:tc>
          <w:tcPr>
            <w:tcW w:w="40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Thereafter</w:t>
            </w: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262"/>
        </w:trPr>
        <w:tc>
          <w:tcPr>
            <w:tcW w:w="40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628.9</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Borrowings</w:t>
      </w:r>
    </w:p>
    <w:p>
      <w:pPr>
        <w:spacing w:after="0" w:line="229" w:lineRule="exact"/>
        <w:rPr>
          <w:sz w:val="20"/>
          <w:szCs w:val="20"/>
          <w:color w:val="auto"/>
        </w:rPr>
      </w:pPr>
    </w:p>
    <w:p>
      <w:pPr>
        <w:ind w:right="720" w:firstLine="445"/>
        <w:spacing w:after="0" w:line="282" w:lineRule="auto"/>
        <w:rPr>
          <w:sz w:val="20"/>
          <w:szCs w:val="20"/>
          <w:color w:val="auto"/>
        </w:rPr>
      </w:pPr>
      <w:r>
        <w:rPr>
          <w:rFonts w:ascii="Times New Roman" w:cs="Times New Roman" w:eastAsia="Times New Roman" w:hAnsi="Times New Roman"/>
          <w:sz w:val="18"/>
          <w:szCs w:val="18"/>
          <w:color w:val="auto"/>
        </w:rPr>
        <w:t>The Company borrows and enters into credit agreements for its general operating and investment purposes. The Company’s debt obligations consist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6"/>
        </w:trPr>
        <w:tc>
          <w:tcPr>
            <w:tcW w:w="5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20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220" w:type="dxa"/>
            <w:vAlign w:val="bottom"/>
          </w:tcPr>
          <w:p>
            <w:pPr>
              <w:spacing w:after="0"/>
              <w:rPr>
                <w:sz w:val="17"/>
                <w:szCs w:val="17"/>
                <w:color w:val="auto"/>
              </w:rPr>
            </w:pP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03"/>
        </w:trPr>
        <w:tc>
          <w:tcPr>
            <w:tcW w:w="5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36"/>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7"/>
        </w:trPr>
        <w:tc>
          <w:tcPr>
            <w:tcW w:w="4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CLO Borrowings (See below)</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408.1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404.2</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431.7</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w:t>
            </w:r>
          </w:p>
        </w:tc>
      </w:tr>
      <w:tr>
        <w:trPr>
          <w:trHeight w:val="257"/>
        </w:trPr>
        <w:tc>
          <w:tcPr>
            <w:tcW w:w="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3.500%</w:t>
            </w: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9/19/2029</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425.0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422.6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422.5</w:t>
            </w:r>
          </w:p>
        </w:tc>
      </w:tr>
      <w:tr>
        <w:trPr>
          <w:trHeight w:val="256"/>
        </w:trPr>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5.625%</w:t>
            </w: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Due 3/30/2043</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600.5</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w:t>
            </w:r>
          </w:p>
        </w:tc>
      </w:tr>
      <w:tr>
        <w:trPr>
          <w:trHeight w:val="257"/>
        </w:trPr>
        <w:tc>
          <w:tcPr>
            <w:tcW w:w="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5.650%</w:t>
            </w: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9/15/2048</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346.5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w:t>
            </w:r>
          </w:p>
        </w:tc>
      </w:tr>
      <w:tr>
        <w:trPr>
          <w:trHeight w:val="256"/>
        </w:trPr>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4.625%</w:t>
            </w: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Notes Due 5/15/2061</w:t>
            </w: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500.0</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485.2</w:t>
            </w:r>
          </w:p>
        </w:tc>
        <w:tc>
          <w:tcPr>
            <w:tcW w:w="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485.1</w:t>
            </w:r>
          </w:p>
        </w:tc>
      </w:tr>
      <w:tr>
        <w:trPr>
          <w:trHeight w:val="210"/>
        </w:trPr>
        <w:tc>
          <w:tcPr>
            <w:tcW w:w="41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Total debt obligations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2,283.1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2,259.0</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2,306.7</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2,281.0</w:t>
            </w:r>
          </w:p>
        </w:tc>
      </w:tr>
      <w:tr>
        <w:trPr>
          <w:trHeight w:val="20"/>
        </w:trPr>
        <w:tc>
          <w:tcPr>
            <w:tcW w:w="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Senior Credit Facility</w:t>
      </w:r>
    </w:p>
    <w:p>
      <w:pPr>
        <w:spacing w:after="0" w:line="229" w:lineRule="exact"/>
        <w:rPr>
          <w:sz w:val="20"/>
          <w:szCs w:val="20"/>
          <w:color w:val="auto"/>
        </w:rPr>
      </w:pPr>
    </w:p>
    <w:p>
      <w:pPr>
        <w:ind w:right="80" w:firstLine="450"/>
        <w:spacing w:after="0" w:line="254" w:lineRule="auto"/>
        <w:rPr>
          <w:sz w:val="20"/>
          <w:szCs w:val="20"/>
          <w:color w:val="auto"/>
        </w:rPr>
      </w:pPr>
      <w:r>
        <w:rPr>
          <w:rFonts w:ascii="Times New Roman" w:cs="Times New Roman" w:eastAsia="Times New Roman" w:hAnsi="Times New Roman"/>
          <w:sz w:val="18"/>
          <w:szCs w:val="18"/>
          <w:color w:val="auto"/>
        </w:rPr>
        <w:t>As of March 31, 2024, the senior credit facility, which was amended on April 29, 2022, included $1.0 billion in a revolving credit facility. The Company’s borrowing capacity is subject to the ability of the financial institutions in the banking syndicate to fulfill their respective obligations under the revolving credit facility. The revolving credit facility is scheduled to mature on April 29, 2027, and principal amounts outstanding under the revolving credit facility accrue interest, at the option of the borrowers, either (a) at an alternate base rate plus an applicable margin not to exceed 0.50% per annum, or (b) at SOFR (or similar benchmark for non-U.S. dollar borrowings) plus a 0.10% adjustment and an applicable margin not to exceed 1.50% per annum (at March 31, 2024, the interest rate was 6.43%). The Company made no borrowings under the revolving credit facility during the three months ended March 31, 2024 and there was no balance outstanding at March 31, 2024.</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Global Credit Revolving Credit Facility</w:t>
      </w:r>
    </w:p>
    <w:p>
      <w:pPr>
        <w:spacing w:after="0" w:line="229"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18"/>
          <w:szCs w:val="18"/>
          <w:color w:val="auto"/>
        </w:rPr>
        <w:t>Certain subsidiaries of the Company are parties to a revolving line of credit, primarily intended to support certain lending activities within the Global Credit segment. In August 2023, the Global Credit Revolving Credit Facility was amended to increase the capacity of the existing revolving line of credit from $250 million to $300 million (the “2027 Tranche Revolving</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7620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16115" cy="76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9220"/>
          </w:cols>
          <w:pgMar w:left="1320" w:top="297" w:right="1359" w:bottom="0" w:gutter="0" w:footer="0" w:header="0"/>
        </w:sectPr>
      </w:pPr>
    </w:p>
    <w:bookmarkStart w:id="34" w:name="page35"/>
    <w:bookmarkEnd w:id="34"/>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Loans”) and extend the maturity date to September 2027. This amendment also provides for a new tranche of revolving loans with a capacity of $200 million maturing in August 2024 (the “2024 Tranche Revolving Loans,” together with the 2027 Tranche Revolving Loans, the “Global Credit Revolving Credit Facility”). The Company’s borrowing capacity is subject to the ability of the financial institutions in the banking syndicate to fulfill their respective obligations under the credit facility. Principal amounts outstanding under the facility accrue interest at applicable SOFR or Eurocurrency rates plus an applicable margin of 2.00% or an alternate base rate plus an applicable margin of 1.00%. The Company made no borrowings under the credit facility during the three months ended March 31, 2024, and there was no borrowing outstanding under this credit facility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-1100455</wp:posOffset>
            </wp:positionV>
            <wp:extent cx="7016115" cy="83000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16115" cy="8300085"/>
                    </a:xfrm>
                    <a:prstGeom prst="rect">
                      <a:avLst/>
                    </a:prstGeom>
                    <a:noFill/>
                  </pic:spPr>
                </pic:pic>
              </a:graphicData>
            </a:graphic>
          </wp:anchor>
        </w:drawing>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CLO Borrowings</w:t>
      </w:r>
    </w:p>
    <w:p>
      <w:pPr>
        <w:spacing w:after="0" w:line="229"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For certain of the Company’s CLOs, the Company finances a portion of its investment in the CLOs through the proceeds received from term loans and other financing arrangements with financial institutions. The Company’s outstanding CLO borrowings consist of the following (Dollars in millions):</w:t>
      </w:r>
    </w:p>
    <w:p>
      <w:pPr>
        <w:spacing w:after="0" w:line="186"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200" w:type="dxa"/>
            <w:vAlign w:val="bottom"/>
          </w:tcPr>
          <w:p>
            <w:pPr>
              <w:spacing w:after="0"/>
              <w:rPr>
                <w:sz w:val="16"/>
                <w:szCs w:val="16"/>
                <w:color w:val="auto"/>
              </w:rPr>
            </w:pPr>
          </w:p>
        </w:tc>
        <w:tc>
          <w:tcPr>
            <w:tcW w:w="12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 as of</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2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Formation Date</w:t>
            </w:r>
          </w:p>
        </w:tc>
        <w:tc>
          <w:tcPr>
            <w:tcW w:w="6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200" w:type="dxa"/>
            <w:vAlign w:val="bottom"/>
          </w:tcPr>
          <w:p>
            <w:pPr>
              <w:spacing w:after="0"/>
              <w:rPr>
                <w:sz w:val="14"/>
                <w:szCs w:val="14"/>
                <w:color w:val="auto"/>
              </w:rPr>
            </w:pPr>
          </w:p>
        </w:tc>
        <w:tc>
          <w:tcPr>
            <w:tcW w:w="1220" w:type="dxa"/>
            <w:vAlign w:val="bottom"/>
          </w:tcPr>
          <w:p>
            <w:pPr>
              <w:jc w:val="right"/>
              <w:ind w:right="19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28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Maturity Date (1)</w:t>
            </w:r>
          </w:p>
        </w:tc>
        <w:tc>
          <w:tcPr>
            <w:tcW w:w="80" w:type="dxa"/>
            <w:vAlign w:val="bottom"/>
            <w:vMerge w:val="restart"/>
          </w:tcPr>
          <w:p>
            <w:pPr>
              <w:spacing w:after="0"/>
              <w:rPr>
                <w:sz w:val="14"/>
                <w:szCs w:val="14"/>
                <w:color w:val="auto"/>
              </w:rPr>
            </w:pPr>
          </w:p>
        </w:tc>
        <w:tc>
          <w:tcPr>
            <w:tcW w:w="146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5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10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February 28, 2017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34.2</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2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September 21, 2029</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6.30%</w:t>
            </w:r>
          </w:p>
        </w:tc>
        <w:tc>
          <w:tcPr>
            <w:tcW w:w="104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70"/>
        </w:trPr>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June 29, 2017</w:t>
            </w: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40.7</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80" w:type="dxa"/>
            <w:vAlign w:val="bottom"/>
          </w:tcPr>
          <w:p>
            <w:pPr>
              <w:spacing w:after="0"/>
              <w:rPr>
                <w:sz w:val="23"/>
                <w:szCs w:val="23"/>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July 20, 2030</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6.77%</w:t>
            </w:r>
          </w:p>
        </w:tc>
        <w:tc>
          <w:tcPr>
            <w:tcW w:w="104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70"/>
        </w:trPr>
        <w:tc>
          <w:tcPr>
            <w:tcW w:w="1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December 6, 2017</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38.5</w:t>
            </w: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January 15, 2031</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6.97%</w:t>
            </w:r>
          </w:p>
        </w:tc>
        <w:tc>
          <w:tcPr>
            <w:tcW w:w="104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70"/>
        </w:trPr>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March 15, 2019</w:t>
            </w: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tcPr>
          <w:p>
            <w:pPr>
              <w:spacing w:after="0"/>
              <w:rPr>
                <w:sz w:val="23"/>
                <w:szCs w:val="23"/>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March 15, 2032</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12.05%</w:t>
            </w:r>
          </w:p>
        </w:tc>
        <w:tc>
          <w:tcPr>
            <w:tcW w:w="104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70"/>
        </w:trPr>
        <w:tc>
          <w:tcPr>
            <w:tcW w:w="1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August 20, 2019</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August 15, 2032</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8.64%</w:t>
            </w:r>
          </w:p>
        </w:tc>
        <w:tc>
          <w:tcPr>
            <w:tcW w:w="104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70"/>
        </w:trPr>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September 15, 2020</w:t>
            </w: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19.2</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80" w:type="dxa"/>
            <w:vAlign w:val="bottom"/>
          </w:tcPr>
          <w:p>
            <w:pPr>
              <w:spacing w:after="0"/>
              <w:rPr>
                <w:sz w:val="23"/>
                <w:szCs w:val="23"/>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April 15, 2033</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5.53%</w:t>
            </w:r>
          </w:p>
        </w:tc>
        <w:tc>
          <w:tcPr>
            <w:tcW w:w="104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70"/>
        </w:trPr>
        <w:tc>
          <w:tcPr>
            <w:tcW w:w="1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January 8, 2021</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w:t>
            </w: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January 15, 2034</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6.44%</w:t>
            </w:r>
          </w:p>
        </w:tc>
        <w:tc>
          <w:tcPr>
            <w:tcW w:w="104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70"/>
        </w:trPr>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March 9, 2021</w:t>
            </w: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14.8</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80" w:type="dxa"/>
            <w:vAlign w:val="bottom"/>
          </w:tcPr>
          <w:p>
            <w:pPr>
              <w:spacing w:after="0"/>
              <w:rPr>
                <w:sz w:val="23"/>
                <w:szCs w:val="23"/>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August 15, 2030</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5.34%</w:t>
            </w:r>
          </w:p>
        </w:tc>
        <w:tc>
          <w:tcPr>
            <w:tcW w:w="104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70"/>
        </w:trPr>
        <w:tc>
          <w:tcPr>
            <w:tcW w:w="1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March 30, 2021</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w:t>
            </w: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March 15, 2032</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5.65%</w:t>
            </w:r>
          </w:p>
        </w:tc>
        <w:tc>
          <w:tcPr>
            <w:tcW w:w="104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70"/>
        </w:trPr>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April 21, 2021</w:t>
            </w: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tcPr>
          <w:p>
            <w:pPr>
              <w:spacing w:after="0"/>
              <w:rPr>
                <w:sz w:val="23"/>
                <w:szCs w:val="23"/>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April 15, 2033</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9.79%</w:t>
            </w:r>
          </w:p>
        </w:tc>
        <w:tc>
          <w:tcPr>
            <w:tcW w:w="104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70"/>
        </w:trPr>
        <w:tc>
          <w:tcPr>
            <w:tcW w:w="1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May 21, 2021</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w:t>
            </w: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November 17, 2031</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5.27%</w:t>
            </w:r>
          </w:p>
        </w:tc>
        <w:tc>
          <w:tcPr>
            <w:tcW w:w="104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70"/>
        </w:trPr>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June 4, 2021</w:t>
            </w: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80" w:type="dxa"/>
            <w:vAlign w:val="bottom"/>
          </w:tcPr>
          <w:p>
            <w:pPr>
              <w:spacing w:after="0"/>
              <w:rPr>
                <w:sz w:val="23"/>
                <w:szCs w:val="23"/>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January 16, 2034</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6.22%</w:t>
            </w:r>
          </w:p>
        </w:tc>
        <w:tc>
          <w:tcPr>
            <w:tcW w:w="104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70"/>
        </w:trPr>
        <w:tc>
          <w:tcPr>
            <w:tcW w:w="1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June 10, 2021</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November 17, 2031</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6.75%</w:t>
            </w:r>
          </w:p>
        </w:tc>
        <w:tc>
          <w:tcPr>
            <w:tcW w:w="104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70"/>
        </w:trPr>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July 15, 2021</w:t>
            </w: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80" w:type="dxa"/>
            <w:vAlign w:val="bottom"/>
          </w:tcPr>
          <w:p>
            <w:pPr>
              <w:spacing w:after="0"/>
              <w:rPr>
                <w:sz w:val="23"/>
                <w:szCs w:val="23"/>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July 15, 2034</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6.23%</w:t>
            </w:r>
          </w:p>
        </w:tc>
        <w:tc>
          <w:tcPr>
            <w:tcW w:w="104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70"/>
        </w:trPr>
        <w:tc>
          <w:tcPr>
            <w:tcW w:w="1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July 20, 2021</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w:t>
            </w: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July 20, 2031</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6.25%</w:t>
            </w:r>
          </w:p>
        </w:tc>
        <w:tc>
          <w:tcPr>
            <w:tcW w:w="104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70"/>
        </w:trPr>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August 4, 2021</w:t>
            </w: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16.3</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80" w:type="dxa"/>
            <w:vAlign w:val="bottom"/>
          </w:tcPr>
          <w:p>
            <w:pPr>
              <w:spacing w:after="0"/>
              <w:rPr>
                <w:sz w:val="23"/>
                <w:szCs w:val="23"/>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August 15, 2032</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5.65%</w:t>
            </w:r>
          </w:p>
        </w:tc>
        <w:tc>
          <w:tcPr>
            <w:tcW w:w="104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70"/>
        </w:trPr>
        <w:tc>
          <w:tcPr>
            <w:tcW w:w="1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October 27, 2021</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w:t>
            </w: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October 15, 2035</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6.35%</w:t>
            </w:r>
          </w:p>
        </w:tc>
        <w:tc>
          <w:tcPr>
            <w:tcW w:w="104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70"/>
        </w:trPr>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November 5, 2021</w:t>
            </w: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80" w:type="dxa"/>
            <w:vAlign w:val="bottom"/>
          </w:tcPr>
          <w:p>
            <w:pPr>
              <w:spacing w:after="0"/>
              <w:rPr>
                <w:sz w:val="23"/>
                <w:szCs w:val="23"/>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January 14, 2034</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6.03%</w:t>
            </w:r>
          </w:p>
        </w:tc>
        <w:tc>
          <w:tcPr>
            <w:tcW w:w="104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70"/>
        </w:trPr>
        <w:tc>
          <w:tcPr>
            <w:tcW w:w="1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January 6, 2022</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w:t>
            </w: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February 15, 2035</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6.28%</w:t>
            </w:r>
          </w:p>
        </w:tc>
        <w:tc>
          <w:tcPr>
            <w:tcW w:w="104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70"/>
        </w:trPr>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February 22, 2022</w:t>
            </w: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80" w:type="dxa"/>
            <w:vAlign w:val="bottom"/>
          </w:tcPr>
          <w:p>
            <w:pPr>
              <w:spacing w:after="0"/>
              <w:rPr>
                <w:sz w:val="23"/>
                <w:szCs w:val="23"/>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November 10, 2035</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6.35%</w:t>
            </w:r>
          </w:p>
        </w:tc>
        <w:tc>
          <w:tcPr>
            <w:tcW w:w="104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70"/>
        </w:trPr>
        <w:tc>
          <w:tcPr>
            <w:tcW w:w="1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July 13, 2022</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w:t>
            </w: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January 13, 2035</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7.26%</w:t>
            </w:r>
          </w:p>
        </w:tc>
        <w:tc>
          <w:tcPr>
            <w:tcW w:w="104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70"/>
        </w:trPr>
        <w:tc>
          <w:tcPr>
            <w:tcW w:w="1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October 25, 2022</w:t>
            </w: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17.7</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80" w:type="dxa"/>
            <w:vAlign w:val="bottom"/>
          </w:tcPr>
          <w:p>
            <w:pPr>
              <w:spacing w:after="0"/>
              <w:rPr>
                <w:sz w:val="23"/>
                <w:szCs w:val="23"/>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October 25, 2035</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7.69%</w:t>
            </w:r>
          </w:p>
        </w:tc>
        <w:tc>
          <w:tcPr>
            <w:tcW w:w="104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70"/>
        </w:trPr>
        <w:tc>
          <w:tcPr>
            <w:tcW w:w="1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September 5, 2023</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c>
          <w:tcPr>
            <w:tcW w:w="3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August 28, 2031</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5.47%</w:t>
            </w:r>
          </w:p>
        </w:tc>
        <w:tc>
          <w:tcPr>
            <w:tcW w:w="104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408.1</w:t>
            </w:r>
          </w:p>
        </w:tc>
        <w:tc>
          <w:tcPr>
            <w:tcW w:w="300" w:type="dxa"/>
            <w:vAlign w:val="bottom"/>
          </w:tcPr>
          <w:p>
            <w:pPr>
              <w:spacing w:after="0"/>
              <w:rPr>
                <w:sz w:val="19"/>
                <w:szCs w:val="19"/>
                <w:color w:val="auto"/>
              </w:rPr>
            </w:pP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431.7</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hanging="329"/>
        <w:spacing w:after="0"/>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Maturity date is earlier of date indicated or the date that the CLO is dissolved.</w:t>
      </w:r>
    </w:p>
    <w:p>
      <w:pPr>
        <w:spacing w:after="0" w:line="23" w:lineRule="exact"/>
        <w:rPr>
          <w:rFonts w:ascii="Times New Roman" w:cs="Times New Roman" w:eastAsia="Times New Roman" w:hAnsi="Times New Roman"/>
          <w:sz w:val="16"/>
          <w:szCs w:val="16"/>
          <w:color w:val="auto"/>
        </w:rPr>
      </w:pPr>
    </w:p>
    <w:p>
      <w:pPr>
        <w:ind w:left="660" w:hanging="329"/>
        <w:spacing w:after="0"/>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Incurs interest at EURIBOR plus applicable margins as defined in the agreement.</w:t>
      </w:r>
    </w:p>
    <w:p>
      <w:pPr>
        <w:spacing w:after="0" w:line="5" w:lineRule="exact"/>
        <w:rPr>
          <w:rFonts w:ascii="Times New Roman" w:cs="Times New Roman" w:eastAsia="Times New Roman" w:hAnsi="Times New Roman"/>
          <w:sz w:val="16"/>
          <w:szCs w:val="16"/>
          <w:color w:val="auto"/>
        </w:rPr>
      </w:pPr>
    </w:p>
    <w:p>
      <w:pPr>
        <w:ind w:left="660" w:hanging="329"/>
        <w:spacing w:after="0"/>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Incurs interest at the average effective interest rate of each class of purchased securities plus 0.50% spread percentage.</w:t>
      </w:r>
    </w:p>
    <w:p>
      <w:pPr>
        <w:spacing w:after="0" w:line="8" w:lineRule="exact"/>
        <w:rPr>
          <w:rFonts w:ascii="Times New Roman" w:cs="Times New Roman" w:eastAsia="Times New Roman" w:hAnsi="Times New Roman"/>
          <w:sz w:val="16"/>
          <w:szCs w:val="16"/>
          <w:color w:val="auto"/>
        </w:rPr>
      </w:pPr>
    </w:p>
    <w:p>
      <w:pPr>
        <w:ind w:left="660" w:hanging="329"/>
        <w:spacing w:after="0"/>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Incurs interest at SOFR plus 1.45%.</w:t>
      </w:r>
    </w:p>
    <w:p>
      <w:pPr>
        <w:spacing w:after="0" w:line="15" w:lineRule="exact"/>
        <w:rPr>
          <w:rFonts w:ascii="Times New Roman" w:cs="Times New Roman" w:eastAsia="Times New Roman" w:hAnsi="Times New Roman"/>
          <w:sz w:val="16"/>
          <w:szCs w:val="16"/>
          <w:color w:val="auto"/>
        </w:rPr>
      </w:pPr>
    </w:p>
    <w:p>
      <w:pPr>
        <w:ind w:left="660" w:hanging="329"/>
        <w:spacing w:after="0"/>
        <w:tabs>
          <w:tab w:leader="none" w:pos="6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Incurs interest at SOFR plus 1.66%.</w:t>
      </w:r>
    </w:p>
    <w:p>
      <w:pPr>
        <w:spacing w:after="0" w:line="212" w:lineRule="exact"/>
        <w:rPr>
          <w:sz w:val="20"/>
          <w:szCs w:val="20"/>
          <w:color w:val="auto"/>
        </w:rPr>
      </w:pPr>
    </w:p>
    <w:p>
      <w:pPr>
        <w:jc w:val="both"/>
        <w:ind w:right="20" w:firstLine="445"/>
        <w:spacing w:after="0" w:line="289" w:lineRule="auto"/>
        <w:rPr>
          <w:sz w:val="20"/>
          <w:szCs w:val="20"/>
          <w:color w:val="auto"/>
        </w:rPr>
      </w:pPr>
      <w:r>
        <w:rPr>
          <w:rFonts w:ascii="Times New Roman" w:cs="Times New Roman" w:eastAsia="Times New Roman" w:hAnsi="Times New Roman"/>
          <w:sz w:val="17"/>
          <w:szCs w:val="17"/>
          <w:color w:val="auto"/>
        </w:rPr>
        <w:t>The CLO term loans are secured by the Company’s investments in the respective CLO, have a general unsecured interest in the Carlyle entity that manages the CLO, and generally do not have recourse to any other Carlyle entity. Interest expense for the three months ended March 31, 2024 and 2023 was $6.8 million and $5.2 million, respectively. The fair value of the</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2133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16115" cy="213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balance of the CLO term loans at March 31, 2024 approximated par value based on current market rates for similar debt instruments. These CLO term loans are classified as Level III within the fair value hierarchy.</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European CLO Financing - February 28, 2017</w:t>
      </w:r>
    </w:p>
    <w:p>
      <w:pPr>
        <w:spacing w:after="0" w:line="227"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On February 28, 2017, a subsidiary of the Company entered into a financing agreement with several financial institutions under which these financial institutions provided a €31.7 million term loan ($34.2 million at March 31, 2024) to the Company. This term loan is secured by the Company’s investments in the retained notes in certain European CLOs that were formed in 2014 and 2015. This term loan will mature on the earlier of September 21, 2029 or the date that the certain European CLO retained notes have been redeemed. The Company may prepay the term loan in whole or in part at any time. Interest on this</w:t>
      </w:r>
    </w:p>
    <w:p>
      <w:pPr>
        <w:sectPr>
          <w:pgSz w:w="11900" w:h="16932" w:orient="portrait"/>
          <w:cols w:equalWidth="0" w:num="1">
            <w:col w:w="9180"/>
          </w:cols>
          <w:pgMar w:left="1320" w:top="121" w:right="1399" w:bottom="0" w:gutter="0" w:footer="0" w:header="0"/>
        </w:sectPr>
      </w:pPr>
    </w:p>
    <w:bookmarkStart w:id="35" w:name="page36"/>
    <w:bookmarkEnd w:id="35"/>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accrues at EURIBOR plus applicable margins (6.30% at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-119380</wp:posOffset>
            </wp:positionV>
            <wp:extent cx="7016115" cy="69284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16115" cy="6928485"/>
                    </a:xfrm>
                    <a:prstGeom prst="rect">
                      <a:avLst/>
                    </a:prstGeom>
                    <a:noFill/>
                  </pic:spPr>
                </pic:pic>
              </a:graphicData>
            </a:graphic>
          </wp:anchor>
        </w:drawing>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Master Credit Agreement - Term Loans</w:t>
      </w:r>
    </w:p>
    <w:p>
      <w:pPr>
        <w:spacing w:after="0" w:line="227"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The Company assumed liabilities under master credit agreements previously entered into by CBAM under which a financial institution provided term loans to CBAM for the purchase of eligible interests in CLOs (see Note 3 to the consolidated financial statements included in the Company’s Annual Report on Form 10-K for the year ended December 31, 2023). Term loans issued under these master credit agreements are secured by the Company’s investment in the respective CLO as well as any senior management fee and subordinated management fee payable by each CLO. Term loans generally bear interest at SOFR plus a weighted average spread over SOFR on the CLO notes, which is due quarterly. As of March 31, 2024, term loans under these agreements had $79.2 million outstanding. The master credit agreements mature in July 2030 and January 2031, respectively.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CLO Repurchase Agreements</w:t>
      </w:r>
    </w:p>
    <w:p>
      <w:pPr>
        <w:spacing w:after="0" w:line="227"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On February 5, 2019, the Company entered into a master credit facility agreement (the “Carlyle CLO Financing Facility”) to finance a portion of the risk retention investments in certain European CLOs managed by the Company. Each transaction entered into under the Carlyle CLO Financing Facility will bear interest at a rate based on the weighted average effective interest rate of each class of securities that have been sold plus a spread to be agreed upon by the parties. As of March 31, 2024, €211.0 million ($227.7 million) was outstanding under the Carlyle CLO Financing Facility. Additional borrowings may be made on terms agreed upon by the Company and the counterparty subject to the terms and conditions of the Carlyle CLO Financing Facility.</w:t>
      </w:r>
    </w:p>
    <w:p>
      <w:pPr>
        <w:spacing w:after="0" w:line="189"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Each transaction entered into under the CLO Financing Facility provides for payment netting and, in the case of a default or similar event with respect to the counterparty to the CLO Financing Facility, provides for netting across transactions. Generally, upon a counterparty default, the Company can terminate all transactions under the CLO Financing Facility and offset amounts it owes in respect of any one transaction against collateral, if any, or other amounts it has received in respect of any other transactions under the CLO Financing Facility; provided, however, that in the case of certain defaults, the Company may only be able to terminate and offset solely with respect to the transaction affected by the default. During the term of a transaction entered into under the CLO Financing Facility, the Company will deliver cash or additional securities acceptable to the counterparty if the securities sold are in default. Upon termination of a transaction, the Company will repurchase the previously sold securities from the counterparty at a previously determined repurchase price. The CLO Financing Facility may be terminated at any time upon certain defaults or circumstances agreed upon by the parties.</w:t>
      </w:r>
    </w:p>
    <w:p>
      <w:pPr>
        <w:spacing w:after="0" w:line="194"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repurchase agreements may result in credit exposure in the event the counterparty to the transaction is unable to fulfill its contractual obligations. The Company minimizes the credit risk associated with these activities by monitoring counterparty credit exposure and collateral values. Other than margin requirements, the Company is not subject to additional terms or contingencies which would expose the Company to additional obligations based upon the performance of the securities pledged as collateral.</w:t>
      </w:r>
    </w:p>
    <w:p>
      <w:pPr>
        <w:spacing w:after="0" w:line="183" w:lineRule="exact"/>
        <w:rPr>
          <w:sz w:val="20"/>
          <w:szCs w:val="20"/>
          <w:color w:val="auto"/>
        </w:rPr>
      </w:pPr>
    </w:p>
    <w:p>
      <w:pPr>
        <w:ind w:right="80" w:firstLine="445"/>
        <w:spacing w:after="0" w:line="274" w:lineRule="auto"/>
        <w:rPr>
          <w:sz w:val="20"/>
          <w:szCs w:val="20"/>
          <w:color w:val="auto"/>
        </w:rPr>
      </w:pPr>
      <w:r>
        <w:rPr>
          <w:rFonts w:ascii="Times New Roman" w:cs="Times New Roman" w:eastAsia="Times New Roman" w:hAnsi="Times New Roman"/>
          <w:sz w:val="17"/>
          <w:szCs w:val="17"/>
          <w:color w:val="auto"/>
        </w:rPr>
        <w:t>The Company assumed liabilities under a master credit facility agreement previously entered into by CBAM (the “CBAM CLO Financing Facility,” together with the Carlyle CLO Financing Facility, the “CLO Financing Facilities”) to finance a portion of the risk retention investments in certain European CLOs managed by CBAM (see Note 3 to the consolidated financial statements included in the Company’s Annual Report on Form 10-K for the year ended December 31, 2023). The maximum facility amount is €100.0 million, but may be expanded on such terms agreed upon by the Company and the counterparty subject to the terms and conditions of the CBAM CLO Financing Facility. Each transaction entered into under</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35052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16115" cy="350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CBAM CLO Financing Facility will bear interest at a rate based on the weighted average effective interest rate of each class of securities that have been sold plus a spread to be agreed upon by the parties. As of March 31, 2024, €61.9 million ($66.8 million) was outstanding under the CBAM CLO Financing Facility.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29"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Certain indirect subsidiaries of the Company have issued long term borrowings in the form of senior notes, on which interest is payable semi-annually in arrears. The following table provides information regarding these senior notes (Dollars in millions):</w:t>
      </w:r>
    </w:p>
    <w:p>
      <w:pPr>
        <w:spacing w:after="0" w:line="151" w:lineRule="exact"/>
        <w:rPr>
          <w:sz w:val="20"/>
          <w:szCs w:val="20"/>
          <w:color w:val="auto"/>
        </w:rPr>
      </w:pPr>
    </w:p>
    <w:tbl>
      <w:tblPr>
        <w:tblLayout w:type="fixed"/>
        <w:tblInd w:w="880" w:type="dxa"/>
        <w:tblCellMar>
          <w:top w:w="0" w:type="dxa"/>
          <w:left w:w="0" w:type="dxa"/>
          <w:bottom w:w="0" w:type="dxa"/>
          <w:right w:w="0" w:type="dxa"/>
        </w:tblCellMar>
      </w:tblPr>
      <w:tr>
        <w:trPr>
          <w:trHeight w:val="212"/>
        </w:trPr>
        <w:tc>
          <w:tcPr>
            <w:tcW w:w="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ind w:left="280"/>
              <w:spacing w:after="0" w:line="209" w:lineRule="exact"/>
              <w:rPr>
                <w:sz w:val="20"/>
                <w:szCs w:val="20"/>
                <w:color w:val="auto"/>
              </w:rPr>
            </w:pPr>
            <w:r>
              <w:rPr>
                <w:rFonts w:ascii="Times New Roman" w:cs="Times New Roman" w:eastAsia="Times New Roman" w:hAnsi="Times New Roman"/>
                <w:sz w:val="16"/>
                <w:szCs w:val="16"/>
                <w:b w:val="1"/>
                <w:bCs w:val="1"/>
                <w:color w:val="auto"/>
              </w:rPr>
              <w:t xml:space="preserve">Fair Value </w:t>
            </w:r>
            <w:r>
              <w:rPr>
                <w:rFonts w:ascii="Times New Roman" w:cs="Times New Roman" w:eastAsia="Times New Roman" w:hAnsi="Times New Roman"/>
                <w:sz w:val="21"/>
                <w:szCs w:val="21"/>
                <w:b w:val="1"/>
                <w:bCs w:val="1"/>
                <w:color w:val="auto"/>
                <w:vertAlign w:val="superscript"/>
              </w:rPr>
              <w:t>(1)</w:t>
            </w:r>
          </w:p>
        </w:tc>
        <w:tc>
          <w:tcPr>
            <w:tcW w:w="156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0" w:type="dxa"/>
            <w:vAlign w:val="bottom"/>
          </w:tcPr>
          <w:p>
            <w:pPr>
              <w:spacing w:after="0"/>
              <w:rPr>
                <w:sz w:val="1"/>
                <w:szCs w:val="1"/>
                <w:color w:val="auto"/>
              </w:rPr>
            </w:pPr>
          </w:p>
        </w:tc>
      </w:tr>
      <w:tr>
        <w:trPr>
          <w:trHeight w:val="212"/>
        </w:trPr>
        <w:tc>
          <w:tcPr>
            <w:tcW w:w="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166"/>
        </w:trPr>
        <w:tc>
          <w:tcPr>
            <w:tcW w:w="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gridSpan w:val="2"/>
          </w:tcPr>
          <w:p>
            <w:pPr>
              <w:jc w:val="right"/>
              <w:ind w:right="19"/>
              <w:spacing w:after="0" w:line="166" w:lineRule="exact"/>
              <w:rPr>
                <w:sz w:val="20"/>
                <w:szCs w:val="20"/>
                <w:color w:val="auto"/>
              </w:rPr>
            </w:pPr>
            <w:r>
              <w:rPr>
                <w:rFonts w:ascii="Times New Roman" w:cs="Times New Roman" w:eastAsia="Times New Roman" w:hAnsi="Times New Roman"/>
                <w:sz w:val="16"/>
                <w:szCs w:val="16"/>
                <w:b w:val="1"/>
                <w:bCs w:val="1"/>
                <w:color w:val="auto"/>
              </w:rPr>
              <w:t>Aggregate</w:t>
            </w: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gridSpan w:val="2"/>
          </w:tcPr>
          <w:p>
            <w:pPr>
              <w:jc w:val="right"/>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9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4"/>
                <w:szCs w:val="14"/>
                <w:color w:val="auto"/>
              </w:rPr>
            </w:pPr>
          </w:p>
        </w:tc>
        <w:tc>
          <w:tcPr>
            <w:tcW w:w="5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2"/>
        </w:trPr>
        <w:tc>
          <w:tcPr>
            <w:tcW w:w="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24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31, 2023</w:t>
            </w: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3.500%</w:t>
            </w: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Senior Notes Due 9/19/2029 </w:t>
            </w:r>
            <w:r>
              <w:rPr>
                <w:rFonts w:ascii="Times New Roman" w:cs="Times New Roman" w:eastAsia="Times New Roman" w:hAnsi="Times New Roman"/>
                <w:sz w:val="21"/>
                <w:szCs w:val="21"/>
                <w:color w:val="auto"/>
                <w:vertAlign w:val="superscript"/>
              </w:rPr>
              <w:t>(2)</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425.0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393.9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401.9</w:t>
            </w:r>
          </w:p>
        </w:tc>
        <w:tc>
          <w:tcPr>
            <w:tcW w:w="2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56"/>
        </w:trPr>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5.625%</w:t>
            </w: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Senior Notes Due 3/30/2043 </w:t>
            </w:r>
            <w:r>
              <w:rPr>
                <w:rFonts w:ascii="Times New Roman" w:cs="Times New Roman" w:eastAsia="Times New Roman" w:hAnsi="Times New Roman"/>
                <w:sz w:val="21"/>
                <w:szCs w:val="21"/>
                <w:color w:val="auto"/>
                <w:vertAlign w:val="superscript"/>
              </w:rPr>
              <w:t>(3)</w:t>
            </w:r>
          </w:p>
        </w:tc>
        <w:tc>
          <w:tcPr>
            <w:tcW w:w="40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600.0</w:t>
            </w:r>
          </w:p>
        </w:tc>
        <w:tc>
          <w:tcPr>
            <w:tcW w:w="240" w:type="dxa"/>
            <w:vAlign w:val="bottom"/>
          </w:tcPr>
          <w:p>
            <w:pPr>
              <w:spacing w:after="0"/>
              <w:rPr>
                <w:sz w:val="22"/>
                <w:szCs w:val="22"/>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588.0</w:t>
            </w:r>
          </w:p>
        </w:tc>
        <w:tc>
          <w:tcPr>
            <w:tcW w:w="20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594.6</w:t>
            </w:r>
          </w:p>
        </w:tc>
        <w:tc>
          <w:tcPr>
            <w:tcW w:w="20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8.4</w:t>
            </w: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65"/>
        </w:trPr>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5.650%</w:t>
            </w:r>
          </w:p>
        </w:tc>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Senior Notes Due 9/15/2048 </w:t>
            </w:r>
            <w:r>
              <w:rPr>
                <w:rFonts w:ascii="Times New Roman" w:cs="Times New Roman" w:eastAsia="Times New Roman" w:hAnsi="Times New Roman"/>
                <w:sz w:val="21"/>
                <w:szCs w:val="21"/>
                <w:color w:val="auto"/>
                <w:vertAlign w:val="superscript"/>
              </w:rPr>
              <w:t>(4)</w:t>
            </w:r>
          </w:p>
        </w:tc>
        <w:tc>
          <w:tcPr>
            <w:tcW w:w="40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350.0</w:t>
            </w:r>
          </w:p>
        </w:tc>
        <w:tc>
          <w:tcPr>
            <w:tcW w:w="240" w:type="dxa"/>
            <w:vAlign w:val="bottom"/>
          </w:tcPr>
          <w:p>
            <w:pPr>
              <w:spacing w:after="0"/>
              <w:rPr>
                <w:sz w:val="23"/>
                <w:szCs w:val="23"/>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337.8</w:t>
            </w:r>
          </w:p>
        </w:tc>
        <w:tc>
          <w:tcPr>
            <w:tcW w:w="2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336.0</w:t>
            </w:r>
          </w:p>
        </w:tc>
        <w:tc>
          <w:tcPr>
            <w:tcW w:w="20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5.0</w:t>
            </w:r>
          </w:p>
        </w:tc>
        <w:tc>
          <w:tcPr>
            <w:tcW w:w="2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2"/>
        </w:trPr>
        <w:tc>
          <w:tcPr>
            <w:tcW w:w="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bl>
    <w:p>
      <w:pPr>
        <w:sectPr>
          <w:pgSz w:w="11900" w:h="16912" w:orient="portrait"/>
          <w:cols w:equalWidth="0" w:num="1">
            <w:col w:w="9240"/>
          </w:cols>
          <w:pgMar w:left="1320" w:top="121" w:right="1339" w:bottom="0" w:gutter="0" w:footer="0" w:header="0"/>
        </w:sectPr>
      </w:pPr>
    </w:p>
    <w:bookmarkStart w:id="36" w:name="page37"/>
    <w:bookmarkEnd w:id="36"/>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5568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16115" cy="5556885"/>
                    </a:xfrm>
                    <a:prstGeom prst="rect">
                      <a:avLst/>
                    </a:prstGeom>
                    <a:noFill/>
                  </pic:spPr>
                </pic:pic>
              </a:graphicData>
            </a:graphic>
          </wp:anchor>
        </w:drawing>
      </w:r>
    </w:p>
    <w:p>
      <w:pPr>
        <w:ind w:left="1140" w:right="300" w:hanging="323"/>
        <w:spacing w:after="0" w:line="258" w:lineRule="auto"/>
        <w:tabs>
          <w:tab w:leader="none" w:pos="11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accrued interest. Fair value is based on indicative quotes and the notes are cla</w:t>
      </w:r>
      <w:r>
        <w:rPr>
          <w:rFonts w:ascii="Times New Roman" w:cs="Times New Roman" w:eastAsia="Times New Roman" w:hAnsi="Times New Roman"/>
          <w:sz w:val="16"/>
          <w:szCs w:val="16"/>
          <w:color w:val="auto"/>
          <w:strike w:val="1"/>
        </w:rPr>
        <w:t>ssified as Level II within</w:t>
      </w:r>
      <w:r>
        <w:rPr>
          <w:rFonts w:ascii="Times New Roman" w:cs="Times New Roman" w:eastAsia="Times New Roman" w:hAnsi="Times New Roman"/>
          <w:sz w:val="16"/>
          <w:szCs w:val="16"/>
          <w:color w:val="auto"/>
        </w:rPr>
        <w:t xml:space="preserve"> the fair value hierarchy.</w:t>
      </w:r>
    </w:p>
    <w:p>
      <w:pPr>
        <w:ind w:left="1140" w:hanging="323"/>
        <w:spacing w:after="0"/>
        <w:tabs>
          <w:tab w:leader="none" w:pos="11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Issued in September 2019 at 99.841% of par.</w:t>
      </w:r>
    </w:p>
    <w:p>
      <w:pPr>
        <w:spacing w:after="0" w:line="8" w:lineRule="exact"/>
        <w:rPr>
          <w:rFonts w:ascii="Times New Roman" w:cs="Times New Roman" w:eastAsia="Times New Roman" w:hAnsi="Times New Roman"/>
          <w:sz w:val="16"/>
          <w:szCs w:val="16"/>
          <w:color w:val="auto"/>
        </w:rPr>
      </w:pPr>
    </w:p>
    <w:p>
      <w:pPr>
        <w:ind w:left="1140" w:right="140" w:hanging="323"/>
        <w:spacing w:after="0" w:line="256" w:lineRule="auto"/>
        <w:tabs>
          <w:tab w:leader="none" w:pos="11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Issued $400.0 million in aggregate principal at 99.583% of par in March 2013. An additional $200.0 million in aggregate principal was issued at 104.315% of par in March 2014, and is treated as a single class with the outstanding $400.0 million in senior notes previously issued.</w:t>
      </w:r>
    </w:p>
    <w:p>
      <w:pPr>
        <w:spacing w:after="0" w:line="1" w:lineRule="exact"/>
        <w:rPr>
          <w:rFonts w:ascii="Times New Roman" w:cs="Times New Roman" w:eastAsia="Times New Roman" w:hAnsi="Times New Roman"/>
          <w:sz w:val="16"/>
          <w:szCs w:val="16"/>
          <w:color w:val="auto"/>
        </w:rPr>
      </w:pPr>
    </w:p>
    <w:p>
      <w:pPr>
        <w:ind w:left="1140" w:hanging="323"/>
        <w:spacing w:after="0"/>
        <w:tabs>
          <w:tab w:leader="none" w:pos="11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Issued in September 2018 at 99.914% of par.</w:t>
      </w:r>
    </w:p>
    <w:p>
      <w:pPr>
        <w:spacing w:after="0" w:line="19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i</w:t>
      </w:r>
      <w:r>
        <w:rPr>
          <w:rFonts w:ascii="Times New Roman" w:cs="Times New Roman" w:eastAsia="Times New Roman" w:hAnsi="Times New Roman"/>
          <w:sz w:val="18"/>
          <w:szCs w:val="18"/>
          <w:color w:val="auto"/>
          <w:shd w:val="clear" w:color="auto" w:fill="CCEEFF"/>
        </w:rPr>
        <w:t>ssuers may redeem the senior notes, in whole at any time or in part from time to time, at a price equal to t</w:t>
      </w:r>
      <w:r>
        <w:rPr>
          <w:rFonts w:ascii="Times New Roman" w:cs="Times New Roman" w:eastAsia="Times New Roman" w:hAnsi="Times New Roman"/>
          <w:sz w:val="18"/>
          <w:szCs w:val="18"/>
          <w:color w:val="auto"/>
        </w:rPr>
        <w:t>he greater of (i) 100% of the principal amount of the notes being redeemed and (ii) the sum of the present values of the remaining scheduled payments of principal and interest on any notes being redeemed discounted to the re</w:t>
      </w:r>
      <w:r>
        <w:rPr>
          <w:rFonts w:ascii="Times New Roman" w:cs="Times New Roman" w:eastAsia="Times New Roman" w:hAnsi="Times New Roman"/>
          <w:sz w:val="18"/>
          <w:szCs w:val="18"/>
          <w:color w:val="auto"/>
          <w:strike w:val="1"/>
        </w:rPr>
        <w:t>demption date on a se</w:t>
      </w:r>
      <w:r>
        <w:rPr>
          <w:rFonts w:ascii="Times New Roman" w:cs="Times New Roman" w:eastAsia="Times New Roman" w:hAnsi="Times New Roman"/>
          <w:sz w:val="18"/>
          <w:szCs w:val="18"/>
          <w:color w:val="auto"/>
        </w:rPr>
        <w:t>miannual basis at the Treasury Rate plus 40 basis points (30 basis points in the case of the 3.500% senior notes), plus in each case accrued and unpaid interest on the principal amounts being redeemed.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Subordinated Notes</w:t>
      </w:r>
    </w:p>
    <w:p>
      <w:pPr>
        <w:spacing w:after="0" w:line="229" w:lineRule="exact"/>
        <w:rPr>
          <w:sz w:val="20"/>
          <w:szCs w:val="20"/>
          <w:color w:val="auto"/>
        </w:rPr>
      </w:pPr>
    </w:p>
    <w:p>
      <w:pPr>
        <w:ind w:right="60" w:firstLine="445"/>
        <w:spacing w:after="0" w:line="252" w:lineRule="auto"/>
        <w:rPr>
          <w:sz w:val="20"/>
          <w:szCs w:val="20"/>
          <w:color w:val="auto"/>
        </w:rPr>
      </w:pPr>
      <w:r>
        <w:rPr>
          <w:rFonts w:ascii="Times New Roman" w:cs="Times New Roman" w:eastAsia="Times New Roman" w:hAnsi="Times New Roman"/>
          <w:sz w:val="18"/>
          <w:szCs w:val="18"/>
          <w:color w:val="auto"/>
        </w:rPr>
        <w:t>In May 2021, an indirect subsidiary of the Company issued $435.0 million aggregate principal amount of 4.625% Subordinated Notes due May 15, 2061 (the “Subordinated Notes”), on which interest is payable quarterly accruing from May 11, 2021. In June 2021, an additional $65.0 million aggregate principal amount of these Subordinated Notes were issued and are treated as a single series with the already outstanding $435.0 million aggregate principal amount. The Subordinated Notes are unsecured and subordinated obligations of the issuer, and are fully and unconditionally guaranteed (the “Guarantees”), jointly and severally, on a subordinated basis, by the Company, each of the Carlyle Holdings partnerships, and CG Subsidiary Holdings L.L.C., an indirect subsidiary of the Company (collectively, the “Guarantors”). The Consolidated Funds are not guarantors, and as such, the assets of the Consolidated Funds are not available to service the Subordinated Notes under the Guarantee. The Subordinated Notes may be redeemed at the issuer’s option in whole at any time or in part from time to time on or after June 15, 2026 at a redemption price equal to their principal amount plus any accrued and unpaid interest to, but excluding, the date of redemption. If interest due on the Subordinated Notes is deemed no longer to be deductible in the U.S., a “Tax Redemption Event,” the Subordinated Notes may be redeemed, in whole, but not in part, within 120 days of the occurrence of such event at a redemption price equal to their principal amount plus accrued and unpaid interest to, but excluding, the date of redemption. In addition, the Subordinated Notes may be redeemed, in whole, but not in part, at any time prior to May 15, 2026, within 90 days of the rating agencies determining that the Subordinated Notes should no longer receive partial equity treatment pursuant to the rating agency’s criteria, a “rating agency event,” at a redemption price equal to 102% of their principal amount plus any accrued and unpaid interest to, but excluding, the date of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4876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16115" cy="4876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2024 and December 31, 2023, the fair value of the Subordinated Notes was $390.2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$411.8 million, respectively. Fair value is based on active market quotes and the notes are classified as Level I within the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hierarchy. For both the three months ended March 31, 2024 and 2023, the Company incurred $5.9 million of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on the Subordinated Notes.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229"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financial covenants under its loan agreements including, among other items, maintenance of a minimum amount of management fee-earning assets. The Company is also subject to various non-financial covenants under its loan agreements and the indentures governing its senior notes. The Company was in compliance with all financial and non-financial covenants under its various loan agreements as of March 31, 2024.</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Loans Payable of Consolidated Funds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Loans payable of Consolidated Funds primarily represent amounts due to holders of debt securities issued by the CLOs.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the following borrowings were outstanding (Dollars 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60" w:type="dxa"/>
            <w:vAlign w:val="bottom"/>
          </w:tcPr>
          <w:p>
            <w:pPr>
              <w:spacing w:after="0"/>
              <w:rPr>
                <w:sz w:val="14"/>
                <w:szCs w:val="14"/>
                <w:color w:val="auto"/>
              </w:rPr>
            </w:pPr>
          </w:p>
        </w:tc>
        <w:tc>
          <w:tcPr>
            <w:tcW w:w="1640" w:type="dxa"/>
            <w:vAlign w:val="bottom"/>
            <w:gridSpan w:val="2"/>
          </w:tcPr>
          <w:p>
            <w:pPr>
              <w:jc w:val="center"/>
              <w:ind w:right="5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Maturity in</w:t>
            </w:r>
          </w:p>
        </w:tc>
        <w:tc>
          <w:tcPr>
            <w:tcW w:w="0" w:type="dxa"/>
            <w:vAlign w:val="bottom"/>
          </w:tcPr>
          <w:p>
            <w:pPr>
              <w:spacing w:after="0"/>
              <w:rPr>
                <w:sz w:val="1"/>
                <w:szCs w:val="1"/>
                <w:color w:val="auto"/>
              </w:rPr>
            </w:pPr>
          </w:p>
        </w:tc>
      </w:tr>
      <w:tr>
        <w:trPr>
          <w:trHeight w:val="203"/>
        </w:trPr>
        <w:tc>
          <w:tcPr>
            <w:tcW w:w="4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5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Senior secured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6,133.0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6,153.0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6.36 %</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8.84</w:t>
            </w:r>
          </w:p>
        </w:tc>
        <w:tc>
          <w:tcPr>
            <w:tcW w:w="0" w:type="dxa"/>
            <w:vAlign w:val="bottom"/>
          </w:tcPr>
          <w:p>
            <w:pPr>
              <w:spacing w:after="0"/>
              <w:rPr>
                <w:sz w:val="1"/>
                <w:szCs w:val="1"/>
                <w:color w:val="auto"/>
              </w:rPr>
            </w:pPr>
          </w:p>
        </w:tc>
      </w:tr>
      <w:tr>
        <w:trPr>
          <w:trHeight w:val="270"/>
        </w:trPr>
        <w:tc>
          <w:tcPr>
            <w:tcW w:w="4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Subordinated notes</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220.5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199.3</w:t>
            </w:r>
          </w:p>
        </w:tc>
        <w:tc>
          <w:tcPr>
            <w:tcW w:w="60" w:type="dxa"/>
            <w:vAlign w:val="bottom"/>
          </w:tcPr>
          <w:p>
            <w:pPr>
              <w:spacing w:after="0"/>
              <w:rPr>
                <w:sz w:val="23"/>
                <w:szCs w:val="23"/>
                <w:color w:val="auto"/>
              </w:rPr>
            </w:pPr>
          </w:p>
        </w:tc>
        <w:tc>
          <w:tcPr>
            <w:tcW w:w="164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 xml:space="preserve">N/A  </w:t>
            </w:r>
            <w:r>
              <w:rPr>
                <w:rFonts w:ascii="Times New Roman" w:cs="Times New Roman" w:eastAsia="Times New Roman" w:hAnsi="Times New Roman"/>
                <w:sz w:val="14"/>
                <w:szCs w:val="14"/>
                <w:b w:val="1"/>
                <w:bCs w:val="1"/>
                <w:color w:val="auto"/>
              </w:rPr>
              <w:t>(4)</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8.94</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Revolving credit facilities</w:t>
            </w:r>
            <w:r>
              <w:rPr>
                <w:rFonts w:ascii="Times New Roman" w:cs="Times New Roman" w:eastAsia="Times New Roman" w:hAnsi="Times New Roman"/>
                <w:sz w:val="21"/>
                <w:szCs w:val="21"/>
                <w:color w:val="auto"/>
                <w:vertAlign w:val="superscript"/>
              </w:rPr>
              <w:t>(3)</w:t>
            </w: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182.8</w:t>
            </w:r>
          </w:p>
        </w:tc>
        <w:tc>
          <w:tcPr>
            <w:tcW w:w="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6.57 %</w:t>
            </w:r>
          </w:p>
        </w:tc>
        <w:tc>
          <w:tcPr>
            <w:tcW w:w="5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4.74</w:t>
            </w:r>
          </w:p>
        </w:tc>
        <w:tc>
          <w:tcPr>
            <w:tcW w:w="0" w:type="dxa"/>
            <w:vAlign w:val="bottom"/>
          </w:tcPr>
          <w:p>
            <w:pPr>
              <w:spacing w:after="0"/>
              <w:rPr>
                <w:sz w:val="1"/>
                <w:szCs w:val="1"/>
                <w:color w:val="auto"/>
              </w:rPr>
            </w:pPr>
          </w:p>
        </w:tc>
      </w:tr>
      <w:tr>
        <w:trPr>
          <w:trHeight w:val="223"/>
        </w:trPr>
        <w:tc>
          <w:tcPr>
            <w:tcW w:w="4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6,536.3</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6,535.1</w:t>
            </w: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97" w:orient="portrait"/>
          <w:cols w:equalWidth="0" w:num="1">
            <w:col w:w="9240"/>
          </w:cols>
          <w:pgMar w:left="1320" w:top="301" w:right="1339" w:bottom="0" w:gutter="0" w:footer="0" w:header="0"/>
        </w:sectPr>
      </w:pPr>
    </w:p>
    <w:p>
      <w:pPr>
        <w:spacing w:after="0" w:line="14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b w:val="1"/>
          <w:bCs w:val="1"/>
          <w:color w:val="auto"/>
        </w:rPr>
        <w:t>As of December 31, 2023</w:t>
      </w:r>
    </w:p>
    <w:p>
      <w:pPr>
        <w:sectPr>
          <w:pgSz w:w="11900" w:h="16897" w:orient="portrait"/>
          <w:cols w:equalWidth="0" w:num="1">
            <w:col w:w="9240"/>
          </w:cols>
          <w:pgMar w:left="1320" w:top="301" w:right="1339" w:bottom="0" w:gutter="0" w:footer="0" w:header="0"/>
          <w:type w:val="continuous"/>
        </w:sectPr>
      </w:pPr>
    </w:p>
    <w:bookmarkStart w:id="37" w:name="page38"/>
    <w:bookmarkEnd w:id="37"/>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1852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16115" cy="41852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28"/>
        </w:trPr>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4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1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60" w:type="dxa"/>
            <w:vAlign w:val="bottom"/>
          </w:tcPr>
          <w:p>
            <w:pPr>
              <w:spacing w:after="0"/>
              <w:rPr>
                <w:sz w:val="14"/>
                <w:szCs w:val="14"/>
                <w:color w:val="auto"/>
              </w:rPr>
            </w:pPr>
          </w:p>
        </w:tc>
        <w:tc>
          <w:tcPr>
            <w:tcW w:w="1640" w:type="dxa"/>
            <w:vAlign w:val="bottom"/>
            <w:gridSpan w:val="2"/>
          </w:tcPr>
          <w:p>
            <w:pPr>
              <w:jc w:val="center"/>
              <w:ind w:right="5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Maturity in</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0" w:type="dxa"/>
            <w:vAlign w:val="bottom"/>
          </w:tcPr>
          <w:p>
            <w:pPr>
              <w:spacing w:after="0"/>
              <w:rPr>
                <w:sz w:val="1"/>
                <w:szCs w:val="1"/>
                <w:color w:val="auto"/>
              </w:rPr>
            </w:pPr>
          </w:p>
        </w:tc>
      </w:tr>
      <w:tr>
        <w:trPr>
          <w:trHeight w:val="220"/>
        </w:trPr>
        <w:tc>
          <w:tcPr>
            <w:tcW w:w="4120" w:type="dxa"/>
            <w:vAlign w:val="bottom"/>
            <w:tcBorders>
              <w:bottom w:val="single" w:sz="8" w:color="CCEEFF"/>
            </w:tcBorders>
          </w:tcPr>
          <w:p>
            <w:pPr>
              <w:ind w:left="60"/>
              <w:spacing w:after="0" w:line="200" w:lineRule="exact"/>
              <w:rPr>
                <w:sz w:val="20"/>
                <w:szCs w:val="20"/>
                <w:color w:val="auto"/>
              </w:rPr>
            </w:pPr>
            <w:r>
              <w:rPr>
                <w:rFonts w:ascii="Times New Roman" w:cs="Times New Roman" w:eastAsia="Times New Roman" w:hAnsi="Times New Roman"/>
                <w:sz w:val="16"/>
                <w:szCs w:val="16"/>
                <w:color w:val="auto"/>
              </w:rPr>
              <w:t>Senior secured notes</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6,171.9</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6,097.9</w:t>
            </w:r>
          </w:p>
        </w:tc>
        <w:tc>
          <w:tcPr>
            <w:tcW w:w="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6.32 %</w:t>
            </w:r>
          </w:p>
        </w:tc>
        <w:tc>
          <w:tcPr>
            <w:tcW w:w="5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6"/>
                <w:szCs w:val="16"/>
                <w:color w:val="auto"/>
              </w:rPr>
              <w:t>Subordinated notes</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 xml:space="preserve">N/A  </w:t>
            </w:r>
            <w:r>
              <w:rPr>
                <w:rFonts w:ascii="Times New Roman" w:cs="Times New Roman" w:eastAsia="Times New Roman" w:hAnsi="Times New Roman"/>
                <w:sz w:val="14"/>
                <w:szCs w:val="14"/>
                <w:color w:val="auto"/>
              </w:rPr>
              <w:t>(4)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0" w:type="dxa"/>
            <w:vAlign w:val="bottom"/>
          </w:tcPr>
          <w:p>
            <w:pPr>
              <w:spacing w:after="0"/>
              <w:rPr>
                <w:sz w:val="1"/>
                <w:szCs w:val="1"/>
                <w:color w:val="auto"/>
              </w:rPr>
            </w:pPr>
          </w:p>
        </w:tc>
      </w:tr>
      <w:tr>
        <w:trPr>
          <w:trHeight w:val="270"/>
        </w:trPr>
        <w:tc>
          <w:tcPr>
            <w:tcW w:w="4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Revolving credit facilities</w:t>
            </w:r>
            <w:r>
              <w:rPr>
                <w:rFonts w:ascii="Times New Roman" w:cs="Times New Roman" w:eastAsia="Times New Roman" w:hAnsi="Times New Roman"/>
                <w:sz w:val="21"/>
                <w:szCs w:val="21"/>
                <w:color w:val="auto"/>
                <w:vertAlign w:val="superscript"/>
              </w:rPr>
              <w:t>(3)</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6.46 %</w:t>
            </w: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6,523.3</w:t>
            </w:r>
          </w:p>
        </w:tc>
        <w:tc>
          <w:tcPr>
            <w:tcW w:w="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6,486.5</w:t>
            </w:r>
          </w:p>
        </w:tc>
        <w:tc>
          <w:tcPr>
            <w:tcW w:w="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80" w:right="80" w:hanging="330"/>
        <w:spacing w:after="0" w:line="258"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Borrowing Outstanding and Fair Value as of December 31, 2023 includes $7.8 million of senior secured notes that are carried at par value.</w:t>
      </w:r>
    </w:p>
    <w:p>
      <w:pPr>
        <w:ind w:left="580" w:right="140" w:hanging="330"/>
        <w:spacing w:after="0" w:line="255"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Borrowing Outstanding and Fair Value as of December 31, 2023 includes $2.2 million of subordinated notes that are carried at par value.</w:t>
      </w:r>
    </w:p>
    <w:p>
      <w:pPr>
        <w:ind w:left="580" w:right="120" w:hanging="330"/>
        <w:spacing w:after="0" w:line="255"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as of March 31, 2024 and December 31, 2023 reflects the amortized cost of outstanding revolving credit balances which approximates fair value.</w:t>
      </w:r>
    </w:p>
    <w:p>
      <w:pPr>
        <w:ind w:left="580" w:right="360" w:hanging="330"/>
        <w:spacing w:after="0" w:line="257"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subordinated notes do not have contractual interest rates, but instead receive distributions from the excess cash flows of the CLOs.</w:t>
      </w:r>
    </w:p>
    <w:p>
      <w:pPr>
        <w:spacing w:after="0" w:line="191"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Loans payable of the CLOs are collateralized by the assets held by the CLOs and the assets of one CLO may not be used to satisfy the liabilities of another. This collateral consisted of cash and cash equivalents, corporate loans, corporate bonds and other securities. As of March 31, 2024 and December 31, 2023, the fair value of the CLO assets was $7.1 billion and $6.8 billion,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6248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16115" cy="624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Compensation and Benefits</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compensation and benefits consist of the following:</w:t>
      </w:r>
    </w:p>
    <w:p>
      <w:pPr>
        <w:spacing w:after="0" w:line="187" w:lineRule="exact"/>
        <w:rPr>
          <w:sz w:val="20"/>
          <w:szCs w:val="20"/>
          <w:color w:val="auto"/>
        </w:rPr>
      </w:pPr>
    </w:p>
    <w:tbl>
      <w:tblPr>
        <w:tblLayout w:type="fixed"/>
        <w:tblInd w:w="380" w:type="dxa"/>
        <w:tblCellMar>
          <w:top w:w="0" w:type="dxa"/>
          <w:left w:w="0" w:type="dxa"/>
          <w:bottom w:w="0" w:type="dxa"/>
          <w:right w:w="0" w:type="dxa"/>
        </w:tblCellMar>
      </w:tblPr>
      <w:tr>
        <w:trPr>
          <w:trHeight w:val="205"/>
        </w:trPr>
        <w:tc>
          <w:tcPr>
            <w:tcW w:w="6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40" w:type="dxa"/>
            <w:vAlign w:val="bottom"/>
            <w:tcBorders>
              <w:bottom w:val="single" w:sz="8" w:color="auto"/>
            </w:tcBorders>
          </w:tcPr>
          <w:p>
            <w:pPr>
              <w:spacing w:after="0"/>
              <w:rPr>
                <w:sz w:val="17"/>
                <w:szCs w:val="17"/>
                <w:color w:val="auto"/>
              </w:rPr>
            </w:pPr>
          </w:p>
        </w:tc>
      </w:tr>
      <w:tr>
        <w:trPr>
          <w:trHeight w:val="169"/>
        </w:trPr>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1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6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Accrued performance allocations and incentive fee related compensation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3,939.4</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4,255.8</w:t>
            </w:r>
          </w:p>
        </w:tc>
      </w:tr>
      <w:tr>
        <w:trPr>
          <w:trHeight w:val="256"/>
        </w:trPr>
        <w:tc>
          <w:tcPr>
            <w:tcW w:w="6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Accrued bonuses</w:t>
            </w:r>
          </w:p>
        </w:tc>
        <w:tc>
          <w:tcPr>
            <w:tcW w:w="180" w:type="dxa"/>
            <w:vAlign w:val="bottom"/>
          </w:tcPr>
          <w:p>
            <w:pPr>
              <w:spacing w:after="0"/>
              <w:rPr>
                <w:sz w:val="22"/>
                <w:szCs w:val="22"/>
                <w:color w:val="auto"/>
              </w:rPr>
            </w:pPr>
          </w:p>
        </w:tc>
        <w:tc>
          <w:tcPr>
            <w:tcW w:w="94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110.4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498.2</w:t>
            </w:r>
          </w:p>
        </w:tc>
      </w:tr>
      <w:tr>
        <w:trPr>
          <w:trHeight w:val="257"/>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Accrued pension liability</w:t>
            </w: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56"/>
        </w:trPr>
        <w:tc>
          <w:tcPr>
            <w:tcW w:w="6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(1)</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111.7</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w:t>
            </w:r>
          </w:p>
        </w:tc>
      </w:tr>
      <w:tr>
        <w:trPr>
          <w:trHeight w:val="235"/>
        </w:trPr>
        <w:tc>
          <w:tcPr>
            <w:tcW w:w="6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4,173.9</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4,922.2</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40" w:hanging="329"/>
        <w:spacing w:after="0" w:line="280" w:lineRule="auto"/>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$15.1 million and $44.5 million of realized performance allocations and incentive fee related compensation not yet paid to participants as of March 31, 2024 and December 31, 2023, respectively.</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realized and unrealized performance allocations and incentive fee related compensation:</w:t>
      </w:r>
    </w:p>
    <w:p>
      <w:pPr>
        <w:spacing w:after="0" w:line="201" w:lineRule="exact"/>
        <w:rPr>
          <w:sz w:val="20"/>
          <w:szCs w:val="20"/>
          <w:color w:val="auto"/>
        </w:rPr>
      </w:pPr>
    </w:p>
    <w:tbl>
      <w:tblPr>
        <w:tblLayout w:type="fixed"/>
        <w:tblInd w:w="1900" w:type="dxa"/>
        <w:tblCellMar>
          <w:top w:w="0" w:type="dxa"/>
          <w:left w:w="0" w:type="dxa"/>
          <w:bottom w:w="0" w:type="dxa"/>
          <w:right w:w="0" w:type="dxa"/>
        </w:tblCellMar>
      </w:tblPr>
      <w:tr>
        <w:trPr>
          <w:trHeight w:val="205"/>
        </w:trPr>
        <w:tc>
          <w:tcPr>
            <w:tcW w:w="3080" w:type="dxa"/>
            <w:vAlign w:val="bottom"/>
          </w:tcPr>
          <w:p>
            <w:pPr>
              <w:spacing w:after="0"/>
              <w:rPr>
                <w:sz w:val="17"/>
                <w:szCs w:val="17"/>
                <w:color w:val="auto"/>
              </w:rPr>
            </w:pPr>
          </w:p>
        </w:tc>
        <w:tc>
          <w:tcPr>
            <w:tcW w:w="23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6"/>
        </w:trPr>
        <w:tc>
          <w:tcPr>
            <w:tcW w:w="3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6"/>
        </w:trPr>
        <w:tc>
          <w:tcPr>
            <w:tcW w:w="3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Realized</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266.8</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r>
      <w:tr>
        <w:trPr>
          <w:trHeight w:val="256"/>
        </w:trPr>
        <w:tc>
          <w:tcPr>
            <w:tcW w:w="30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Unrealized</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(339.6)</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35"/>
        </w:trPr>
        <w:tc>
          <w:tcPr>
            <w:tcW w:w="30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(72.8)</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60" w:right="6480" w:hanging="453"/>
        <w:spacing w:after="0" w:line="450" w:lineRule="auto"/>
        <w:tabs>
          <w:tab w:leader="none" w:pos="195"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Capital Commitments</w:t>
      </w:r>
    </w:p>
    <w:p>
      <w:pPr>
        <w:spacing w:after="0" w:line="2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and its unconsolidated affiliates have unfunded commitments totaling $4.2 billion as of March 31, 2024, of which approximately $3.6 billion is subscribed individually by senior Carlyle professionals, advisors and other professionals. In addition to these unfunded commitments, the Company may from time to time exercise its right to purchase additional interests in its investment funds that become available in the ordinary course of their operations.</w:t>
      </w:r>
    </w:p>
    <w:p>
      <w:pPr>
        <w:spacing w:after="0" w:line="180" w:lineRule="exact"/>
        <w:rPr>
          <w:sz w:val="20"/>
          <w:szCs w:val="20"/>
          <w:color w:val="auto"/>
        </w:rPr>
      </w:pPr>
    </w:p>
    <w:p>
      <w:pPr>
        <w:ind w:right="100" w:firstLine="445"/>
        <w:spacing w:after="0" w:line="281" w:lineRule="auto"/>
        <w:rPr>
          <w:sz w:val="20"/>
          <w:szCs w:val="20"/>
          <w:color w:val="auto"/>
        </w:rPr>
      </w:pPr>
      <w:r>
        <w:rPr>
          <w:rFonts w:ascii="Times New Roman" w:cs="Times New Roman" w:eastAsia="Times New Roman" w:hAnsi="Times New Roman"/>
          <w:sz w:val="17"/>
          <w:szCs w:val="17"/>
          <w:color w:val="auto"/>
        </w:rPr>
        <w:t>Under the Carlyle Global Capital Markets platform, certain subsidiaries of the Company may act as an underwriter, syndicator or placement agent for security offerings and loan originations. The Company earns fees in connection with these activities and bears the risk of the sale of such securities and placement of such loans, which may be longer dated. As of March 31, 2024, the Company had no commitments related to the origination and syndication of loans and securities under the</w:t>
      </w:r>
    </w:p>
    <w:p>
      <w:pPr>
        <w:sectPr>
          <w:pgSz w:w="11900" w:h="16965" w:orient="portrait"/>
          <w:cols w:equalWidth="0" w:num="1">
            <w:col w:w="9220"/>
          </w:cols>
          <w:pgMar w:left="1320" w:top="185" w:right="1359" w:bottom="0" w:gutter="0" w:footer="0" w:header="0"/>
        </w:sectPr>
      </w:pPr>
    </w:p>
    <w:bookmarkStart w:id="38" w:name="page39"/>
    <w:bookmarkEnd w:id="38"/>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Carlyle Global Capital Markets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-127635</wp:posOffset>
            </wp:positionV>
            <wp:extent cx="7016115" cy="2813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16115" cy="2813685"/>
                    </a:xfrm>
                    <a:prstGeom prst="rect">
                      <a:avLst/>
                    </a:prstGeom>
                    <a:noFill/>
                  </pic:spPr>
                </pic:pic>
              </a:graphicData>
            </a:graphic>
          </wp:anchor>
        </w:drawing>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Guaranteed Loans</w:t>
      </w:r>
    </w:p>
    <w:p>
      <w:pPr>
        <w:spacing w:after="0" w:line="229" w:lineRule="exact"/>
        <w:rPr>
          <w:sz w:val="20"/>
          <w:szCs w:val="20"/>
          <w:color w:val="auto"/>
        </w:rPr>
      </w:pPr>
    </w:p>
    <w:p>
      <w:pPr>
        <w:ind w:right="280" w:firstLine="445"/>
        <w:spacing w:after="0" w:line="255" w:lineRule="auto"/>
        <w:rPr>
          <w:sz w:val="20"/>
          <w:szCs w:val="20"/>
          <w:color w:val="auto"/>
        </w:rPr>
      </w:pPr>
      <w:r>
        <w:rPr>
          <w:rFonts w:ascii="Times New Roman" w:cs="Times New Roman" w:eastAsia="Times New Roman" w:hAnsi="Times New Roman"/>
          <w:sz w:val="18"/>
          <w:szCs w:val="18"/>
          <w:color w:val="auto"/>
        </w:rPr>
        <w:t>From time to time, the Company or its subsidiaries may enter into agreements to guarantee certain obligations of the investment funds related to, for example, credit facilities or equity commitments. Certain consolidated subsidiaries of the Company are the guarantors of revolving credit facilities for certain funds in the Global Investment Solutions segment. The guarantee is limited to the lesser of the total amount drawn under the credit facilities or the total of net asset value of the guarantor subsidiaries plus any uncalled capital of the applicable general partner, and was approximately $10.7 million as of March 31, 2024. The outstanding balances are secured by uncalled capital commitments from the underlying funds and the Company believes the likelihood of any material funding under this guarantee to be remote.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Contingent Obligations (Giveback)</w:t>
      </w:r>
    </w:p>
    <w:p>
      <w:pPr>
        <w:spacing w:after="0" w:line="229"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A liability for potential repayment of previously received performance allocations of $44.0 million at March 31, 2024 was shown as accrued giveback obligations in the condensed consolidated balance sheets, representing the giveback obligation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76200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16115" cy="762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would need to be paid if the funds were liquidated at their current fair values at March 31, 2024. However, the ultimate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giveback obligation, if any, generally is not paid until the end of a fund’s life or earlier if the giveback becomes fixed and early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is agreed upon by the fund’s partners (see Note 2, Summary of Significant Accounting Policies). The Company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 million of unbilled receivables from former and current employees and senior Carlyle professionals as of March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giveback obligations. Any such receivables are collateralized by investments made by individual senior Carlyle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professionals and employees in Carlyle-sponsored funds. In addition, $148.4 million have been withheld from distributions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carried interest to senior Carlyle professionals and employees for potential giveback obligations as of March 31, 2024.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are held on behalf of the respective current and former Carlyle employees to satisfy any givebacks they may owe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held by entities not included in the accompanying condensed consolidated balance sheets. Current and former senior Carlyle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professionals and employees are personally responsible for their giveback obligations. As of March 31, 2024,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 million of the Company’s accrued giveback obligation is the responsibility of various current and former senior Carlyle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professionals and other former limited partners of the Carlyle Holdings partnerships, and the net accrued giveback 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 the Company is $23.7 million.</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at March 31, 2024, all of the investments held by the Company’s Funds were deemed worthless, a possibility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views as remote, the amount of realized and distributed carried interest subject to potential giveback would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billion, on an after-tax basis where applicable, of which approximately $0.6 billion would be the responsibility of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former senior Carlyle professionals.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is a party to litigation, investigations, inquiries, employment-related matters, disputes and other potential claims. Certain of these matters are described below. The Company is not currently able to estimate the reasonably possible amount of loss or range of loss, in excess of amounts accrued, for the matters that have not been resolved. The Company does not believe it is probable that the outcome of any existing litigation, investigations, disputes or other potential claims will materially affect the Company or these financial statements in excess of amounts accrued.</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The Authentix Matter</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Authentix, Inc. (“Authentix”) was a majority-owned portfolio company in one of the Company’s investment funds,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Carlyle U.S. Growth Fund III, L.P. (“CGF III”). When Authentix was owned by CGF III, two of the Company’s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served on Authentix’s board of directors. After a lengthy sale process, Authentix was sold for an aggregate sale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$87.5 million. On August 7, 2020, certain of the former minority shareholders in Authentix filed suit in Delaware Chancery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 alleging that the Authentix board of directors, CGF III, and the Company breached various fiduciary duties by agreeing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 sale of Authentix at an inopportune time and at a price that was too low. Plaintiffs seek damages for a portion of the lost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profits from the sale—the difference between the actual sale price and the purported maximum amount for which Authentix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have sold, multiplied by plaintiff’s ownership percentage. Plaintiffs also seek disgorgement of any profits received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stemming from the sale. A trial before the Delaware Court of Chancery was completed in early February 2024.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decision from the court is expected later this year, following post-trial briefing. The former directors of Authentix are covered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indemnification from Authentix and an Authentix insurance policy. The defendants expect to continue to contest the claims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vigorously.</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The Tax Receivable Agreement Matter</w:t>
      </w:r>
    </w:p>
    <w:p>
      <w:pPr>
        <w:spacing w:after="0" w:line="227"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The Company came into existence on January 1, 2020, when its predecessor, The Carlyle Group, L.P. (the “PTP”), converted from a partnership into a corporation (the “Conversion”). On July 29, 2022, an alleged stockholder of the Company, the City of Pittsburgh Comprehensive Municipal Trust Fund (the “Plaintiff”), filed suit in the Delaware Court of Chancery, alleging a direct claim against the Company for breach of its certificate of incorporation and a derivative claim on behalf of the Company against certain current and former officers and directors of the Company. Plaintiff challenges the receipt, by certain officers of the PTP and certain directors of the general partner of the PTP, of a right to cash payments associated with the</w:t>
      </w:r>
    </w:p>
    <w:p>
      <w:pPr>
        <w:sectPr>
          <w:pgSz w:w="11900" w:h="16928" w:orient="portrait"/>
          <w:cols w:equalWidth="0" w:num="1">
            <w:col w:w="9240"/>
          </w:cols>
          <w:pgMar w:left="1320" w:top="135" w:right="1339" w:bottom="0" w:gutter="0" w:footer="0" w:header="0"/>
        </w:sectPr>
      </w:pPr>
    </w:p>
    <w:bookmarkStart w:id="39" w:name="page40"/>
    <w:bookmarkEnd w:id="39"/>
    <w:p>
      <w:pPr>
        <w:spacing w:after="0" w:line="256" w:lineRule="auto"/>
        <w:rPr>
          <w:sz w:val="20"/>
          <w:szCs w:val="20"/>
          <w:color w:val="auto"/>
        </w:rPr>
      </w:pPr>
      <w:r>
        <w:rPr>
          <w:rFonts w:ascii="Times New Roman" w:cs="Times New Roman" w:eastAsia="Times New Roman" w:hAnsi="Times New Roman"/>
          <w:sz w:val="18"/>
          <w:szCs w:val="18"/>
          <w:color w:val="auto"/>
        </w:rPr>
        <w:t>elimination of a tax receivable agreement in connection with the Conversion. Plaintiff is seeking monetary damages, restitution, and an injunction preventing the Company from making any future cash payments for the elimination of the tax receivable agreement in connection with the Conversion. By virtue of the derivative nature of the primary claims (i.e., that the claims are aimed primarily at certain officers and directors), it is remote that the Company itself will pay material damage awards based on the Plaintiff’s claims, although the Company is expected to incur legal defense fees to the extent not covered by insurance. The Delaware Court issued a ruling on the defendant’s motion to dismiss on April 24, 2024, dismissing some of the Plaintiff’s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-828675</wp:posOffset>
            </wp:positionV>
            <wp:extent cx="7016115" cy="14420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16115" cy="1442085"/>
                    </a:xfrm>
                    <a:prstGeom prst="rect">
                      <a:avLst/>
                    </a:prstGeom>
                    <a:noFill/>
                  </pic:spPr>
                </pic:pic>
              </a:graphicData>
            </a:graphic>
          </wp:anchor>
        </w:drawing>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89916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16115" cy="899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claims but allowing most of the claims to proceed to discovery and possibly to trial. The Company intends to contest the direct claims vigorously, and the officer and director defendants intend to continue contesting the claims vigorously.</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SEC Investigation</w:t>
      </w:r>
    </w:p>
    <w:p>
      <w:pPr>
        <w:spacing w:after="0" w:line="227"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As part of a sweep investigation of financial services and investment advisory firms, in October 2022, the Company received from the SEC a request for information related to the preservation of certain types of electronic business communications (e.g., text messages and messages on WhatsApp, WeChat, and similar applications) as part of the Company’s books and records. The Company has cooperated with the investigation and in recent weeks has engaged in discussions with the Enforcement Division about potential resolution. There is no assurance that a settlement will be reached.</w:t>
      </w:r>
    </w:p>
    <w:p>
      <w:pPr>
        <w:spacing w:after="0" w:line="183"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The Company currently is and expects to continue to be, from time to time, subject to examinations, formal and informal inquiries and investigations by various U.S. and non-U.S. governmental and regulatory agencies, including but not limited to, the SEC, Department of Justice, state attorneys general, FINRA, National Futures Association and the U.K. Financial Conduct Authority. The Company routinely cooperates with such examinations, inquiries and investigations, and they may result in the commencement of civil, criminal, or administrative or other proceedings against the Company or its personnel.</w:t>
      </w:r>
    </w:p>
    <w:p>
      <w:pPr>
        <w:spacing w:after="0" w:line="183"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It is not possible to predict the ultimate outcome of all pending investigations and legal proceedings and employment-related matters, and some of the matters discussed above involve claims for potentially large and/or indeterminate amounts of damages. Based on information known by management, management does not believe that as of the date of this filing the final resolutions of the matters above will have a material effect upon the Company’s condensed consolidated financial statements. However, given the potentially large and/or indeterminate amounts of damages sought in certain of these matters and the inherent unpredictability of investigations and litigations, it is possible that an adverse outcome in certain matters could, from time to time, have a material effect on the Company’s financial results in any particular period.</w:t>
      </w:r>
    </w:p>
    <w:p>
      <w:pPr>
        <w:spacing w:after="0" w:line="18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Company accrues an estimated loss contingency liability when it is probable that such a liability has been incurred and the amount of the loss can be reasonably estimated. As of March 31, 2024, the Company had recorded liabilities aggregating to approximately $45 million for litigation-related contingencies, regulatory examinations and inquiries, and other matters. The Company evaluates its outstanding legal and regulatory proceedings and other matters each quarter to assess its loss contingency accruals, and makes adjustments in such accruals, upward or downward, as appropriate, based on management’s best judgment after consultation with counsel. There is no assurance that the Company’s accruals for loss contingencies will not need to be adjusted in the future or that, in light of the uncertainties involved in such matters, the ultimate resolution of these matters will not significantly exceed the accruals that the Company has recorded.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229" w:lineRule="exact"/>
        <w:rPr>
          <w:sz w:val="20"/>
          <w:szCs w:val="20"/>
          <w:color w:val="auto"/>
        </w:rPr>
      </w:pPr>
    </w:p>
    <w:p>
      <w:pPr>
        <w:jc w:val="both"/>
        <w:ind w:right="700" w:firstLine="445"/>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and its subsidiaries enter into contracts that contain a variety of representations and warranties and provide general indemnifications. The Company’s maximum exposure under these arrangements is unknown as this would involve future claims that may be made against the Company that have not yet occurred. However, based on experience, the Company believes the risk of material loss to be remote.</w:t>
      </w:r>
    </w:p>
    <w:p>
      <w:pPr>
        <w:spacing w:after="0" w:line="180"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In connection with the sale of the Company’s interest in its local Brazilian management entity in August 2021, the Company provided a guarantee to the acquiring company of up to BRL 100.0 million ($19.9 million as of March 31, 2024) for liabilities arising from tax-related indemnifications. This guarantee, which will expire in August 2027, would only come into effect after all alternative remedies have been exhausted. The Company believes the likelihood of any material funding under this guarantee to be remote.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Carlyle’s funds seek investment opportunities that offer the possibility of attaining substantial capital appreciation. Certain events particular to each industry in which the underlying investees conduct their operations, as well as general economic, political, regulatory and public health conditions, may have a significant negative impact on the Company’s investments and profitability. The funds managed by the Company may also experience a slowdown in the deployment of capital, which could adversely affect the Company’s ability to raise capital for new or successor funds and could also impact the management fees the Company earns on its carry funds and managed accounts, and/or result in the impairment of intangible</w:t>
      </w:r>
    </w:p>
    <w:p>
      <w:pPr>
        <w:sectPr>
          <w:pgSz w:w="11900" w:h="16838" w:orient="portrait"/>
          <w:cols w:equalWidth="0" w:num="1">
            <w:col w:w="9240"/>
          </w:cols>
          <w:pgMar w:left="1320" w:top="121" w:right="1339"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9240"/>
          </w:cols>
          <w:pgMar w:left="1320" w:top="121" w:right="1339" w:bottom="0" w:gutter="0" w:footer="0" w:header="0"/>
          <w:type w:val="continuous"/>
        </w:sectPr>
      </w:pPr>
    </w:p>
    <w:bookmarkStart w:id="40" w:name="page41"/>
    <w:bookmarkEnd w:id="40"/>
    <w:p>
      <w:pPr>
        <w:ind w:lef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259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16115" cy="922591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assets and/or goodwill the case of the Company’s acquired businesses. Such events are beyond the Company’s control, and the likelihood that they may occur and the effect on the Company cannot be predicted.</w:t>
      </w:r>
    </w:p>
    <w:p>
      <w:pPr>
        <w:spacing w:after="0" w:line="162"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Furthermore, certain of the funds’ investments are made in private companies and there are generally no public markets for the underlying securities at the current time. The funds’ ability to liquidate their publicly-traded investments are often subject to limitations, including discounts that may be required to be taken on quoted prices due to the number of shares being sold. The funds’ ability to liquidate their investments and realize value is subject to significant limitations and uncertainties, including among others currency fluctuations and natural disasters.</w:t>
      </w:r>
    </w:p>
    <w:p>
      <w:pPr>
        <w:spacing w:after="0" w:line="183"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Company and the funds make investments outside of the United States. Investments outside the United States may be subject to less developed bankruptcy, corporate, partnership and other laws (which may have the effect of disregarding or otherwise circumventing the limited liability structures potentially causing the actions or liabilities of one fund or a portfolio company to adversely impact the Company or an unrelated fund or portfolio company). Non-U.S. investments are subject to the same risks associated with the Company’s U.S. investments as well as additional risks, such as fluctuations in foreign currency exchange rates, unexpected changes in regulatory requirements, heightened risk of political and economic instability, difficulties in managing non-U.S. investments, potentially adverse tax consequences and the burden of complying with a wide variety of foreign laws.</w:t>
      </w:r>
    </w:p>
    <w:p>
      <w:pPr>
        <w:spacing w:after="0" w:line="192" w:lineRule="exact"/>
        <w:rPr>
          <w:sz w:val="20"/>
          <w:szCs w:val="20"/>
          <w:color w:val="auto"/>
        </w:rPr>
      </w:pPr>
    </w:p>
    <w:p>
      <w:pPr>
        <w:ind w:right="820" w:firstLine="445"/>
        <w:spacing w:after="0" w:line="282" w:lineRule="auto"/>
        <w:rPr>
          <w:sz w:val="20"/>
          <w:szCs w:val="20"/>
          <w:color w:val="auto"/>
        </w:rPr>
      </w:pPr>
      <w:r>
        <w:rPr>
          <w:rFonts w:ascii="Times New Roman" w:cs="Times New Roman" w:eastAsia="Times New Roman" w:hAnsi="Times New Roman"/>
          <w:sz w:val="18"/>
          <w:szCs w:val="18"/>
          <w:color w:val="auto"/>
        </w:rPr>
        <w:t>Furthermore, Carlyle is exposed to economic risk concentrations related to certain large investments as well as concentrations of investments in certain industries and geographies.</w:t>
      </w:r>
    </w:p>
    <w:p>
      <w:pPr>
        <w:spacing w:after="0" w:line="162"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Additionally, the Company encounters credit risk. Credit risk is the risk of default by a counterparty in the Company’s investments in debt securities, loans, leases and derivatives that result from a borrower’s, lessee’s or derivative counterparty’s inability or unwillingness to make required or expected payments. The Company is subject to credit risk should a financial institution be unable to fulfill its obligations.</w:t>
      </w:r>
    </w:p>
    <w:p>
      <w:pPr>
        <w:spacing w:after="0" w:line="180"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The Company considers cash, cash equivalents, securities, receivables, principal equity method investments, accounts payable, accrued expenses, other liabilities, loans, senior notes, assets and liabilities of Consolidated Funds and contingent and other consideration for acquisitions to be its financial instruments. Except for the senior notes, subordinated notes and compensatory contingent and other consideration for acquisitions, the carrying amounts reported in the condensed consolidated balance sheets for these financial instruments equal or closely approximate their fair values. The fair value of the senior and subordinated notes is disclosed in Note 6, Borrowings.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Due from Affiliates and Other Receivables, Net</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had the following due from affiliates and other receivables at March 31, 2024 and December 31, 2023:</w:t>
      </w:r>
    </w:p>
    <w:p>
      <w:pPr>
        <w:spacing w:after="0" w:line="295" w:lineRule="exact"/>
        <w:rPr>
          <w:sz w:val="20"/>
          <w:szCs w:val="20"/>
          <w:color w:val="auto"/>
        </w:rPr>
      </w:pPr>
    </w:p>
    <w:tbl>
      <w:tblPr>
        <w:tblLayout w:type="fixed"/>
        <w:tblInd w:w="480" w:type="dxa"/>
        <w:tblCellMar>
          <w:top w:w="0" w:type="dxa"/>
          <w:left w:w="0" w:type="dxa"/>
          <w:bottom w:w="0" w:type="dxa"/>
          <w:right w:w="0" w:type="dxa"/>
        </w:tblCellMar>
      </w:tblPr>
      <w:tr>
        <w:trPr>
          <w:trHeight w:val="205"/>
        </w:trPr>
        <w:tc>
          <w:tcPr>
            <w:tcW w:w="60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20" w:type="dxa"/>
            <w:vAlign w:val="bottom"/>
            <w:tcBorders>
              <w:bottom w:val="single" w:sz="8" w:color="auto"/>
            </w:tcBorders>
          </w:tcPr>
          <w:p>
            <w:pPr>
              <w:spacing w:after="0"/>
              <w:rPr>
                <w:sz w:val="17"/>
                <w:szCs w:val="17"/>
                <w:color w:val="auto"/>
              </w:rPr>
            </w:pPr>
          </w:p>
        </w:tc>
      </w:tr>
      <w:tr>
        <w:trPr>
          <w:trHeight w:val="196"/>
        </w:trPr>
        <w:tc>
          <w:tcPr>
            <w:tcW w:w="6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0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6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6"/>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Accrued incentive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57"/>
        </w:trPr>
        <w:tc>
          <w:tcPr>
            <w:tcW w:w="6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Unbilled receivable for giveback obligations from current and former employees</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56"/>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Notes receivable and accrued interest from affiliates</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230"/>
        </w:trPr>
        <w:tc>
          <w:tcPr>
            <w:tcW w:w="6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Management fee receivable, net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w:t>
            </w:r>
          </w:p>
        </w:tc>
      </w:tr>
      <w:tr>
        <w:trPr>
          <w:trHeight w:val="229"/>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Reimbursable expenses and other receivables from unconsolidated funds and affiliates, net</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276.8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w:t>
            </w:r>
          </w:p>
        </w:tc>
      </w:tr>
      <w:tr>
        <w:trPr>
          <w:trHeight w:val="210"/>
        </w:trPr>
        <w:tc>
          <w:tcPr>
            <w:tcW w:w="6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624.1</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691.6</w:t>
            </w: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Reimbursable expenses and other receivables from certain of the unconsolidated funds and portfolio companies relate to advisory fees receivable and expenses paid on behalf of these entities. These costs generally represent costs related to the pursuit of actual or proposed investments, professional fees and expenses associated with the acquisition, holding and disposition of the investments. The affiliates are obligated at the discretion of the Company to reimburse the expenses. Based on management’s determination, the Company accrues and charges interest on amounts due from affiliate accounts at interest</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12077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16115" cy="120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rates ranging up to 7.02% as of March 31, 2024. The accrued and charged interest to the affiliates was not significant for any period presented.</w:t>
      </w:r>
    </w:p>
    <w:p>
      <w:pPr>
        <w:sectPr>
          <w:pgSz w:w="11900" w:h="16838" w:orient="portrait"/>
          <w:cols w:equalWidth="0" w:num="1">
            <w:col w:w="9240"/>
          </w:cols>
          <w:pgMar w:left="1320" w:top="607" w:right="1339" w:bottom="0" w:gutter="0" w:footer="0" w:header="0"/>
        </w:sectPr>
      </w:pPr>
    </w:p>
    <w:bookmarkStart w:id="41" w:name="page42"/>
    <w:bookmarkEnd w:id="41"/>
    <w:p>
      <w:pPr>
        <w:ind w:right="480" w:firstLine="445"/>
        <w:spacing w:after="0" w:line="237" w:lineRule="auto"/>
        <w:rPr>
          <w:sz w:val="20"/>
          <w:szCs w:val="20"/>
          <w:color w:val="auto"/>
        </w:rPr>
      </w:pPr>
      <w:r>
        <w:rPr>
          <w:rFonts w:ascii="Times New Roman" w:cs="Times New Roman" w:eastAsia="Times New Roman" w:hAnsi="Times New Roman"/>
          <w:sz w:val="18"/>
          <w:szCs w:val="18"/>
          <w:color w:val="auto"/>
        </w:rPr>
        <w:t>Notes receivable include loans that the Company has provided to certain unconsolidated funds to meet short-term obligations to purchase investments. Notes receivable as of March 31, 2024 and December 31, 2023 also include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-238760</wp:posOffset>
            </wp:positionV>
            <wp:extent cx="7016115" cy="78543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16115" cy="7854315"/>
                    </a:xfrm>
                    <a:prstGeom prst="rect">
                      <a:avLst/>
                    </a:prstGeom>
                    <a:noFill/>
                  </pic:spPr>
                </pic:pic>
              </a:graphicData>
            </a:graphic>
          </wp:anchor>
        </w:drawing>
      </w:r>
    </w:p>
    <w:p>
      <w:pPr>
        <w:ind w:right="40"/>
        <w:spacing w:after="0" w:line="253" w:lineRule="auto"/>
        <w:rPr>
          <w:sz w:val="20"/>
          <w:szCs w:val="20"/>
          <w:color w:val="auto"/>
        </w:rPr>
      </w:pPr>
      <w:r>
        <w:rPr>
          <w:rFonts w:ascii="Times New Roman" w:cs="Times New Roman" w:eastAsia="Times New Roman" w:hAnsi="Times New Roman"/>
          <w:sz w:val="18"/>
          <w:szCs w:val="18"/>
          <w:color w:val="auto"/>
        </w:rPr>
        <w:t>bearing loans of $23.5 million and $25.0 million, respectively, to certain eligible Carlyle employees, which excludes Section 16 officers and other members of senior management, to finance their investments in certain Carlyle sponsored funds. These advances accrue interest at the WSJ Prime Rate minus 1.00% floating with a floor rate of 3.50% (7.50% as of March 31, 2024) and are collateralized by each borrower’s interest in the Carlyle sponsored funds.</w:t>
      </w:r>
    </w:p>
    <w:p>
      <w:pPr>
        <w:spacing w:after="0" w:line="189" w:lineRule="exact"/>
        <w:rPr>
          <w:sz w:val="20"/>
          <w:szCs w:val="20"/>
          <w:color w:val="auto"/>
        </w:rPr>
      </w:pPr>
    </w:p>
    <w:p>
      <w:pPr>
        <w:ind w:right="280" w:firstLine="445"/>
        <w:spacing w:after="0" w:line="258" w:lineRule="auto"/>
        <w:rPr>
          <w:sz w:val="20"/>
          <w:szCs w:val="20"/>
          <w:color w:val="auto"/>
        </w:rPr>
      </w:pPr>
      <w:r>
        <w:rPr>
          <w:rFonts w:ascii="Times New Roman" w:cs="Times New Roman" w:eastAsia="Times New Roman" w:hAnsi="Times New Roman"/>
          <w:sz w:val="18"/>
          <w:szCs w:val="18"/>
          <w:color w:val="auto"/>
        </w:rPr>
        <w:t>These receivables are assessed regularly for collectability. For management fee receivable, amounts determined to be uncollectible are recorded as a reduction in revenue in the condensed consolidated statements of operations. For all other receivables, amounts determined to be uncollectible are charged directly to general, administrative and other expenses in the condensed consolidated statements of operations. A corresponding allowance for doubtful accounts is recorded and such amounts were not significant for any period presented.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Due to Affiliates</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had the following due to affiliates balances at March 31, 2024 and December 31, 2023:</w:t>
      </w:r>
    </w:p>
    <w:p>
      <w:pPr>
        <w:spacing w:after="0" w:line="336" w:lineRule="exact"/>
        <w:rPr>
          <w:sz w:val="20"/>
          <w:szCs w:val="20"/>
          <w:color w:val="auto"/>
        </w:rPr>
      </w:pPr>
    </w:p>
    <w:tbl>
      <w:tblPr>
        <w:tblLayout w:type="fixed"/>
        <w:tblInd w:w="480" w:type="dxa"/>
        <w:tblCellMar>
          <w:top w:w="0" w:type="dxa"/>
          <w:left w:w="0" w:type="dxa"/>
          <w:bottom w:w="0" w:type="dxa"/>
          <w:right w:w="0" w:type="dxa"/>
        </w:tblCellMar>
      </w:tblPr>
      <w:tr>
        <w:trPr>
          <w:trHeight w:val="205"/>
        </w:trPr>
        <w:tc>
          <w:tcPr>
            <w:tcW w:w="60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20" w:type="dxa"/>
            <w:vAlign w:val="bottom"/>
            <w:tcBorders>
              <w:bottom w:val="single" w:sz="8" w:color="auto"/>
            </w:tcBorders>
          </w:tcPr>
          <w:p>
            <w:pPr>
              <w:spacing w:after="0"/>
              <w:rPr>
                <w:sz w:val="17"/>
                <w:szCs w:val="17"/>
                <w:color w:val="auto"/>
              </w:rPr>
            </w:pPr>
          </w:p>
        </w:tc>
      </w:tr>
      <w:tr>
        <w:trPr>
          <w:trHeight w:val="196"/>
        </w:trPr>
        <w:tc>
          <w:tcPr>
            <w:tcW w:w="6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0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7"/>
        </w:trPr>
        <w:tc>
          <w:tcPr>
            <w:tcW w:w="6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Due to affiliates of Consolidated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57"/>
        </w:trPr>
        <w:tc>
          <w:tcPr>
            <w:tcW w:w="6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Due to non-consolidated affiliates</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r>
      <w:tr>
        <w:trPr>
          <w:trHeight w:val="256"/>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Amounts owed under the tax receivable agreement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r>
      <w:tr>
        <w:trPr>
          <w:trHeight w:val="257"/>
        </w:trPr>
        <w:tc>
          <w:tcPr>
            <w:tcW w:w="6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consideration for Carlyle Holdings units</w:t>
            </w:r>
          </w:p>
        </w:tc>
        <w:tc>
          <w:tcPr>
            <w:tcW w:w="16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257"/>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27.6</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09"/>
        </w:trPr>
        <w:tc>
          <w:tcPr>
            <w:tcW w:w="6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203.6</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275.9</w:t>
            </w:r>
          </w:p>
        </w:tc>
      </w:tr>
      <w:tr>
        <w:trPr>
          <w:trHeight w:val="21"/>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0" w:firstLine="450"/>
        <w:spacing w:after="0" w:line="282" w:lineRule="auto"/>
        <w:rPr>
          <w:sz w:val="20"/>
          <w:szCs w:val="20"/>
          <w:color w:val="auto"/>
        </w:rPr>
      </w:pPr>
      <w:r>
        <w:rPr>
          <w:rFonts w:ascii="Times New Roman" w:cs="Times New Roman" w:eastAsia="Times New Roman" w:hAnsi="Times New Roman"/>
          <w:sz w:val="18"/>
          <w:szCs w:val="18"/>
          <w:color w:val="auto"/>
        </w:rPr>
        <w:t>The Company has recorded obligations for amounts due to certain of its affiliates. The Company periodically offsets expenses it has paid on behalf of its affiliates against these obligations.</w:t>
      </w:r>
    </w:p>
    <w:p>
      <w:pPr>
        <w:spacing w:after="0" w:line="162" w:lineRule="exact"/>
        <w:rPr>
          <w:sz w:val="20"/>
          <w:szCs w:val="20"/>
          <w:color w:val="auto"/>
        </w:rPr>
      </w:pPr>
    </w:p>
    <w:p>
      <w:pPr>
        <w:ind w:right="180" w:firstLine="450"/>
        <w:spacing w:after="0" w:line="258" w:lineRule="auto"/>
        <w:rPr>
          <w:sz w:val="20"/>
          <w:szCs w:val="20"/>
          <w:color w:val="auto"/>
        </w:rPr>
      </w:pPr>
      <w:r>
        <w:rPr>
          <w:rFonts w:ascii="Times New Roman" w:cs="Times New Roman" w:eastAsia="Times New Roman" w:hAnsi="Times New Roman"/>
          <w:sz w:val="18"/>
          <w:szCs w:val="18"/>
          <w:color w:val="auto"/>
        </w:rPr>
        <w:t>Deferred consideration for Carlyle Holdings units relates to the remaining obligation to the holders of Carlyle Holdings partnership units who will receive cash payments aggregating to $1.50 per Carlyle Holdings partnership unit exchanged in connection with the Conversion, payable in five annual installments of $0.30. The fifth and final annual installment payment occurred in January 2024. The obligation was initially recorded at fair value, net of a discount of $11.3 million and measured using Level III inputs in the fair value hierarchy.</w:t>
      </w:r>
    </w:p>
    <w:p>
      <w:pPr>
        <w:spacing w:after="0" w:line="183" w:lineRule="exact"/>
        <w:rPr>
          <w:sz w:val="20"/>
          <w:szCs w:val="20"/>
          <w:color w:val="auto"/>
        </w:rPr>
      </w:pPr>
    </w:p>
    <w:p>
      <w:pPr>
        <w:ind w:firstLine="45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initial public offering, the Company entered into a tax receivable agreement with the limited partners of the Carlyle Holdings partnerships whereby certain subsidiaries of the Partnership agreed to pay to the limited partners of the Carlyle Holdings partnerships involved in any exchange transaction 85% of the amount of cash tax savings, if any, in U.S. federal, state and local income tax realized as a result of increases in tax basis resulting from exchanges of Carlyle Holdings Partnership units for common units of The Carlyle Group L.P.</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9"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On May 5, 2020, the Company purchased 2,000,000 of the BDC Preferred Shares from CSL in a private placement at a price of $25 per share. Dividends are payable on a quarterly basis in an initial amount equal to 7.0% per annum payable in cash, or, at CSL’s option, 9.0% per annual payable in additional BDC Preferred Shares. The BDC Preferred Shares are convertible at the Company’s option, in whole or in part, into the number of shares of common stock equal to $25 per share plus any accumulated but unpaid dividends divided by an initial conversion price of $9.50 per share, subject to certain adjustments. With the approval of its board of directors, CSL has the option to redeem the BDC Preferred Shares, in whole or in part. In such case,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257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16115" cy="257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has the right to convert its shares, in whole or in part, prior to the date of redemption. For both the three months ended March 31, 2024 and 2023, the Company recorded dividend income of $0.9 million. Dividend income from the BDC Preferred Shares is included in interest and other income in the condensed consolidated statements of operations. The Company’s investment in the BDC Preferred Shares, which is recorded at fair value, was $90.1 million and $81.7 million as of March 31, 2024 and December 31, 2023, respectively, and is included in investments, including accrued performance allocations, in the condensed consolidated balance sheets.</w:t>
      </w:r>
    </w:p>
    <w:p>
      <w:pPr>
        <w:spacing w:after="0" w:line="187" w:lineRule="exact"/>
        <w:rPr>
          <w:sz w:val="20"/>
          <w:szCs w:val="20"/>
          <w:color w:val="auto"/>
        </w:rPr>
      </w:pPr>
    </w:p>
    <w:p>
      <w:pPr>
        <w:ind w:right="280" w:firstLine="445"/>
        <w:spacing w:after="0" w:line="258" w:lineRule="auto"/>
        <w:rPr>
          <w:sz w:val="20"/>
          <w:szCs w:val="20"/>
          <w:color w:val="auto"/>
        </w:rPr>
      </w:pPr>
      <w:r>
        <w:rPr>
          <w:rFonts w:ascii="Times New Roman" w:cs="Times New Roman" w:eastAsia="Times New Roman" w:hAnsi="Times New Roman"/>
          <w:sz w:val="18"/>
          <w:szCs w:val="18"/>
          <w:color w:val="auto"/>
        </w:rPr>
        <w:t>Senior Carlyle professionals and employees are permitted to participate in co-investment entities that invest in Carlyle funds or alongside Carlyle funds. In many cases, participation is limited by law to individuals who qualify under applicable legal requirements. These co-investment entities generally do not require senior Carlyle professionals and employees to pay management or performance allocations, however, Carlyle professionals and employees are required to pay their portion of partnership expenses.</w:t>
      </w:r>
    </w:p>
    <w:p>
      <w:pPr>
        <w:sectPr>
          <w:pgSz w:w="11900" w:h="16838" w:orient="portrait"/>
          <w:cols w:equalWidth="0" w:num="1">
            <w:col w:w="9240"/>
          </w:cols>
          <w:pgMar w:left="1320" w:top="108" w:right="1339" w:bottom="0" w:gutter="0" w:footer="0" w:header="0"/>
        </w:sectPr>
      </w:pPr>
    </w:p>
    <w:bookmarkStart w:id="42" w:name="page43"/>
    <w:bookmarkEnd w:id="42"/>
    <w:p>
      <w:pPr>
        <w:ind w:right="140" w:firstLine="445"/>
        <w:spacing w:after="0" w:line="237" w:lineRule="auto"/>
        <w:rPr>
          <w:sz w:val="20"/>
          <w:szCs w:val="20"/>
          <w:color w:val="auto"/>
        </w:rPr>
      </w:pPr>
      <w:r>
        <w:rPr>
          <w:rFonts w:ascii="Times New Roman" w:cs="Times New Roman" w:eastAsia="Times New Roman" w:hAnsi="Times New Roman"/>
          <w:sz w:val="18"/>
          <w:szCs w:val="18"/>
          <w:color w:val="auto"/>
        </w:rPr>
        <w:t>Carried interest income from certain funds can be distributed to senior Carlyle professionals and employees on a current basis, but is subject to repayment by the subsidiary of the Company that acts as general partner of the fund in the event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-238760</wp:posOffset>
            </wp:positionV>
            <wp:extent cx="7016115" cy="6482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16115" cy="6482715"/>
                    </a:xfrm>
                    <a:prstGeom prst="rect">
                      <a:avLst/>
                    </a:prstGeom>
                    <a:noFill/>
                  </pic:spPr>
                </pic:pic>
              </a:graphicData>
            </a:graphic>
          </wp:anchor>
        </w:drawing>
      </w:r>
    </w:p>
    <w:p>
      <w:pPr>
        <w:jc w:val="both"/>
        <w:ind w:right="280"/>
        <w:spacing w:after="0" w:line="253" w:lineRule="auto"/>
        <w:rPr>
          <w:sz w:val="20"/>
          <w:szCs w:val="20"/>
          <w:color w:val="auto"/>
        </w:rPr>
      </w:pPr>
      <w:r>
        <w:rPr>
          <w:rFonts w:ascii="Times New Roman" w:cs="Times New Roman" w:eastAsia="Times New Roman" w:hAnsi="Times New Roman"/>
          <w:sz w:val="18"/>
          <w:szCs w:val="18"/>
          <w:color w:val="auto"/>
        </w:rPr>
        <w:t>certain specified return thresholds are not ultimately achieved. The senior Carlyle professionals and certain other investment professionals have personally guaranteed, subject to certain limitations, the obligation of these subsidiaries in respect of this general partner obligation. Such guarantees are several and not joint and are limited to a particular individual’s distributions received.</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does business with some of its portfolio companies; all such arrangements are on a negotiated basis.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Substantially all revenue is earned from affiliates of Carlyle.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The Company’s provision for income taxes was $21.9 million and $34.3 million for the three months ended March 31, 2024 and 2023, respectively. The Company’s effective tax rate was approximately 18% and 21% for the three months ended March 31, 2024 and 2023, respectively. The effective tax rate for the three months ended March 31, 2024 and 2023 primarily comprises the 21% U.S. federal corporate income tax rate and the impact of U.S. state and foreign income taxes and disallowed executive compensation, partially offset by non-controlling interest and equity-based compensation deductions. As of</w:t>
      </w:r>
    </w:p>
    <w:p>
      <w:pPr>
        <w:spacing w:after="0" w:line="3"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March 31, 2024 and December 31, 2023, the Company had federal, state, local and foreign taxes payable of $101.4 million and $46.9 million, respectively, which is recorded as a component of accounts payable, accrued expenses and other liabilities on the accompanying condensed consolidated balance sheets.</w:t>
      </w:r>
    </w:p>
    <w:p>
      <w:pPr>
        <w:spacing w:after="0" w:line="186"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examination by federal and certain state, local and foreign tax regulators. With a few exceptions, as of March 31, 2024, the Company’s U.S. federal income tax returns for the years 2020 through 2022 are open under the normal three-year statute of limitations and therefore subject to examination. State and local tax returns are generally subject to audit from 2018 to 2022. Foreign tax returns are generally subject to audit from 2011 to 2022. Certain of the Company’s affiliates are currently under audit by federal, state and foreign tax authorities.</w:t>
      </w:r>
    </w:p>
    <w:p>
      <w:pPr>
        <w:spacing w:after="0" w:line="183"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The Company does not believe that the outcome of the audits will require it to record material reserves for uncertain tax positions or that the outcome will have a material impact on the consolidated financial statements. The Company does not believe that it has any tax positions for which it is reasonably possible that the total amounts of unrecognized tax benefits will significantly increase or decrease within the next twelve months.</w:t>
      </w:r>
    </w:p>
    <w:p>
      <w:pPr>
        <w:spacing w:after="0" w:line="180"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“IRA”) was signed into law. The IRA enacted a 15% CAMT on the “adjusted financial statement income” of certain large corporations, which became effective on January 1, 2023. The Company does not expect the IRA to have a material impact to its provision for income taxes given that any current year payments that would be made under CAMT would be permitted to be carried forward and used as credits in future years resulting in a deferred tax benefit. The Company will continue to monitor as additional guidance is released by U.S. Department of the Treasury, the IRS, and other standard-setting bodies.</w:t>
      </w:r>
    </w:p>
    <w:p>
      <w:pPr>
        <w:spacing w:after="0" w:line="187" w:lineRule="exact"/>
        <w:rPr>
          <w:sz w:val="20"/>
          <w:szCs w:val="20"/>
          <w:color w:val="auto"/>
        </w:rPr>
      </w:pPr>
    </w:p>
    <w:p>
      <w:pPr>
        <w:jc w:val="both"/>
        <w:ind w:right="220" w:firstLine="445"/>
        <w:spacing w:after="0" w:line="266" w:lineRule="auto"/>
        <w:rPr>
          <w:sz w:val="20"/>
          <w:szCs w:val="20"/>
          <w:color w:val="auto"/>
        </w:rPr>
      </w:pPr>
      <w:r>
        <w:rPr>
          <w:rFonts w:ascii="Times New Roman" w:cs="Times New Roman" w:eastAsia="Times New Roman" w:hAnsi="Times New Roman"/>
          <w:sz w:val="18"/>
          <w:szCs w:val="18"/>
          <w:color w:val="auto"/>
        </w:rPr>
        <w:t>On December 27, 2023, the State of New York issued final regulations that implemented comprehensive franchise tax reform for corporations, banks, and insurance companies. This did not have a material impact to the Company’s consolidated financial statements. The Company will continue to monitor as additional guidance is released by the State of New York.</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39509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16115" cy="3950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October 2021, the OECD introduced a 15% global minimum tax under the Pillar Two GloBE model rules. There are a number of key provisions under the rules that are being phased in during 2024 and 2025. Several OECD member countries have enacted the tax legislation based on certain elements of these rules that became effective on January 1, 2024, and additional countries have drafted or announced an intent to implement legislation. While the Company does not expect Pillar Two to have a material impact to its provision for income taxes for 2024, the rules remain subject to significant negotiation and potential change, and the timing and ultimate impact of any such changes on our tax obligations are uncertain. The Company will continue to monitor as additional countries enact legislation, new parts of the regime come into force or additional guidance is released by the OECD and other standard-setting bodies.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Non-controlling Interests in Consolidated Entities</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the Company’s non-controlling interests in consolidated entities are as follows:</w:t>
      </w:r>
    </w:p>
    <w:p>
      <w:pPr>
        <w:spacing w:after="0" w:line="201"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6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6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9"/>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0" w:type="dxa"/>
            <w:vAlign w:val="bottom"/>
          </w:tcPr>
          <w:p>
            <w:pPr>
              <w:spacing w:after="0"/>
              <w:rPr>
                <w:sz w:val="1"/>
                <w:szCs w:val="1"/>
                <w:color w:val="auto"/>
              </w:rPr>
            </w:pPr>
          </w:p>
        </w:tc>
      </w:tr>
      <w:tr>
        <w:trPr>
          <w:trHeight w:val="270"/>
        </w:trPr>
        <w:tc>
          <w:tcPr>
            <w:tcW w:w="6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Non-Carlyle interests in Consolidated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430.2</w:t>
            </w: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w:t>
            </w:r>
          </w:p>
        </w:tc>
        <w:tc>
          <w:tcPr>
            <w:tcW w:w="0" w:type="dxa"/>
            <w:vAlign w:val="bottom"/>
          </w:tcPr>
          <w:p>
            <w:pPr>
              <w:spacing w:after="0"/>
              <w:rPr>
                <w:sz w:val="1"/>
                <w:szCs w:val="1"/>
                <w:color w:val="auto"/>
              </w:rPr>
            </w:pPr>
          </w:p>
        </w:tc>
      </w:tr>
      <w:tr>
        <w:trPr>
          <w:trHeight w:val="270"/>
        </w:trPr>
        <w:tc>
          <w:tcPr>
            <w:tcW w:w="6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Non-Carlyle interests in majority-owned subsidiaries</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246.3</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0" w:type="dxa"/>
            <w:vAlign w:val="bottom"/>
          </w:tcPr>
          <w:p>
            <w:pPr>
              <w:spacing w:after="0"/>
              <w:rPr>
                <w:sz w:val="1"/>
                <w:szCs w:val="1"/>
                <w:color w:val="auto"/>
              </w:rPr>
            </w:pPr>
          </w:p>
        </w:tc>
      </w:tr>
      <w:tr>
        <w:trPr>
          <w:trHeight w:val="189"/>
        </w:trPr>
        <w:tc>
          <w:tcPr>
            <w:tcW w:w="6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Non-controlling interest in carried interest, giveback obligations and cash held for carried</w:t>
            </w:r>
          </w:p>
        </w:tc>
        <w:tc>
          <w:tcPr>
            <w:tcW w:w="1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2"/>
        </w:trPr>
        <w:tc>
          <w:tcPr>
            <w:tcW w:w="6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distributions</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Non-controlling interests in consolidated entities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669.3</w:t>
            </w:r>
          </w:p>
        </w:tc>
        <w:tc>
          <w:tcPr>
            <w:tcW w:w="60" w:type="dxa"/>
            <w:vAlign w:val="bottom"/>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240"/>
          </w:cols>
          <w:pgMar w:left="1320" w:top="108" w:right="1339" w:bottom="0" w:gutter="0" w:footer="0" w:header="0"/>
        </w:sectPr>
      </w:pPr>
    </w:p>
    <w:bookmarkStart w:id="43" w:name="page44"/>
    <w:bookmarkEnd w:id="43"/>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1111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16115" cy="511111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The components of the Company’s non-controlling interests in income of consolidated entities are as follows:</w:t>
      </w:r>
    </w:p>
    <w:p>
      <w:pPr>
        <w:spacing w:after="0" w:line="226" w:lineRule="exact"/>
        <w:rPr>
          <w:sz w:val="20"/>
          <w:szCs w:val="20"/>
          <w:color w:val="auto"/>
        </w:rPr>
      </w:pPr>
    </w:p>
    <w:p>
      <w:pPr>
        <w:jc w:val="center"/>
        <w:ind w:left="46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6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3" w:lineRule="exact"/>
        <w:rPr>
          <w:sz w:val="20"/>
          <w:szCs w:val="20"/>
          <w:color w:val="auto"/>
        </w:rPr>
      </w:pPr>
    </w:p>
    <w:tbl>
      <w:tblPr>
        <w:tblLayout w:type="fixed"/>
        <w:tblInd w:w="1180" w:type="dxa"/>
        <w:tblCellMar>
          <w:top w:w="0" w:type="dxa"/>
          <w:left w:w="0" w:type="dxa"/>
          <w:bottom w:w="0" w:type="dxa"/>
          <w:right w:w="0" w:type="dxa"/>
        </w:tblCellMar>
      </w:tblPr>
      <w:tr>
        <w:trPr>
          <w:trHeight w:val="205"/>
        </w:trPr>
        <w:tc>
          <w:tcPr>
            <w:tcW w:w="466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Non-Carlyle interests in Consolidated Funds</w:t>
            </w:r>
          </w:p>
        </w:tc>
        <w:tc>
          <w:tcPr>
            <w:tcW w:w="72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12.7</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17.2</w:t>
            </w:r>
          </w:p>
        </w:tc>
        <w:tc>
          <w:tcPr>
            <w:tcW w:w="0" w:type="dxa"/>
            <w:vAlign w:val="bottom"/>
          </w:tcPr>
          <w:p>
            <w:pPr>
              <w:spacing w:after="0"/>
              <w:rPr>
                <w:sz w:val="1"/>
                <w:szCs w:val="1"/>
                <w:color w:val="auto"/>
              </w:rPr>
            </w:pPr>
          </w:p>
        </w:tc>
      </w:tr>
      <w:tr>
        <w:trPr>
          <w:trHeight w:val="257"/>
        </w:trPr>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Non-Carlyle interests in majority-owned subsidiaries</w:t>
            </w:r>
          </w:p>
        </w:tc>
        <w:tc>
          <w:tcPr>
            <w:tcW w:w="7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20.5</w:t>
            </w: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Non-controlling interest in carried interest, giveback obligations and</w:t>
            </w:r>
          </w:p>
        </w:tc>
        <w:tc>
          <w:tcPr>
            <w:tcW w:w="720" w:type="dxa"/>
            <w:vAlign w:val="bottom"/>
            <w:shd w:val="clear" w:color="auto" w:fill="CCEEFF"/>
          </w:tcPr>
          <w:p>
            <w:pPr>
              <w:spacing w:after="0"/>
              <w:rPr>
                <w:sz w:val="16"/>
                <w:szCs w:val="16"/>
                <w:color w:val="auto"/>
              </w:rPr>
            </w:pP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held for carried interest distributions</w:t>
            </w:r>
          </w:p>
        </w:tc>
        <w:tc>
          <w:tcPr>
            <w:tcW w:w="72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Non-controlling interests in income of consolidated entities</w:t>
            </w:r>
          </w:p>
        </w:tc>
        <w:tc>
          <w:tcPr>
            <w:tcW w:w="72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33.2</w:t>
            </w: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24.6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Common Share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Basic and diluted net income (loss) per common share are calculated as follows:</w:t>
      </w:r>
    </w:p>
    <w:p>
      <w:pPr>
        <w:spacing w:after="0" w:line="154"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4"/>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200" w:type="dxa"/>
            <w:vAlign w:val="bottom"/>
          </w:tcPr>
          <w:p>
            <w:pPr>
              <w:spacing w:after="0"/>
              <w:rPr>
                <w:sz w:val="21"/>
                <w:szCs w:val="21"/>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98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attributable to common shares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65,600,000</w:t>
            </w:r>
          </w:p>
        </w:tc>
        <w:tc>
          <w:tcPr>
            <w:tcW w:w="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65,600,000</w:t>
            </w:r>
          </w:p>
        </w:tc>
        <w:tc>
          <w:tcPr>
            <w:tcW w:w="2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49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360,908,247</w:t>
            </w:r>
          </w:p>
        </w:tc>
        <w:tc>
          <w:tcPr>
            <w:tcW w:w="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369,343,601</w:t>
            </w:r>
          </w:p>
        </w:tc>
        <w:tc>
          <w:tcPr>
            <w:tcW w:w="20" w:type="dxa"/>
            <w:vAlign w:val="bottom"/>
          </w:tcPr>
          <w:p>
            <w:pPr>
              <w:spacing w:after="0"/>
              <w:rPr>
                <w:sz w:val="23"/>
                <w:szCs w:val="23"/>
                <w:color w:val="auto"/>
              </w:rPr>
            </w:pPr>
          </w:p>
        </w:tc>
      </w:tr>
      <w:tr>
        <w:trPr>
          <w:trHeight w:val="248"/>
        </w:trPr>
        <w:tc>
          <w:tcPr>
            <w:tcW w:w="20" w:type="dxa"/>
            <w:vAlign w:val="bottom"/>
          </w:tcPr>
          <w:p>
            <w:pPr>
              <w:spacing w:after="0"/>
              <w:rPr>
                <w:sz w:val="21"/>
                <w:szCs w:val="21"/>
                <w:color w:val="auto"/>
              </w:rPr>
            </w:pPr>
          </w:p>
        </w:tc>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0.18</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4"/>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March 31, 2023</w:t>
            </w:r>
          </w:p>
        </w:tc>
        <w:tc>
          <w:tcPr>
            <w:tcW w:w="20" w:type="dxa"/>
            <w:vAlign w:val="bottom"/>
            <w:tcBorders>
              <w:bottom w:val="single" w:sz="8" w:color="auto"/>
            </w:tcBorders>
          </w:tcPr>
          <w:p>
            <w:pPr>
              <w:spacing w:after="0"/>
              <w:rPr>
                <w:sz w:val="17"/>
                <w:szCs w:val="17"/>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9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20" w:type="dxa"/>
            <w:vAlign w:val="bottom"/>
            <w:tcBorders>
              <w:bottom w:val="single" w:sz="8" w:color="auto"/>
            </w:tcBorders>
          </w:tcPr>
          <w:p>
            <w:pPr>
              <w:spacing w:after="0"/>
              <w:rPr>
                <w:sz w:val="18"/>
                <w:szCs w:val="18"/>
                <w:color w:val="auto"/>
              </w:rPr>
            </w:pPr>
          </w:p>
        </w:tc>
      </w:tr>
      <w:tr>
        <w:trPr>
          <w:trHeight w:val="250"/>
        </w:trPr>
        <w:tc>
          <w:tcPr>
            <w:tcW w:w="20" w:type="dxa"/>
            <w:vAlign w:val="bottom"/>
            <w:shd w:val="clear" w:color="auto" w:fill="CCEEFF"/>
          </w:tcPr>
          <w:p>
            <w:pPr>
              <w:spacing w:after="0"/>
              <w:rPr>
                <w:sz w:val="21"/>
                <w:szCs w:val="21"/>
                <w:color w:val="auto"/>
              </w:rPr>
            </w:pPr>
          </w:p>
        </w:tc>
        <w:tc>
          <w:tcPr>
            <w:tcW w:w="4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attributable to common shares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100,700,000</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100,700,000</w:t>
            </w:r>
          </w:p>
        </w:tc>
        <w:tc>
          <w:tcPr>
            <w:tcW w:w="20" w:type="dxa"/>
            <w:vAlign w:val="bottom"/>
            <w:shd w:val="clear" w:color="auto" w:fill="CCEEFF"/>
          </w:tcPr>
          <w:p>
            <w:pPr>
              <w:spacing w:after="0"/>
              <w:rPr>
                <w:sz w:val="21"/>
                <w:szCs w:val="2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4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362,944,260</w:t>
            </w:r>
          </w:p>
        </w:tc>
        <w:tc>
          <w:tcPr>
            <w:tcW w:w="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365,357,833</w:t>
            </w:r>
          </w:p>
        </w:tc>
        <w:tc>
          <w:tcPr>
            <w:tcW w:w="20" w:type="dxa"/>
            <w:vAlign w:val="bottom"/>
            <w:tcBorders>
              <w:bottom w:val="single" w:sz="8" w:color="auto"/>
            </w:tcBorders>
          </w:tcPr>
          <w:p>
            <w:pPr>
              <w:spacing w:after="0"/>
              <w:rPr>
                <w:sz w:val="22"/>
                <w:szCs w:val="22"/>
                <w:color w:val="auto"/>
              </w:rPr>
            </w:pPr>
          </w:p>
        </w:tc>
      </w:tr>
      <w:tr>
        <w:trPr>
          <w:trHeight w:val="243"/>
        </w:trPr>
        <w:tc>
          <w:tcPr>
            <w:tcW w:w="20" w:type="dxa"/>
            <w:vAlign w:val="bottom"/>
            <w:shd w:val="clear" w:color="auto" w:fill="CCEEFF"/>
          </w:tcPr>
          <w:p>
            <w:pPr>
              <w:spacing w:after="0"/>
              <w:rPr>
                <w:sz w:val="21"/>
                <w:szCs w:val="21"/>
                <w:color w:val="auto"/>
              </w:rPr>
            </w:pPr>
          </w:p>
        </w:tc>
        <w:tc>
          <w:tcPr>
            <w:tcW w:w="4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20" w:type="dxa"/>
            <w:vAlign w:val="bottom"/>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53225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16115" cy="532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weighted-average common shares outstanding, basic and diluted, are calculated as follows:</w:t>
      </w:r>
    </w:p>
    <w:p>
      <w:pPr>
        <w:spacing w:after="0" w:line="154"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23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3"/>
        </w:trPr>
        <w:tc>
          <w:tcPr>
            <w:tcW w:w="4980" w:type="dxa"/>
            <w:vAlign w:val="bottom"/>
          </w:tcPr>
          <w:p>
            <w:pPr>
              <w:spacing w:after="0"/>
              <w:rPr>
                <w:sz w:val="17"/>
                <w:szCs w:val="17"/>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r>
      <w:tr>
        <w:trPr>
          <w:trHeight w:val="250"/>
        </w:trPr>
        <w:tc>
          <w:tcPr>
            <w:tcW w:w="498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11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Diluted</w:t>
            </w:r>
          </w:p>
        </w:tc>
      </w:tr>
      <w:tr>
        <w:trPr>
          <w:trHeight w:val="250"/>
        </w:trPr>
        <w:tc>
          <w:tcPr>
            <w:tcW w:w="4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The Carlyle Group Inc. weighted-average common shares outstanding</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360,908,247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360,908,247</w:t>
            </w:r>
          </w:p>
        </w:tc>
        <w:tc>
          <w:tcPr>
            <w:tcW w:w="20" w:type="dxa"/>
            <w:vAlign w:val="bottom"/>
            <w:shd w:val="clear" w:color="auto" w:fill="CCEEFF"/>
          </w:tcPr>
          <w:p>
            <w:pPr>
              <w:spacing w:after="0"/>
              <w:rPr>
                <w:sz w:val="21"/>
                <w:szCs w:val="21"/>
                <w:color w:val="auto"/>
              </w:rPr>
            </w:pPr>
          </w:p>
        </w:tc>
      </w:tr>
      <w:tr>
        <w:trPr>
          <w:trHeight w:val="270"/>
        </w:trPr>
        <w:tc>
          <w:tcPr>
            <w:tcW w:w="4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Unvested restricted stock units</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6,733,282</w:t>
            </w:r>
          </w:p>
        </w:tc>
        <w:tc>
          <w:tcPr>
            <w:tcW w:w="20" w:type="dxa"/>
            <w:vAlign w:val="bottom"/>
          </w:tcPr>
          <w:p>
            <w:pPr>
              <w:spacing w:after="0"/>
              <w:rPr>
                <w:sz w:val="23"/>
                <w:szCs w:val="23"/>
                <w:color w:val="auto"/>
              </w:rPr>
            </w:pPr>
          </w:p>
        </w:tc>
      </w:tr>
      <w:tr>
        <w:trPr>
          <w:trHeight w:val="270"/>
        </w:trPr>
        <w:tc>
          <w:tcPr>
            <w:tcW w:w="4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Issuable common shares and performance-vesting restricted stock units</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1,702,072</w:t>
            </w:r>
          </w:p>
        </w:tc>
        <w:tc>
          <w:tcPr>
            <w:tcW w:w="20" w:type="dxa"/>
            <w:vAlign w:val="bottom"/>
            <w:shd w:val="clear" w:color="auto" w:fill="CCEEFF"/>
          </w:tcPr>
          <w:p>
            <w:pPr>
              <w:spacing w:after="0"/>
              <w:rPr>
                <w:sz w:val="23"/>
                <w:szCs w:val="23"/>
                <w:color w:val="auto"/>
              </w:rPr>
            </w:pPr>
          </w:p>
        </w:tc>
      </w:tr>
      <w:tr>
        <w:trPr>
          <w:trHeight w:val="223"/>
        </w:trPr>
        <w:tc>
          <w:tcPr>
            <w:tcW w:w="4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360,908,247</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369,343,601</w:t>
            </w:r>
          </w:p>
        </w:tc>
        <w:tc>
          <w:tcPr>
            <w:tcW w:w="20" w:type="dxa"/>
            <w:vAlign w:val="bottom"/>
            <w:tcBorders>
              <w:top w:val="single" w:sz="8" w:color="auto"/>
              <w:bottom w:val="single" w:sz="8" w:color="auto"/>
            </w:tcBorders>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66"/>
        </w:trPr>
        <w:tc>
          <w:tcPr>
            <w:tcW w:w="4980" w:type="dxa"/>
            <w:vAlign w:val="bottom"/>
          </w:tcPr>
          <w:p>
            <w:pPr>
              <w:spacing w:after="0"/>
              <w:rPr>
                <w:sz w:val="24"/>
                <w:szCs w:val="24"/>
                <w:color w:val="auto"/>
              </w:rPr>
            </w:pPr>
          </w:p>
        </w:tc>
        <w:tc>
          <w:tcPr>
            <w:tcW w:w="23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2"/>
        </w:trPr>
        <w:tc>
          <w:tcPr>
            <w:tcW w:w="4980" w:type="dxa"/>
            <w:vAlign w:val="bottom"/>
          </w:tcPr>
          <w:p>
            <w:pPr>
              <w:spacing w:after="0"/>
              <w:rPr>
                <w:sz w:val="17"/>
                <w:szCs w:val="17"/>
                <w:color w:val="auto"/>
              </w:rPr>
            </w:pPr>
          </w:p>
        </w:tc>
        <w:tc>
          <w:tcPr>
            <w:tcW w:w="2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 2023</w:t>
            </w:r>
          </w:p>
        </w:tc>
        <w:tc>
          <w:tcPr>
            <w:tcW w:w="20" w:type="dxa"/>
            <w:vAlign w:val="bottom"/>
          </w:tcPr>
          <w:p>
            <w:pPr>
              <w:spacing w:after="0"/>
              <w:rPr>
                <w:sz w:val="17"/>
                <w:szCs w:val="17"/>
                <w:color w:val="auto"/>
              </w:rPr>
            </w:pPr>
          </w:p>
        </w:tc>
      </w:tr>
      <w:tr>
        <w:trPr>
          <w:trHeight w:val="237"/>
        </w:trPr>
        <w:tc>
          <w:tcPr>
            <w:tcW w:w="4980" w:type="dxa"/>
            <w:vAlign w:val="bottom"/>
          </w:tcPr>
          <w:p>
            <w:pPr>
              <w:spacing w:after="0"/>
              <w:rPr>
                <w:sz w:val="20"/>
                <w:szCs w:val="20"/>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Diluted</w:t>
            </w:r>
          </w:p>
        </w:tc>
      </w:tr>
      <w:tr>
        <w:trPr>
          <w:trHeight w:val="236"/>
        </w:trPr>
        <w:tc>
          <w:tcPr>
            <w:tcW w:w="49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The Carlyle Group Inc. weighted-average common shares outstanding</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362,944,260</w:t>
            </w:r>
          </w:p>
        </w:tc>
        <w:tc>
          <w:tcPr>
            <w:tcW w:w="2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362,944,260</w:t>
            </w:r>
          </w:p>
        </w:tc>
        <w:tc>
          <w:tcPr>
            <w:tcW w:w="20" w:type="dxa"/>
            <w:vAlign w:val="bottom"/>
          </w:tcPr>
          <w:p>
            <w:pPr>
              <w:spacing w:after="0"/>
              <w:rPr>
                <w:sz w:val="20"/>
                <w:szCs w:val="20"/>
                <w:color w:val="auto"/>
              </w:rPr>
            </w:pPr>
          </w:p>
        </w:tc>
      </w:tr>
      <w:tr>
        <w:trPr>
          <w:trHeight w:val="256"/>
        </w:trPr>
        <w:tc>
          <w:tcPr>
            <w:tcW w:w="4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Unvested restricted stock units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1,702,114</w:t>
            </w:r>
          </w:p>
        </w:tc>
        <w:tc>
          <w:tcPr>
            <w:tcW w:w="20" w:type="dxa"/>
            <w:vAlign w:val="bottom"/>
          </w:tcPr>
          <w:p>
            <w:pPr>
              <w:spacing w:after="0"/>
              <w:rPr>
                <w:sz w:val="22"/>
                <w:szCs w:val="22"/>
                <w:color w:val="auto"/>
              </w:rPr>
            </w:pPr>
          </w:p>
        </w:tc>
      </w:tr>
      <w:tr>
        <w:trPr>
          <w:trHeight w:val="256"/>
        </w:trPr>
        <w:tc>
          <w:tcPr>
            <w:tcW w:w="4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Issuable common shares and performance-vesting restricted stock units</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711,459</w:t>
            </w:r>
          </w:p>
        </w:tc>
        <w:tc>
          <w:tcPr>
            <w:tcW w:w="20" w:type="dxa"/>
            <w:vAlign w:val="bottom"/>
          </w:tcPr>
          <w:p>
            <w:pPr>
              <w:spacing w:after="0"/>
              <w:rPr>
                <w:sz w:val="22"/>
                <w:szCs w:val="22"/>
                <w:color w:val="auto"/>
              </w:rPr>
            </w:pPr>
          </w:p>
        </w:tc>
      </w:tr>
      <w:tr>
        <w:trPr>
          <w:trHeight w:val="209"/>
        </w:trPr>
        <w:tc>
          <w:tcPr>
            <w:tcW w:w="4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362,944,260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365,357,833</w:t>
            </w:r>
          </w:p>
        </w:tc>
        <w:tc>
          <w:tcPr>
            <w:tcW w:w="20" w:type="dxa"/>
            <w:vAlign w:val="bottom"/>
          </w:tcPr>
          <w:p>
            <w:pPr>
              <w:spacing w:after="0"/>
              <w:rPr>
                <w:sz w:val="18"/>
                <w:szCs w:val="18"/>
                <w:color w:val="auto"/>
              </w:rPr>
            </w:pPr>
          </w:p>
        </w:tc>
      </w:tr>
      <w:tr>
        <w:trPr>
          <w:trHeight w:val="21"/>
        </w:trPr>
        <w:tc>
          <w:tcPr>
            <w:tcW w:w="4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firstLine="445"/>
        <w:spacing w:after="0" w:line="289" w:lineRule="auto"/>
        <w:rPr>
          <w:sz w:val="20"/>
          <w:szCs w:val="20"/>
          <w:color w:val="auto"/>
        </w:rPr>
      </w:pPr>
      <w:r>
        <w:rPr>
          <w:rFonts w:ascii="Times New Roman" w:cs="Times New Roman" w:eastAsia="Times New Roman" w:hAnsi="Times New Roman"/>
          <w:sz w:val="17"/>
          <w:szCs w:val="17"/>
          <w:color w:val="auto"/>
        </w:rPr>
        <w:t>The Company applies the treasury stock method to determine the dilutive weighted-average common shares represented by the unvested restricted stock units. Also included in the determination of dilutive weighted-average common shares are issuable common shares associated with the Company’s investment in NGP and performance-vesting restricted stock units.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29" w:lineRule="exact"/>
        <w:rPr>
          <w:sz w:val="20"/>
          <w:szCs w:val="20"/>
          <w:color w:val="auto"/>
        </w:rPr>
      </w:pPr>
    </w:p>
    <w:p>
      <w:pPr>
        <w:ind w:firstLine="445"/>
        <w:spacing w:after="0" w:line="277" w:lineRule="auto"/>
        <w:rPr>
          <w:sz w:val="20"/>
          <w:szCs w:val="20"/>
          <w:color w:val="auto"/>
        </w:rPr>
      </w:pPr>
      <w:r>
        <w:rPr>
          <w:rFonts w:ascii="Times New Roman" w:cs="Times New Roman" w:eastAsia="Times New Roman" w:hAnsi="Times New Roman"/>
          <w:sz w:val="17"/>
          <w:szCs w:val="17"/>
          <w:color w:val="auto"/>
        </w:rPr>
        <w:t>Pursuant to a share repurchase program that was publicly announced in February 2021, and subsequently amended in October 2021 and February 2023, the Board of Directors of the Company authorized the repurchase of up to $500 million in shares of our common stock, effective as of March 31, 2023. The Board of Directors reset the total repurchase authorization to $1.4 billion in shares of our common stock, effective as of February 6, 2024, which authorization replaced the Company’s prior $500 million authorization. Under this repurchase program, shares of common stock may be repurchased from time to time in</w:t>
      </w:r>
    </w:p>
    <w:p>
      <w:pPr>
        <w:sectPr>
          <w:pgSz w:w="11900" w:h="16921" w:orient="portrait"/>
          <w:cols w:equalWidth="0" w:num="1">
            <w:col w:w="9180"/>
          </w:cols>
          <w:pgMar w:left="1320" w:top="243" w:right="1399" w:bottom="0" w:gutter="0" w:footer="0" w:header="0"/>
        </w:sectPr>
      </w:pPr>
    </w:p>
    <w:bookmarkStart w:id="44" w:name="page45"/>
    <w:bookmarkEnd w:id="44"/>
    <w:p>
      <w:pPr>
        <w:spacing w:after="0" w:line="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open market transactions, in privately negotiated transactions, or otherwise, including through Rule 10b5-1 plans. The timing and actual number of shares of common stock repurchased will depend on a variety of factors, including legal requirements and price, economic, and market conditions. In addition to repurchases of common stock, the repurchase program is used for the payment of tax withholding amounts upon net share settlement of equity-based awards granted pursuant to our Equity Incentive Plan or otherwise based on the value of shares withheld that would have otherwise been issued to the award holder. The share repurchase program may be suspended or discontinued at any time and does not have a specified expiration date. As of March 31, 2024, $1,256.9 million of repurchase capacity remained under the program, which reflects both common shares repurchased and shares retired in connection with the net share settlement of equity-based awards. The following table presents the Company’s shares that have been repurchased or retired as a result of net share settlement of equity-based awards during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-1358900</wp:posOffset>
            </wp:positionV>
            <wp:extent cx="7016115" cy="3739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16115" cy="3739515"/>
                    </a:xfrm>
                    <a:prstGeom prst="rect">
                      <a:avLst/>
                    </a:prstGeom>
                    <a:noFill/>
                  </pic:spPr>
                </pic:pic>
              </a:graphicData>
            </a:graphic>
          </wp:anchor>
        </w:drawing>
      </w:r>
    </w:p>
    <w:p>
      <w:pPr>
        <w:spacing w:after="0" w:line="129"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53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00" w:type="dxa"/>
            <w:vAlign w:val="bottom"/>
          </w:tcPr>
          <w:p>
            <w:pPr>
              <w:spacing w:after="0"/>
              <w:rPr>
                <w:sz w:val="16"/>
                <w:szCs w:val="16"/>
                <w:color w:val="auto"/>
              </w:rPr>
            </w:pPr>
          </w:p>
        </w:tc>
        <w:tc>
          <w:tcPr>
            <w:tcW w:w="128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6"/>
                <w:szCs w:val="16"/>
                <w:color w:val="auto"/>
              </w:rPr>
            </w:pPr>
          </w:p>
        </w:tc>
      </w:tr>
      <w:tr>
        <w:trPr>
          <w:trHeight w:val="263"/>
        </w:trPr>
        <w:tc>
          <w:tcPr>
            <w:tcW w:w="54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9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7"/>
        </w:trPr>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Shares repurchased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2,853,602</w:t>
            </w:r>
          </w:p>
        </w:tc>
        <w:tc>
          <w:tcPr>
            <w:tcW w:w="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2,998,813</w:t>
            </w:r>
          </w:p>
        </w:tc>
        <w:tc>
          <w:tcPr>
            <w:tcW w:w="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r>
      <w:tr>
        <w:trPr>
          <w:trHeight w:val="257"/>
        </w:trPr>
        <w:tc>
          <w:tcPr>
            <w:tcW w:w="54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Shares retired in connection with the net share settlement of equity-based awards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481,261</w:t>
            </w: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5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3,334,863</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2,998,813</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IRA also enacted a 1% excise tax on certain actual and deemed stock repurchases by publicly traded U.S. corporations effective January 1, 2023. The value of repurchases subject to the tax is reduced by the value of any stock issued by the corporation during the tax year, including stock issued or provided to the employees of the corporation. The excise tax is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66941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16115" cy="669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accounted for in equity as an additional repurchase cost. The excise tax for the three months ended March 31, 2024 was $0.6 million. Excise tax for the three months ended March 31, 2023 was immaterial.</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The table below presents information regarding the quarterly dividends on the common shares, which were made at the sole discretion of the Board of Directors of the Company.</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2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Dividend Record Date</w:t>
            </w:r>
          </w:p>
        </w:tc>
        <w:tc>
          <w:tcPr>
            <w:tcW w:w="24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Dividend Payment Date</w:t>
            </w:r>
          </w:p>
        </w:tc>
        <w:tc>
          <w:tcPr>
            <w:tcW w:w="140" w:type="dxa"/>
            <w:vAlign w:val="bottom"/>
          </w:tcPr>
          <w:p>
            <w:pPr>
              <w:spacing w:after="0"/>
              <w:rPr>
                <w:sz w:val="16"/>
                <w:szCs w:val="16"/>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Dividend per Common</w:t>
            </w:r>
          </w:p>
        </w:tc>
        <w:tc>
          <w:tcPr>
            <w:tcW w:w="180" w:type="dxa"/>
            <w:vAlign w:val="bottom"/>
          </w:tcPr>
          <w:p>
            <w:pPr>
              <w:spacing w:after="0"/>
              <w:rPr>
                <w:sz w:val="16"/>
                <w:szCs w:val="16"/>
                <w:color w:val="auto"/>
              </w:rPr>
            </w:pPr>
          </w:p>
        </w:tc>
        <w:tc>
          <w:tcPr>
            <w:tcW w:w="17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Dividend to Common</w:t>
            </w:r>
          </w:p>
        </w:tc>
        <w:tc>
          <w:tcPr>
            <w:tcW w:w="0" w:type="dxa"/>
            <w:vAlign w:val="bottom"/>
          </w:tcPr>
          <w:p>
            <w:pPr>
              <w:spacing w:after="0"/>
              <w:rPr>
                <w:sz w:val="1"/>
                <w:szCs w:val="1"/>
                <w:color w:val="auto"/>
              </w:rPr>
            </w:pPr>
          </w:p>
        </w:tc>
      </w:tr>
      <w:tr>
        <w:trPr>
          <w:trHeight w:val="203"/>
        </w:trPr>
        <w:tc>
          <w:tcPr>
            <w:tcW w:w="2160" w:type="dxa"/>
            <w:vAlign w:val="bottom"/>
            <w:gridSpan w:val="2"/>
            <w:vMerge w:val="continue"/>
          </w:tcPr>
          <w:p>
            <w:pPr>
              <w:spacing w:after="0"/>
              <w:rPr>
                <w:sz w:val="17"/>
                <w:szCs w:val="17"/>
                <w:color w:val="auto"/>
              </w:rPr>
            </w:pPr>
          </w:p>
        </w:tc>
        <w:tc>
          <w:tcPr>
            <w:tcW w:w="24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80" w:type="dxa"/>
            <w:vAlign w:val="bottom"/>
          </w:tcPr>
          <w:p>
            <w:pPr>
              <w:spacing w:after="0"/>
              <w:rPr>
                <w:sz w:val="17"/>
                <w:szCs w:val="17"/>
                <w:color w:val="auto"/>
              </w:rPr>
            </w:pPr>
          </w:p>
        </w:tc>
        <w:tc>
          <w:tcPr>
            <w:tcW w:w="17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7"/>
        </w:trPr>
        <w:tc>
          <w:tcPr>
            <w:tcW w:w="2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820" w:type="dxa"/>
            <w:vAlign w:val="bottom"/>
            <w:tcBorders>
              <w:top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0" w:type="dxa"/>
            <w:vAlign w:val="bottom"/>
          </w:tcPr>
          <w:p>
            <w:pPr>
              <w:spacing w:after="0"/>
              <w:rPr>
                <w:sz w:val="1"/>
                <w:szCs w:val="1"/>
                <w:color w:val="auto"/>
              </w:rPr>
            </w:pPr>
          </w:p>
        </w:tc>
      </w:tr>
      <w:tr>
        <w:trPr>
          <w:trHeight w:val="256"/>
        </w:trPr>
        <w:tc>
          <w:tcPr>
            <w:tcW w:w="2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May 16, 2023</w:t>
            </w:r>
          </w:p>
        </w:tc>
        <w:tc>
          <w:tcPr>
            <w:tcW w:w="24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May 23,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0" w:type="dxa"/>
            <w:vAlign w:val="bottom"/>
          </w:tcPr>
          <w:p>
            <w:pPr>
              <w:spacing w:after="0"/>
              <w:rPr>
                <w:sz w:val="1"/>
                <w:szCs w:val="1"/>
                <w:color w:val="auto"/>
              </w:rPr>
            </w:pPr>
          </w:p>
        </w:tc>
      </w:tr>
      <w:tr>
        <w:trPr>
          <w:trHeight w:val="257"/>
        </w:trPr>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August 15, 2023</w:t>
            </w:r>
          </w:p>
        </w:tc>
        <w:tc>
          <w:tcPr>
            <w:tcW w:w="24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August 23, 2023</w:t>
            </w:r>
          </w:p>
        </w:tc>
        <w:tc>
          <w:tcPr>
            <w:tcW w:w="14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0" w:type="dxa"/>
            <w:vAlign w:val="bottom"/>
          </w:tcPr>
          <w:p>
            <w:pPr>
              <w:spacing w:after="0"/>
              <w:rPr>
                <w:sz w:val="1"/>
                <w:szCs w:val="1"/>
                <w:color w:val="auto"/>
              </w:rPr>
            </w:pPr>
          </w:p>
        </w:tc>
      </w:tr>
      <w:tr>
        <w:trPr>
          <w:trHeight w:val="256"/>
        </w:trPr>
        <w:tc>
          <w:tcPr>
            <w:tcW w:w="2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November 21, 2023</w:t>
            </w:r>
          </w:p>
        </w:tc>
        <w:tc>
          <w:tcPr>
            <w:tcW w:w="24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November 29, 2023</w:t>
            </w:r>
          </w:p>
        </w:tc>
        <w:tc>
          <w:tcPr>
            <w:tcW w:w="14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0" w:type="dxa"/>
            <w:vAlign w:val="bottom"/>
          </w:tcPr>
          <w:p>
            <w:pPr>
              <w:spacing w:after="0"/>
              <w:rPr>
                <w:sz w:val="1"/>
                <w:szCs w:val="1"/>
                <w:color w:val="auto"/>
              </w:rPr>
            </w:pPr>
          </w:p>
        </w:tc>
      </w:tr>
      <w:tr>
        <w:trPr>
          <w:trHeight w:val="257"/>
        </w:trPr>
        <w:tc>
          <w:tcPr>
            <w:tcW w:w="216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February 23, 2024</w:t>
            </w:r>
          </w:p>
        </w:tc>
        <w:tc>
          <w:tcPr>
            <w:tcW w:w="2440" w:type="dxa"/>
            <w:vAlign w:val="bottom"/>
            <w:tcBorders>
              <w:bottom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March 1, 2024</w:t>
            </w:r>
          </w:p>
        </w:tc>
        <w:tc>
          <w:tcPr>
            <w:tcW w:w="1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0" w:type="dxa"/>
            <w:vAlign w:val="bottom"/>
          </w:tcPr>
          <w:p>
            <w:pPr>
              <w:spacing w:after="0"/>
              <w:rPr>
                <w:sz w:val="1"/>
                <w:szCs w:val="1"/>
                <w:color w:val="auto"/>
              </w:rPr>
            </w:pPr>
          </w:p>
        </w:tc>
      </w:tr>
      <w:tr>
        <w:trPr>
          <w:trHeight w:val="235"/>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2023 Dividend Year</w:t>
            </w:r>
          </w:p>
        </w:tc>
        <w:tc>
          <w:tcPr>
            <w:tcW w:w="2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506.0</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May 14, 2024</w:t>
            </w:r>
          </w:p>
        </w:tc>
        <w:tc>
          <w:tcPr>
            <w:tcW w:w="24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May 21,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0" w:type="dxa"/>
            <w:vAlign w:val="bottom"/>
          </w:tcPr>
          <w:p>
            <w:pPr>
              <w:spacing w:after="0"/>
              <w:rPr>
                <w:sz w:val="1"/>
                <w:szCs w:val="1"/>
                <w:color w:val="auto"/>
              </w:rPr>
            </w:pPr>
          </w:p>
        </w:tc>
      </w:tr>
      <w:tr>
        <w:trPr>
          <w:trHeight w:val="210"/>
        </w:trPr>
        <w:tc>
          <w:tcPr>
            <w:tcW w:w="46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Total 2024 Dividend Year (through Q1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The Board of Directors will take into account general economic and business conditions, as well as the Company’s strategic plans and prospects, business and investment opportunities, financial condition and obligations, legal, tax and regulatory restrictions, other constraints on the payment of dividends by the Company to its common stockholders or by subsidiaries to the Company, and other such factors as the Board of Directors may deem relevant. In addition, the terms of the Company’s credit facility provide certain limits on the Company’s ability to pay dividends.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Equity-Based Compensation</w:t>
      </w:r>
    </w:p>
    <w:p>
      <w:pPr>
        <w:spacing w:after="0" w:line="229"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The Carlyle Group Inc. Amended and Restated 2012 Equity Incentive Plan (the “Equity Incentive Plan,” initially adopted in May 2012 and as most recently amended and restated on May 30, 2023) is a source of equity-based awards permitting the Company to grant to Carlyle employees, directors and consultants non-qualified options, share appreciation rights, common shares, restricted stock units and other awards based on the Company’s shares of common stock. Following the amendment and restatement of the Equity Incentive Plan on May 30, 2023, a total of 39,800,000 shares of common stock were authorized for the grant of awards under the Equity Incentive Plan. As of March 31, 2024, there was a total of 10,176,358 shares of the Company’s common stock remaining available for grant under the Equity Incentive Plan.</w:t>
      </w:r>
    </w:p>
    <w:p>
      <w:pPr>
        <w:spacing w:after="0" w:line="189" w:lineRule="exact"/>
        <w:rPr>
          <w:sz w:val="20"/>
          <w:szCs w:val="20"/>
          <w:color w:val="auto"/>
        </w:rPr>
      </w:pPr>
    </w:p>
    <w:p>
      <w:pPr>
        <w:ind w:right="420" w:firstLine="445"/>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equity-based awards as of March 31, 2024 and a summary of changes for the three months ended March 31, 2024, are presented below:</w:t>
      </w:r>
    </w:p>
    <w:p>
      <w:pPr>
        <w:spacing w:after="0" w:line="117" w:lineRule="exact"/>
        <w:rPr>
          <w:sz w:val="20"/>
          <w:szCs w:val="20"/>
          <w:color w:val="auto"/>
        </w:rPr>
      </w:pPr>
    </w:p>
    <w:tbl>
      <w:tblPr>
        <w:tblLayout w:type="fixed"/>
        <w:tblInd w:w="2460" w:type="dxa"/>
        <w:tblCellMar>
          <w:top w:w="0" w:type="dxa"/>
          <w:left w:w="0" w:type="dxa"/>
          <w:bottom w:w="0" w:type="dxa"/>
          <w:right w:w="0" w:type="dxa"/>
        </w:tblCellMar>
      </w:tblPr>
      <w:tr>
        <w:trPr>
          <w:trHeight w:val="184"/>
        </w:trPr>
        <w:tc>
          <w:tcPr>
            <w:tcW w:w="11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Performance-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Unvested</w:t>
            </w:r>
          </w:p>
        </w:tc>
        <w:tc>
          <w:tcPr>
            <w:tcW w:w="100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2"/>
        </w:trPr>
        <w:tc>
          <w:tcPr>
            <w:tcW w:w="110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Vesting</w:t>
            </w: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100" w:type="dxa"/>
            <w:vAlign w:val="bottom"/>
            <w:vMerge w:val="continue"/>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40" w:type="dxa"/>
            <w:vAlign w:val="bottom"/>
            <w:vMerge w:val="continue"/>
          </w:tcPr>
          <w:p>
            <w:pPr>
              <w:spacing w:after="0"/>
              <w:rPr>
                <w:sz w:val="14"/>
                <w:szCs w:val="14"/>
                <w:color w:val="auto"/>
              </w:rPr>
            </w:pPr>
          </w:p>
        </w:tc>
        <w:tc>
          <w:tcPr>
            <w:tcW w:w="1000" w:type="dxa"/>
            <w:vAlign w:val="bottom"/>
          </w:tcPr>
          <w:p>
            <w:pPr>
              <w:jc w:val="center"/>
              <w:ind w:left="119"/>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12"/>
        </w:trPr>
        <w:tc>
          <w:tcPr>
            <w:tcW w:w="11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0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bl>
    <w:p>
      <w:pPr>
        <w:sectPr>
          <w:pgSz w:w="11900" w:h="16847" w:orient="portrait"/>
          <w:cols w:equalWidth="0" w:num="1">
            <w:col w:w="9240"/>
          </w:cols>
          <w:pgMar w:left="1320" w:top="108" w:right="1339" w:bottom="0" w:gutter="0" w:footer="0" w:header="0"/>
        </w:sectPr>
      </w:pPr>
    </w:p>
    <w:bookmarkStart w:id="45" w:name="page46"/>
    <w:bookmarkEnd w:id="45"/>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Unvested Shares</w:t>
            </w: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Stock Units</w:t>
            </w:r>
            <w:r>
              <w:rPr>
                <w:rFonts w:ascii="Times New Roman" w:cs="Times New Roman" w:eastAsia="Times New Roman" w:hAnsi="Times New Roman"/>
                <w:sz w:val="10"/>
                <w:szCs w:val="10"/>
                <w:b w:val="1"/>
                <w:bCs w:val="1"/>
                <w:color w:val="auto"/>
              </w:rPr>
              <w:t>(1)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0"/>
                <w:szCs w:val="10"/>
                <w:b w:val="1"/>
                <w:bCs w:val="1"/>
                <w:color w:val="auto"/>
              </w:rPr>
              <w:t>(2)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78"/>
        </w:trPr>
        <w:tc>
          <w:tcPr>
            <w:tcW w:w="2160" w:type="dxa"/>
            <w:vAlign w:val="bottom"/>
          </w:tcPr>
          <w:p>
            <w:pPr>
              <w:ind w:left="40"/>
              <w:spacing w:after="0" w:line="178" w:lineRule="exact"/>
              <w:rPr>
                <w:sz w:val="20"/>
                <w:szCs w:val="20"/>
                <w:color w:val="auto"/>
              </w:rPr>
            </w:pPr>
            <w:r>
              <w:rPr>
                <w:rFonts w:ascii="Times New Roman" w:cs="Times New Roman" w:eastAsia="Times New Roman" w:hAnsi="Times New Roman"/>
                <w:sz w:val="16"/>
                <w:szCs w:val="16"/>
                <w:color w:val="auto"/>
              </w:rPr>
              <w:t>Balance, December 31, 2023</w:t>
            </w:r>
          </w:p>
        </w:tc>
        <w:tc>
          <w:tcPr>
            <w:tcW w:w="132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4,941,317</w:t>
            </w:r>
          </w:p>
        </w:tc>
        <w:tc>
          <w:tcPr>
            <w:tcW w:w="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23.19</w:t>
            </w:r>
          </w:p>
        </w:tc>
        <w:tc>
          <w:tcPr>
            <w:tcW w:w="60" w:type="dxa"/>
            <w:vAlign w:val="bottom"/>
          </w:tcPr>
          <w:p>
            <w:pPr>
              <w:spacing w:after="0"/>
              <w:rPr>
                <w:sz w:val="15"/>
                <w:szCs w:val="15"/>
                <w:color w:val="auto"/>
              </w:rPr>
            </w:pPr>
          </w:p>
        </w:tc>
        <w:tc>
          <w:tcPr>
            <w:tcW w:w="10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17,232,330</w:t>
            </w:r>
          </w:p>
        </w:tc>
        <w:tc>
          <w:tcPr>
            <w:tcW w:w="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34.68</w:t>
            </w:r>
          </w:p>
        </w:tc>
        <w:tc>
          <w:tcPr>
            <w:tcW w:w="6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458,929</w:t>
            </w:r>
          </w:p>
        </w:tc>
        <w:tc>
          <w:tcPr>
            <w:tcW w:w="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37.87</w:t>
            </w:r>
          </w:p>
        </w:tc>
        <w:tc>
          <w:tcPr>
            <w:tcW w:w="0" w:type="dxa"/>
            <w:vAlign w:val="bottom"/>
          </w:tcPr>
          <w:p>
            <w:pPr>
              <w:spacing w:after="0"/>
              <w:rPr>
                <w:sz w:val="1"/>
                <w:szCs w:val="1"/>
                <w:color w:val="auto"/>
              </w:rPr>
            </w:pPr>
          </w:p>
        </w:tc>
      </w:tr>
      <w:tr>
        <w:trPr>
          <w:trHeight w:val="229"/>
        </w:trPr>
        <w:tc>
          <w:tcPr>
            <w:tcW w:w="2160" w:type="dxa"/>
            <w:vAlign w:val="bottom"/>
          </w:tcPr>
          <w:p>
            <w:pPr>
              <w:ind w:left="40"/>
              <w:spacing w:after="0" w:line="230" w:lineRule="exact"/>
              <w:rPr>
                <w:sz w:val="20"/>
                <w:szCs w:val="20"/>
                <w:color w:val="auto"/>
              </w:rPr>
            </w:pPr>
            <w:r>
              <w:rPr>
                <w:rFonts w:ascii="Times New Roman" w:cs="Times New Roman" w:eastAsia="Times New Roman" w:hAnsi="Times New Roman"/>
                <w:sz w:val="16"/>
                <w:szCs w:val="16"/>
                <w:color w:val="auto"/>
              </w:rPr>
              <w:t xml:space="preserve">Granted </w:t>
            </w:r>
            <w:r>
              <w:rPr>
                <w:rFonts w:ascii="Times New Roman" w:cs="Times New Roman" w:eastAsia="Times New Roman" w:hAnsi="Times New Roman"/>
                <w:sz w:val="21"/>
                <w:szCs w:val="21"/>
                <w:color w:val="auto"/>
                <w:vertAlign w:val="superscript"/>
              </w:rPr>
              <w:t>(3)</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13,194,168</w:t>
            </w: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4,968,866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247,293</w:t>
            </w: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40.08</w:t>
            </w:r>
          </w:p>
        </w:tc>
        <w:tc>
          <w:tcPr>
            <w:tcW w:w="0" w:type="dxa"/>
            <w:vAlign w:val="bottom"/>
          </w:tcPr>
          <w:p>
            <w:pPr>
              <w:spacing w:after="0"/>
              <w:rPr>
                <w:sz w:val="1"/>
                <w:szCs w:val="1"/>
                <w:color w:val="auto"/>
              </w:rPr>
            </w:pPr>
          </w:p>
        </w:tc>
      </w:tr>
      <w:tr>
        <w:trPr>
          <w:trHeight w:val="200"/>
        </w:trPr>
        <w:tc>
          <w:tcPr>
            <w:tcW w:w="2160" w:type="dxa"/>
            <w:vAlign w:val="bottom"/>
            <w:tcBorders>
              <w:bottom w:val="single" w:sz="8" w:color="auto"/>
            </w:tcBorders>
          </w:tcPr>
          <w:p>
            <w:pPr>
              <w:ind w:left="40"/>
              <w:spacing w:after="0" w:line="201" w:lineRule="exact"/>
              <w:rPr>
                <w:sz w:val="20"/>
                <w:szCs w:val="20"/>
                <w:color w:val="auto"/>
              </w:rPr>
            </w:pPr>
            <w:r>
              <w:rPr>
                <w:rFonts w:ascii="Times New Roman" w:cs="Times New Roman" w:eastAsia="Times New Roman" w:hAnsi="Times New Roman"/>
                <w:sz w:val="16"/>
                <w:szCs w:val="16"/>
                <w:color w:val="auto"/>
              </w:rPr>
              <w:t xml:space="preserve">Vested </w:t>
            </w:r>
            <w:r>
              <w:rPr>
                <w:rFonts w:ascii="Times New Roman" w:cs="Times New Roman" w:eastAsia="Times New Roman" w:hAnsi="Times New Roman"/>
                <w:sz w:val="21"/>
                <w:szCs w:val="21"/>
                <w:color w:val="auto"/>
                <w:vertAlign w:val="superscript"/>
              </w:rPr>
              <w:t>(4)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1,268,829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Forfeited</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4"/>
        </w:trPr>
        <w:tc>
          <w:tcPr>
            <w:tcW w:w="2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March 31,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18,135,485</w:t>
            </w: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20,624,589</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706,222</w:t>
            </w:r>
          </w:p>
        </w:tc>
        <w:tc>
          <w:tcPr>
            <w:tcW w:w="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-784225</wp:posOffset>
            </wp:positionV>
            <wp:extent cx="7016115" cy="23679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16115" cy="2367915"/>
                    </a:xfrm>
                    <a:prstGeom prst="rect">
                      <a:avLst/>
                    </a:prstGeom>
                    <a:noFill/>
                  </pic:spPr>
                </pic:pic>
              </a:graphicData>
            </a:graphic>
          </wp:anchor>
        </w:drawing>
      </w:r>
    </w:p>
    <w:p>
      <w:pPr>
        <w:spacing w:after="0" w:line="134" w:lineRule="exact"/>
        <w:rPr>
          <w:sz w:val="20"/>
          <w:szCs w:val="20"/>
          <w:color w:val="auto"/>
        </w:rPr>
      </w:pPr>
    </w:p>
    <w:p>
      <w:pPr>
        <w:ind w:left="340" w:right="60" w:hanging="242"/>
        <w:spacing w:after="0" w:line="272" w:lineRule="auto"/>
        <w:rPr>
          <w:sz w:val="20"/>
          <w:szCs w:val="20"/>
          <w:color w:val="auto"/>
        </w:rPr>
      </w:pPr>
      <w:r>
        <w:rPr>
          <w:rFonts w:ascii="Times New Roman" w:cs="Times New Roman" w:eastAsia="Times New Roman" w:hAnsi="Times New Roman"/>
          <w:sz w:val="16"/>
          <w:szCs w:val="16"/>
          <w:color w:val="auto"/>
          <w:highlight w:val="white"/>
        </w:rPr>
        <w:t xml:space="preserve">(1) Includes restricted stock units granted to certain senior Carlyle professionals, including equity inducement awards granted in connection </w:t>
      </w:r>
      <w:r>
        <w:rPr>
          <w:rFonts w:ascii="Times New Roman" w:cs="Times New Roman" w:eastAsia="Times New Roman" w:hAnsi="Times New Roman"/>
          <w:sz w:val="16"/>
          <w:szCs w:val="16"/>
          <w:color w:val="auto"/>
        </w:rPr>
        <w:t>with the appointment of the Co</w:t>
      </w:r>
      <w:r>
        <w:rPr>
          <w:rFonts w:ascii="Times New Roman" w:cs="Times New Roman" w:eastAsia="Times New Roman" w:hAnsi="Times New Roman"/>
          <w:sz w:val="16"/>
          <w:szCs w:val="16"/>
          <w:color w:val="auto"/>
          <w:strike w:val="1"/>
        </w:rPr>
        <w:t>mpany’s Chief Ex</w:t>
      </w:r>
      <w:r>
        <w:rPr>
          <w:rFonts w:ascii="Times New Roman" w:cs="Times New Roman" w:eastAsia="Times New Roman" w:hAnsi="Times New Roman"/>
          <w:sz w:val="16"/>
          <w:szCs w:val="16"/>
          <w:color w:val="auto"/>
        </w:rPr>
        <w:t>ecutive Officer, w</w:t>
      </w:r>
      <w:r>
        <w:rPr>
          <w:rFonts w:ascii="Times New Roman" w:cs="Times New Roman" w:eastAsia="Times New Roman" w:hAnsi="Times New Roman"/>
          <w:sz w:val="16"/>
          <w:szCs w:val="16"/>
          <w:color w:val="auto"/>
          <w:strike w:val="1"/>
        </w:rPr>
        <w:t>hich are subject t</w:t>
      </w:r>
      <w:r>
        <w:rPr>
          <w:rFonts w:ascii="Times New Roman" w:cs="Times New Roman" w:eastAsia="Times New Roman" w:hAnsi="Times New Roman"/>
          <w:sz w:val="16"/>
          <w:szCs w:val="16"/>
          <w:color w:val="auto"/>
        </w:rPr>
        <w:t xml:space="preserve">o vesting based on the achievement of stock price performance conditions over a service period. </w:t>
      </w:r>
      <w:r>
        <w:rPr>
          <w:sz w:val="1"/>
          <w:szCs w:val="1"/>
          <w:color w:val="auto"/>
        </w:rPr>
        <w:drawing>
          <wp:inline distT="0" distB="0" distL="0" distR="0">
            <wp:extent cx="677545" cy="3429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7545" cy="34290"/>
                    </a:xfrm>
                    <a:prstGeom prst="rect">
                      <a:avLst/>
                    </a:prstGeom>
                    <a:noFill/>
                    <a:ln>
                      <a:noFill/>
                    </a:ln>
                  </pic:spPr>
                </pic:pic>
              </a:graphicData>
            </a:graphic>
          </wp:inline>
        </w:drawing>
        <w:drawing>
          <wp:inline distT="0" distB="0" distL="0" distR="0">
            <wp:extent cx="676910" cy="3429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6910" cy="34290"/>
                    </a:xfrm>
                    <a:prstGeom prst="rect">
                      <a:avLst/>
                    </a:prstGeom>
                    <a:noFill/>
                    <a:ln>
                      <a:noFill/>
                    </a:ln>
                  </pic:spPr>
                </pic:pic>
              </a:graphicData>
            </a:graphic>
          </wp:inline>
        </w:drawing>
      </w:r>
    </w:p>
    <w:p>
      <w:pPr>
        <w:spacing w:after="0" w:line="22" w:lineRule="exact"/>
        <w:rPr>
          <w:sz w:val="20"/>
          <w:szCs w:val="20"/>
          <w:color w:val="auto"/>
        </w:rPr>
      </w:pPr>
    </w:p>
    <w:p>
      <w:pPr>
        <w:ind w:left="340" w:hanging="252"/>
        <w:spacing w:after="0"/>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common shares issued in connection with the Company’s investment in NGP.</w:t>
      </w:r>
    </w:p>
    <w:p>
      <w:pPr>
        <w:spacing w:after="0" w:line="59" w:lineRule="exact"/>
        <w:rPr>
          <w:rFonts w:ascii="Times New Roman" w:cs="Times New Roman" w:eastAsia="Times New Roman" w:hAnsi="Times New Roman"/>
          <w:sz w:val="16"/>
          <w:szCs w:val="16"/>
          <w:color w:val="auto"/>
        </w:rPr>
      </w:pPr>
    </w:p>
    <w:p>
      <w:pPr>
        <w:ind w:left="340" w:right="80" w:hanging="252"/>
        <w:spacing w:after="0" w:line="280" w:lineRule="auto"/>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reserved for issuance upon settlement of dividend-equivalent rights carried by certain restricted stock units concurrently with the settlement of the restricted stock units for shares.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80657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16115" cy="806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3" w:lineRule="exact"/>
        <w:rPr>
          <w:sz w:val="20"/>
          <w:szCs w:val="20"/>
          <w:color w:val="auto"/>
        </w:rPr>
      </w:pPr>
    </w:p>
    <w:p>
      <w:pPr>
        <w:ind w:left="340" w:hanging="252"/>
        <w:spacing w:after="0"/>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481,261 shares which were retired in connection with the net share settlement of equity-based awards. The Company paid</w:t>
      </w:r>
    </w:p>
    <w:p>
      <w:pPr>
        <w:spacing w:after="0" w:line="23" w:lineRule="exact"/>
        <w:rPr>
          <w:rFonts w:ascii="Times New Roman" w:cs="Times New Roman" w:eastAsia="Times New Roman" w:hAnsi="Times New Roman"/>
          <w:sz w:val="16"/>
          <w:szCs w:val="16"/>
          <w:color w:val="auto"/>
        </w:rPr>
      </w:pPr>
    </w:p>
    <w:p>
      <w:pPr>
        <w:ind w:left="340"/>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$19.4 million of taxes related to the net share settlement of equity-based awards during the three months ended March 31, 2024, which is included within Financing activities in the condensed consolidated statements of cash flows.</w:t>
      </w:r>
    </w:p>
    <w:p>
      <w:pPr>
        <w:spacing w:after="0" w:line="163"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February 2024, the Company granted 13.2 million restricted stock units to certain senior Carlyle professionals that are eligible to vest in three tranches based on the achievement of stock price performance conditions over service periods of one, two and three years. Equity-based compensation expense for each tranche is recognized on a straight-line basis over its respective service period. These awards had a grant date fair value of approximately $347 million, which was derived using the Monte Carlo Simulation model.</w:t>
      </w:r>
    </w:p>
    <w:p>
      <w:pPr>
        <w:spacing w:after="0" w:line="183" w:lineRule="exact"/>
        <w:rPr>
          <w:sz w:val="20"/>
          <w:szCs w:val="20"/>
          <w:color w:val="auto"/>
        </w:rPr>
      </w:pPr>
    </w:p>
    <w:p>
      <w:pPr>
        <w:ind w:right="340" w:firstLine="445"/>
        <w:spacing w:after="0" w:line="258" w:lineRule="auto"/>
        <w:rPr>
          <w:sz w:val="20"/>
          <w:szCs w:val="20"/>
          <w:color w:val="auto"/>
        </w:rPr>
      </w:pPr>
      <w:r>
        <w:rPr>
          <w:rFonts w:ascii="Times New Roman" w:cs="Times New Roman" w:eastAsia="Times New Roman" w:hAnsi="Times New Roman"/>
          <w:sz w:val="18"/>
          <w:szCs w:val="18"/>
          <w:color w:val="auto"/>
        </w:rPr>
        <w:t>The Company recorded compensation expense, net of forfeitures, for restricted stock units of $108.3 million and $54.4 million for the three months ended March 31, 2024 and 2023, respectively, with $20.1 million and $9.7 million of corresponding deferred tax benefits, respectively. As of March 31, 2024, the total unrecognized equity-based compensation expense related to unvested restricted stock units was $896.7 million, which is expected to be recognized over a weighted-average term of 2.2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Carlyle conducts its operations through three reportable segments:</w:t>
      </w:r>
    </w:p>
    <w:p>
      <w:pPr>
        <w:spacing w:after="0" w:line="223" w:lineRule="exact"/>
        <w:rPr>
          <w:sz w:val="20"/>
          <w:szCs w:val="20"/>
          <w:color w:val="auto"/>
        </w:rPr>
      </w:pPr>
    </w:p>
    <w:p>
      <w:pPr>
        <w:ind w:left="5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Global Private Equity </w:t>
      </w:r>
      <w:r>
        <w:rPr>
          <w:rFonts w:ascii="Times New Roman" w:cs="Times New Roman" w:eastAsia="Times New Roman" w:hAnsi="Times New Roman"/>
          <w:sz w:val="18"/>
          <w:szCs w:val="18"/>
          <w:color w:val="auto"/>
        </w:rPr>
        <w:t>– The Global Private Equity segment advises the Company’s buyout, middle market and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funds, its U.S. and internationally focused real estate funds, and its infrastructure and natural resources funds. The segment also includes the NGP Carry Funds advised by NGP.</w:t>
      </w:r>
    </w:p>
    <w:p>
      <w:pPr>
        <w:spacing w:after="0" w:line="173" w:lineRule="exact"/>
        <w:rPr>
          <w:sz w:val="20"/>
          <w:szCs w:val="20"/>
          <w:color w:val="auto"/>
        </w:rPr>
      </w:pPr>
    </w:p>
    <w:p>
      <w:pPr>
        <w:jc w:val="both"/>
        <w:ind w:left="500"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Global Credit </w:t>
      </w:r>
      <w:r>
        <w:rPr>
          <w:rFonts w:ascii="Times New Roman" w:cs="Times New Roman" w:eastAsia="Times New Roman" w:hAnsi="Times New Roman"/>
          <w:sz w:val="18"/>
          <w:szCs w:val="18"/>
          <w:color w:val="auto"/>
        </w:rPr>
        <w:t>– The Global Credit segment advises funds and vehicles that pursue investment strategies including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structured credit, direct lending, opportunistic credit, distressed credit, aircraft financing and servicing, infrastructure debt, insurance solutions, asset-backed lending, and global capital markets.</w:t>
      </w:r>
    </w:p>
    <w:p>
      <w:pPr>
        <w:spacing w:after="0" w:line="173" w:lineRule="exact"/>
        <w:rPr>
          <w:sz w:val="20"/>
          <w:szCs w:val="20"/>
          <w:color w:val="auto"/>
        </w:rPr>
      </w:pPr>
    </w:p>
    <w:p>
      <w:pPr>
        <w:ind w:left="500"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Global Investment Solutions </w:t>
      </w:r>
      <w:r>
        <w:rPr>
          <w:rFonts w:ascii="Times New Roman" w:cs="Times New Roman" w:eastAsia="Times New Roman" w:hAnsi="Times New Roman"/>
          <w:sz w:val="18"/>
          <w:szCs w:val="18"/>
          <w:color w:val="auto"/>
        </w:rPr>
        <w:t>– The Global Investment Solutions segment advises global private equity programs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co-investment and secondary activities.</w:t>
      </w:r>
    </w:p>
    <w:p>
      <w:pPr>
        <w:spacing w:after="0" w:line="160"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color w:val="auto"/>
        </w:rPr>
        <w:t>The Company’s reportable business segments are differentiated by their various investment focuses and strategies. Overhead costs are generally allocated based on cash-based compensation and benefits expense for each segment. The Company’s earnings from its investment in NGP are presented in the respective operating captions within the Global Private Equity segment.</w:t>
      </w:r>
    </w:p>
    <w:p>
      <w:pPr>
        <w:spacing w:after="0" w:line="178"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Distributable Earnings</w:t>
      </w:r>
      <w:r>
        <w:rPr>
          <w:rFonts w:ascii="Times New Roman" w:cs="Times New Roman" w:eastAsia="Times New Roman" w:hAnsi="Times New Roman"/>
          <w:sz w:val="18"/>
          <w:szCs w:val="18"/>
          <w:color w:val="auto"/>
        </w:rPr>
        <w:t>. Distributable Earnings, or “DE,” is a key performance benchmark used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and is evaluated regularly by management in making resource deployment and compensation decisions and in assessing performance of the Company’s three reportable segments. Management also uses DE in budgeting, forecasting, and the overall management of the Company’s segments. Management believes that reporting DE is helpful to understanding the Company’s business and that investors should review the same supplemental financial measure that management uses to analyze the Company’s segment performance. DE is intended to show the amount of net realized earnings without the effects of the consolidation of the Consolidated Funds. DE is derived from the Company’s segment reported results and is used to assess performance.</w:t>
      </w:r>
    </w:p>
    <w:p>
      <w:pPr>
        <w:spacing w:after="0" w:line="187"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Distributable Earnings differs from income (loss) before provision for income taxes computed in accordance with U.S. GAAP in that it includes certain tax expenses associated with certain foreign performance revenues (comprised of performance allocations and incentive fees), and does not include unrealized performance allocations and related compensation expense, unrealized principal investment income, equity-based compensation expense, net income (loss) attributable to non-Carlyle interests in consolidated entities, or charges (credits) related to Carlyle corporate actions and non-recurring items that affect period-to-period comparability and are not reflective of the Company’s operational performance. Charges (credits) related to Carlyle corporate actions and non-recurring items include: charges (credits) associated with acquisitions, dispositions or strategic investments, changes in the tax receivable agreement liability, amortization and any impairment charges associated</w:t>
      </w:r>
    </w:p>
    <w:p>
      <w:pPr>
        <w:sectPr>
          <w:pgSz w:w="11900" w:h="16838" w:orient="portrait"/>
          <w:cols w:equalWidth="0" w:num="1">
            <w:col w:w="9220"/>
          </w:cols>
          <w:pgMar w:left="1320" w:top="91" w:right="1359" w:bottom="0" w:gutter="0" w:footer="0" w:header="0"/>
        </w:sectPr>
      </w:pPr>
    </w:p>
    <w:bookmarkStart w:id="46" w:name="page47"/>
    <w:bookmarkEnd w:id="46"/>
    <w:p>
      <w:pPr>
        <w:spacing w:after="0" w:line="41" w:lineRule="exact"/>
        <w:rPr>
          <w:sz w:val="20"/>
          <w:szCs w:val="20"/>
          <w:color w:val="auto"/>
        </w:rPr>
      </w:pPr>
    </w:p>
    <w:p>
      <w:pPr>
        <w:ind w:right="260"/>
        <w:spacing w:after="0" w:line="198" w:lineRule="auto"/>
        <w:rPr>
          <w:sz w:val="20"/>
          <w:szCs w:val="20"/>
          <w:color w:val="auto"/>
        </w:rPr>
      </w:pPr>
      <w:r>
        <w:rPr>
          <w:rFonts w:ascii="Times New Roman" w:cs="Times New Roman" w:eastAsia="Times New Roman" w:hAnsi="Times New Roman"/>
          <w:sz w:val="18"/>
          <w:szCs w:val="18"/>
          <w:color w:val="auto"/>
        </w:rPr>
        <w:t>with acquired intangible assets, transaction costs associated with acquisitions and dispositions, charges associated with earn-outs and contingent consideration including gains and losses associated with the estimated fair value of contingent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-196215</wp:posOffset>
            </wp:positionV>
            <wp:extent cx="7016115" cy="9963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16115" cy="996315"/>
                    </a:xfrm>
                    <a:prstGeom prst="rect">
                      <a:avLst/>
                    </a:prstGeom>
                    <a:noFill/>
                  </pic:spPr>
                </pic:pic>
              </a:graphicData>
            </a:graphic>
          </wp:anchor>
        </w:drawing>
      </w:r>
    </w:p>
    <w:p>
      <w:pPr>
        <w:ind w:right="60"/>
        <w:spacing w:after="0" w:line="260" w:lineRule="auto"/>
        <w:rPr>
          <w:sz w:val="20"/>
          <w:szCs w:val="20"/>
          <w:color w:val="auto"/>
        </w:rPr>
      </w:pPr>
      <w:r>
        <w:rPr>
          <w:rFonts w:ascii="Times New Roman" w:cs="Times New Roman" w:eastAsia="Times New Roman" w:hAnsi="Times New Roman"/>
          <w:sz w:val="18"/>
          <w:szCs w:val="18"/>
          <w:color w:val="auto"/>
        </w:rPr>
        <w:t>considerations issued in conjunction with acquisitions or strategic investments, impairment charges associated with lease right-of-use assets, gains and losses from the retirement of debt, charges associated with contract terminations and employee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9073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severance, certain general, administrative and other expenses when the timing of any future payment is uncertain, and non-recurring items that affect period-to-period comparability and are not reflective of the Company’s operating performance. Management believes the inclusion or exclusion of these items provides investors with a meaningful indication of the Company’s core operating performance.</w:t>
      </w:r>
    </w:p>
    <w:p>
      <w:pPr>
        <w:spacing w:after="0" w:line="178" w:lineRule="exact"/>
        <w:rPr>
          <w:sz w:val="20"/>
          <w:szCs w:val="20"/>
          <w:color w:val="auto"/>
        </w:rPr>
      </w:pPr>
    </w:p>
    <w:p>
      <w:pPr>
        <w:ind w:firstLine="450"/>
        <w:spacing w:after="0" w:line="257" w:lineRule="auto"/>
        <w:rPr>
          <w:sz w:val="20"/>
          <w:szCs w:val="20"/>
          <w:color w:val="auto"/>
        </w:rPr>
      </w:pPr>
      <w:r>
        <w:rPr>
          <w:rFonts w:ascii="Times New Roman" w:cs="Times New Roman" w:eastAsia="Times New Roman" w:hAnsi="Times New Roman"/>
          <w:sz w:val="18"/>
          <w:szCs w:val="18"/>
          <w:i w:val="1"/>
          <w:iCs w:val="1"/>
          <w:color w:val="auto"/>
        </w:rPr>
        <w:t>Fee Related Earnings</w:t>
      </w:r>
      <w:r>
        <w:rPr>
          <w:rFonts w:ascii="Times New Roman" w:cs="Times New Roman" w:eastAsia="Times New Roman" w:hAnsi="Times New Roman"/>
          <w:sz w:val="18"/>
          <w:szCs w:val="18"/>
          <w:color w:val="auto"/>
        </w:rPr>
        <w:t>. Fee Related Earnings, or “FRE,” is a component of DE and is used to assess the ability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to cover base compensation and operating expenses from total fee revenues. FRE adjusts DE to exclude net realized performance revenues, realized principal investment income, and net interest (interest income less interest expense). Fee Related Earnings includes fee related performance revenues and related compensation expense, which is generally 45% of fee related performance revenues. Fee related performance revenues represent the realized portion of performance revenues that are measured and received on a recurring basis, are not dependent on realization events, and which have no risk of giveback.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281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16115" cy="281940"/>
                    </a:xfrm>
                    <a:prstGeom prst="rect">
                      <a:avLst/>
                    </a:prstGeom>
                    <a:noFill/>
                  </pic:spPr>
                </pic:pic>
              </a:graphicData>
            </a:graphic>
          </wp:anchor>
        </w:drawing>
      </w:r>
    </w:p>
    <w:p>
      <w:pPr>
        <w:sectPr>
          <w:pgSz w:w="11900" w:h="16879" w:orient="portrait"/>
          <w:cols w:equalWidth="0" w:num="1">
            <w:col w:w="9220"/>
          </w:cols>
          <w:pgMar w:left="1320" w:top="108" w:right="1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79" w:orient="portrait"/>
          <w:cols w:equalWidth="0" w:num="1">
            <w:col w:w="9220"/>
          </w:cols>
          <w:pgMar w:left="1320" w:top="108" w:right="1359" w:bottom="0" w:gutter="0" w:footer="0" w:header="0"/>
          <w:type w:val="continuous"/>
        </w:sectPr>
      </w:pPr>
    </w:p>
    <w:bookmarkStart w:id="47" w:name="page48"/>
    <w:bookmarkEnd w:id="4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-116840</wp:posOffset>
            </wp:positionV>
            <wp:extent cx="7016115" cy="8780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16115" cy="8780145"/>
                    </a:xfrm>
                    <a:prstGeom prst="rect">
                      <a:avLst/>
                    </a:prstGeom>
                    <a:noFill/>
                  </pic:spPr>
                </pic:pic>
              </a:graphicData>
            </a:graphic>
          </wp:anchor>
        </w:drawing>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present the financial data for the Company’s three reportable segments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9"/>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6"/>
                <w:szCs w:val="16"/>
                <w:b w:val="1"/>
                <w:bCs w:val="1"/>
                <w:color w:val="auto"/>
              </w:rPr>
              <w:t>Global</w:t>
            </w:r>
          </w:p>
        </w:tc>
        <w:tc>
          <w:tcPr>
            <w:tcW w:w="200" w:type="dxa"/>
            <w:vAlign w:val="bottom"/>
          </w:tcPr>
          <w:p>
            <w:pPr>
              <w:spacing w:after="0"/>
              <w:rPr>
                <w:sz w:val="14"/>
                <w:szCs w:val="14"/>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Global</w:t>
            </w:r>
          </w:p>
        </w:tc>
        <w:tc>
          <w:tcPr>
            <w:tcW w:w="140" w:type="dxa"/>
            <w:vAlign w:val="bottom"/>
          </w:tcPr>
          <w:p>
            <w:pPr>
              <w:spacing w:after="0"/>
              <w:rPr>
                <w:sz w:val="14"/>
                <w:szCs w:val="14"/>
                <w:color w:val="auto"/>
              </w:rPr>
            </w:pPr>
          </w:p>
        </w:tc>
        <w:tc>
          <w:tcPr>
            <w:tcW w:w="1000" w:type="dxa"/>
            <w:vAlign w:val="bottom"/>
            <w:gridSpan w:val="2"/>
          </w:tcPr>
          <w:p>
            <w:pPr>
              <w:jc w:val="center"/>
              <w:ind w:right="180"/>
              <w:spacing w:after="0" w:line="169" w:lineRule="exact"/>
              <w:rPr>
                <w:sz w:val="20"/>
                <w:szCs w:val="20"/>
                <w:color w:val="auto"/>
              </w:rPr>
            </w:pPr>
            <w:r>
              <w:rPr>
                <w:rFonts w:ascii="Times New Roman" w:cs="Times New Roman" w:eastAsia="Times New Roman" w:hAnsi="Times New Roman"/>
                <w:sz w:val="16"/>
                <w:szCs w:val="16"/>
                <w:b w:val="1"/>
                <w:bCs w:val="1"/>
                <w:color w:val="auto"/>
                <w:w w:val="99"/>
              </w:rPr>
              <w:t>Global</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Private</w:t>
            </w: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Investment</w:t>
            </w:r>
          </w:p>
        </w:tc>
        <w:tc>
          <w:tcPr>
            <w:tcW w:w="240" w:type="dxa"/>
            <w:vAlign w:val="bottom"/>
          </w:tcPr>
          <w:p>
            <w:pPr>
              <w:spacing w:after="0"/>
              <w:rPr>
                <w:sz w:val="14"/>
                <w:szCs w:val="14"/>
                <w:color w:val="auto"/>
              </w:rPr>
            </w:pPr>
          </w:p>
        </w:tc>
        <w:tc>
          <w:tcPr>
            <w:tcW w:w="84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4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Credit</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6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Segment Revenues</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Fund level fee revenues</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Fund management fees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304.6</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515.6</w:t>
            </w:r>
          </w:p>
        </w:tc>
        <w:tc>
          <w:tcPr>
            <w:tcW w:w="0" w:type="dxa"/>
            <w:vAlign w:val="bottom"/>
          </w:tcPr>
          <w:p>
            <w:pPr>
              <w:spacing w:after="0"/>
              <w:rPr>
                <w:sz w:val="1"/>
                <w:szCs w:val="1"/>
                <w:color w:val="auto"/>
              </w:rPr>
            </w:pPr>
          </w:p>
        </w:tc>
      </w:tr>
      <w:tr>
        <w:trPr>
          <w:trHeight w:val="283"/>
        </w:trPr>
        <w:tc>
          <w:tcPr>
            <w:tcW w:w="47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Portfolio advisory and transaction fees, net and other</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83"/>
        </w:trPr>
        <w:tc>
          <w:tcPr>
            <w:tcW w:w="47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Fee related performance revenues</w:t>
            </w:r>
          </w:p>
        </w:tc>
        <w:tc>
          <w:tcPr>
            <w:tcW w:w="2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6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4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64"/>
        </w:trPr>
        <w:tc>
          <w:tcPr>
            <w:tcW w:w="47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Total fund level fee revenues</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0" w:type="dxa"/>
            <w:vAlign w:val="bottom"/>
          </w:tcPr>
          <w:p>
            <w:pPr>
              <w:spacing w:after="0"/>
              <w:rPr>
                <w:sz w:val="1"/>
                <w:szCs w:val="1"/>
                <w:color w:val="auto"/>
              </w:rPr>
            </w:pPr>
          </w:p>
        </w:tc>
      </w:tr>
      <w:tr>
        <w:trPr>
          <w:trHeight w:val="283"/>
        </w:trPr>
        <w:tc>
          <w:tcPr>
            <w:tcW w:w="4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Realized performance revenues</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397.8</w:t>
            </w:r>
          </w:p>
        </w:tc>
        <w:tc>
          <w:tcPr>
            <w:tcW w:w="0" w:type="dxa"/>
            <w:vAlign w:val="bottom"/>
          </w:tcPr>
          <w:p>
            <w:pPr>
              <w:spacing w:after="0"/>
              <w:rPr>
                <w:sz w:val="1"/>
                <w:szCs w:val="1"/>
                <w:color w:val="auto"/>
              </w:rPr>
            </w:pPr>
          </w:p>
        </w:tc>
      </w:tr>
      <w:tr>
        <w:trPr>
          <w:trHeight w:val="283"/>
        </w:trPr>
        <w:tc>
          <w:tcPr>
            <w:tcW w:w="4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Realized principal investment income</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83"/>
        </w:trPr>
        <w:tc>
          <w:tcPr>
            <w:tcW w:w="4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6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4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63"/>
        </w:trPr>
        <w:tc>
          <w:tcPr>
            <w:tcW w:w="47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1,023.0</w:t>
            </w:r>
          </w:p>
        </w:tc>
        <w:tc>
          <w:tcPr>
            <w:tcW w:w="0" w:type="dxa"/>
            <w:vAlign w:val="bottom"/>
          </w:tcPr>
          <w:p>
            <w:pPr>
              <w:spacing w:after="0"/>
              <w:rPr>
                <w:sz w:val="1"/>
                <w:szCs w:val="1"/>
                <w:color w:val="auto"/>
              </w:rPr>
            </w:pPr>
          </w:p>
        </w:tc>
      </w:tr>
      <w:tr>
        <w:trPr>
          <w:trHeight w:val="283"/>
        </w:trPr>
        <w:tc>
          <w:tcPr>
            <w:tcW w:w="4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Segment Expenses</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0" w:type="dxa"/>
            <w:vAlign w:val="bottom"/>
          </w:tcPr>
          <w:p>
            <w:pPr>
              <w:spacing w:after="0"/>
              <w:rPr>
                <w:sz w:val="1"/>
                <w:szCs w:val="1"/>
                <w:color w:val="auto"/>
              </w:rPr>
            </w:pPr>
          </w:p>
        </w:tc>
      </w:tr>
      <w:tr>
        <w:trPr>
          <w:trHeight w:val="283"/>
        </w:trPr>
        <w:tc>
          <w:tcPr>
            <w:tcW w:w="472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6"/>
                <w:szCs w:val="16"/>
                <w:color w:val="auto"/>
              </w:rPr>
              <w:t>Realized performance revenues related compensation</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0" w:type="dxa"/>
            <w:vAlign w:val="bottom"/>
          </w:tcPr>
          <w:p>
            <w:pPr>
              <w:spacing w:after="0"/>
              <w:rPr>
                <w:sz w:val="1"/>
                <w:szCs w:val="1"/>
                <w:color w:val="auto"/>
              </w:rPr>
            </w:pPr>
          </w:p>
        </w:tc>
      </w:tr>
      <w:tr>
        <w:trPr>
          <w:trHeight w:val="263"/>
        </w:trPr>
        <w:tc>
          <w:tcPr>
            <w:tcW w:w="47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343.6</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0" w:type="dxa"/>
            <w:vAlign w:val="bottom"/>
          </w:tcPr>
          <w:p>
            <w:pPr>
              <w:spacing w:after="0"/>
              <w:rPr>
                <w:sz w:val="1"/>
                <w:szCs w:val="1"/>
                <w:color w:val="auto"/>
              </w:rPr>
            </w:pPr>
          </w:p>
        </w:tc>
      </w:tr>
      <w:tr>
        <w:trPr>
          <w:trHeight w:val="284"/>
        </w:trPr>
        <w:tc>
          <w:tcPr>
            <w:tcW w:w="4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General, administrative, and other indirect expenses</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283"/>
        </w:trPr>
        <w:tc>
          <w:tcPr>
            <w:tcW w:w="4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83"/>
        </w:trPr>
        <w:tc>
          <w:tcPr>
            <w:tcW w:w="47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64"/>
        </w:trPr>
        <w:tc>
          <w:tcPr>
            <w:tcW w:w="47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Total expenses</w:t>
            </w: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402.6</w:t>
            </w:r>
          </w:p>
        </w:tc>
        <w:tc>
          <w:tcPr>
            <w:tcW w:w="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591.7</w:t>
            </w:r>
          </w:p>
        </w:tc>
        <w:tc>
          <w:tcPr>
            <w:tcW w:w="0" w:type="dxa"/>
            <w:vAlign w:val="bottom"/>
          </w:tcPr>
          <w:p>
            <w:pPr>
              <w:spacing w:after="0"/>
              <w:rPr>
                <w:sz w:val="1"/>
                <w:szCs w:val="1"/>
                <w:color w:val="auto"/>
              </w:rPr>
            </w:pPr>
          </w:p>
        </w:tc>
      </w:tr>
      <w:tr>
        <w:trPr>
          <w:trHeight w:val="236"/>
        </w:trPr>
        <w:tc>
          <w:tcPr>
            <w:tcW w:w="47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Distributable Earnings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313.1</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82.1</w:t>
            </w:r>
          </w:p>
        </w:tc>
        <w:tc>
          <w:tcPr>
            <w:tcW w:w="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36.1</w:t>
            </w:r>
          </w:p>
        </w:tc>
        <w:tc>
          <w:tcPr>
            <w:tcW w:w="6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431.3</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Realized Net Performance Revenues</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0" w:type="dxa"/>
            <w:vAlign w:val="bottom"/>
          </w:tcPr>
          <w:p>
            <w:pPr>
              <w:spacing w:after="0"/>
              <w:rPr>
                <w:sz w:val="1"/>
                <w:szCs w:val="1"/>
                <w:color w:val="auto"/>
              </w:rPr>
            </w:pPr>
          </w:p>
        </w:tc>
      </w:tr>
      <w:tr>
        <w:trPr>
          <w:trHeight w:val="284"/>
        </w:trPr>
        <w:tc>
          <w:tcPr>
            <w:tcW w:w="4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 Realized Principal Investment Income</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83"/>
        </w:trPr>
        <w:tc>
          <w:tcPr>
            <w:tcW w:w="4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Net Interest</w:t>
            </w:r>
          </w:p>
        </w:tc>
        <w:tc>
          <w:tcPr>
            <w:tcW w:w="2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6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4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37"/>
        </w:trPr>
        <w:tc>
          <w:tcPr>
            <w:tcW w:w="47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Fee Related Earnings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161.1</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71.2</w:t>
            </w:r>
          </w:p>
        </w:tc>
        <w:tc>
          <w:tcPr>
            <w:tcW w:w="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34.0</w:t>
            </w:r>
          </w:p>
        </w:tc>
        <w:tc>
          <w:tcPr>
            <w:tcW w:w="6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266.3</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Segment assets as of March 31, 2024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7,154.6</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3,783.9</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2,339.9</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13,278.4</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16535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16115" cy="165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the financial data for the Company’s three reportable segments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w:t>
      </w:r>
    </w:p>
    <w:p>
      <w:pPr>
        <w:spacing w:after="0" w:line="74" w:lineRule="exact"/>
        <w:rPr>
          <w:sz w:val="20"/>
          <w:szCs w:val="20"/>
          <w:color w:val="auto"/>
        </w:rPr>
      </w:pPr>
    </w:p>
    <w:tbl>
      <w:tblPr>
        <w:tblLayout w:type="fixed"/>
        <w:tblInd w:w="5000" w:type="dxa"/>
        <w:tblCellMar>
          <w:top w:w="0" w:type="dxa"/>
          <w:left w:w="0" w:type="dxa"/>
          <w:bottom w:w="0" w:type="dxa"/>
          <w:right w:w="0" w:type="dxa"/>
        </w:tblCellMar>
      </w:tblPr>
      <w:tr>
        <w:trPr>
          <w:trHeight w:val="212"/>
        </w:trPr>
        <w:tc>
          <w:tcPr>
            <w:tcW w:w="600" w:type="dxa"/>
            <w:vAlign w:val="bottom"/>
          </w:tcPr>
          <w:p>
            <w:pPr>
              <w:spacing w:after="0"/>
              <w:rPr>
                <w:sz w:val="18"/>
                <w:szCs w:val="18"/>
                <w:color w:val="auto"/>
              </w:rPr>
            </w:pP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Global</w:t>
            </w:r>
          </w:p>
        </w:tc>
        <w:tc>
          <w:tcPr>
            <w:tcW w:w="1300" w:type="dxa"/>
            <w:vAlign w:val="bottom"/>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Global</w:t>
            </w:r>
          </w:p>
        </w:tc>
        <w:tc>
          <w:tcPr>
            <w:tcW w:w="15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Global</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600" w:type="dxa"/>
            <w:vAlign w:val="bottom"/>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Private</w:t>
            </w:r>
          </w:p>
        </w:tc>
        <w:tc>
          <w:tcPr>
            <w:tcW w:w="1300" w:type="dxa"/>
            <w:vAlign w:val="bottom"/>
            <w:vMerge w:val="continue"/>
          </w:tcPr>
          <w:p>
            <w:pPr>
              <w:spacing w:after="0"/>
              <w:rPr>
                <w:sz w:val="14"/>
                <w:szCs w:val="14"/>
                <w:color w:val="auto"/>
              </w:rPr>
            </w:pPr>
          </w:p>
        </w:tc>
        <w:tc>
          <w:tcPr>
            <w:tcW w:w="150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Investment</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12"/>
        </w:trPr>
        <w:tc>
          <w:tcPr>
            <w:tcW w:w="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30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Credit</w:t>
            </w:r>
          </w:p>
        </w:tc>
        <w:tc>
          <w:tcPr>
            <w:tcW w:w="15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200"/>
          </w:cols>
          <w:pgMar w:left="1320" w:top="117" w:right="1379" w:bottom="0" w:gutter="0" w:footer="0" w:header="0"/>
        </w:sectPr>
      </w:pPr>
    </w:p>
    <w:bookmarkStart w:id="48" w:name="page49"/>
    <w:bookmarkEnd w:id="48"/>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7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Segment Revenues</w:t>
            </w:r>
          </w:p>
        </w:tc>
        <w:tc>
          <w:tcPr>
            <w:tcW w:w="3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72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Fund level fee revenues</w:t>
            </w: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4720" w:type="dxa"/>
            <w:vAlign w:val="bottom"/>
            <w:vMerge w:val="restart"/>
          </w:tcPr>
          <w:p>
            <w:pPr>
              <w:ind w:left="700"/>
              <w:spacing w:after="0"/>
              <w:rPr>
                <w:sz w:val="20"/>
                <w:szCs w:val="20"/>
                <w:color w:val="auto"/>
              </w:rPr>
            </w:pPr>
            <w:r>
              <w:rPr>
                <w:rFonts w:ascii="Times New Roman" w:cs="Times New Roman" w:eastAsia="Times New Roman" w:hAnsi="Times New Roman"/>
                <w:sz w:val="16"/>
                <w:szCs w:val="16"/>
                <w:color w:val="auto"/>
              </w:rPr>
              <w:t>Fund management fees</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60" w:type="dxa"/>
            <w:vAlign w:val="bottom"/>
          </w:tcPr>
          <w:p>
            <w:pPr>
              <w:spacing w:after="0"/>
              <w:rPr>
                <w:sz w:val="18"/>
                <w:szCs w:val="18"/>
                <w:color w:val="auto"/>
              </w:rPr>
            </w:pP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8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6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0" w:type="dxa"/>
            <w:vAlign w:val="bottom"/>
          </w:tcPr>
          <w:p>
            <w:pPr>
              <w:spacing w:after="0"/>
              <w:rPr>
                <w:sz w:val="1"/>
                <w:szCs w:val="1"/>
                <w:color w:val="auto"/>
              </w:rPr>
            </w:pPr>
          </w:p>
        </w:tc>
      </w:tr>
      <w:tr>
        <w:trPr>
          <w:trHeight w:val="48"/>
        </w:trPr>
        <w:tc>
          <w:tcPr>
            <w:tcW w:w="472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Portfolio advisory and transaction fees, net and other</w:t>
            </w: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57"/>
        </w:trPr>
        <w:tc>
          <w:tcPr>
            <w:tcW w:w="47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Fee related performance revenues</w:t>
            </w: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57"/>
        </w:trPr>
        <w:tc>
          <w:tcPr>
            <w:tcW w:w="47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Total fund level fee revenues</w:t>
            </w: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551.4</w:t>
            </w:r>
          </w:p>
        </w:tc>
        <w:tc>
          <w:tcPr>
            <w:tcW w:w="0" w:type="dxa"/>
            <w:vAlign w:val="bottom"/>
          </w:tcPr>
          <w:p>
            <w:pPr>
              <w:spacing w:after="0"/>
              <w:rPr>
                <w:sz w:val="1"/>
                <w:szCs w:val="1"/>
                <w:color w:val="auto"/>
              </w:rPr>
            </w:pPr>
          </w:p>
        </w:tc>
      </w:tr>
      <w:tr>
        <w:trPr>
          <w:trHeight w:val="257"/>
        </w:trPr>
        <w:tc>
          <w:tcPr>
            <w:tcW w:w="4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Realized performance revenues</w:t>
            </w: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0" w:type="dxa"/>
            <w:vAlign w:val="bottom"/>
          </w:tcPr>
          <w:p>
            <w:pPr>
              <w:spacing w:after="0"/>
              <w:rPr>
                <w:sz w:val="1"/>
                <w:szCs w:val="1"/>
                <w:color w:val="auto"/>
              </w:rPr>
            </w:pPr>
          </w:p>
        </w:tc>
      </w:tr>
      <w:tr>
        <w:trPr>
          <w:trHeight w:val="256"/>
        </w:trPr>
        <w:tc>
          <w:tcPr>
            <w:tcW w:w="4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Realized principal investment income</w:t>
            </w: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08"/>
        </w:trPr>
        <w:tc>
          <w:tcPr>
            <w:tcW w:w="472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Interest income</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48"/>
        </w:trPr>
        <w:tc>
          <w:tcPr>
            <w:tcW w:w="472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Total revenues</w:t>
            </w: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754.2</w:t>
            </w:r>
          </w:p>
        </w:tc>
        <w:tc>
          <w:tcPr>
            <w:tcW w:w="0" w:type="dxa"/>
            <w:vAlign w:val="bottom"/>
          </w:tcPr>
          <w:p>
            <w:pPr>
              <w:spacing w:after="0"/>
              <w:rPr>
                <w:sz w:val="1"/>
                <w:szCs w:val="1"/>
                <w:color w:val="auto"/>
              </w:rPr>
            </w:pPr>
          </w:p>
        </w:tc>
      </w:tr>
      <w:tr>
        <w:trPr>
          <w:trHeight w:val="257"/>
        </w:trPr>
        <w:tc>
          <w:tcPr>
            <w:tcW w:w="4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Segment Expenses</w:t>
            </w: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4720" w:type="dxa"/>
            <w:vAlign w:val="bottom"/>
            <w:vMerge w:val="restart"/>
          </w:tcPr>
          <w:p>
            <w:pPr>
              <w:ind w:left="70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w:t>
            </w:r>
          </w:p>
        </w:tc>
        <w:tc>
          <w:tcPr>
            <w:tcW w:w="0" w:type="dxa"/>
            <w:vAlign w:val="bottom"/>
          </w:tcPr>
          <w:p>
            <w:pPr>
              <w:spacing w:after="0"/>
              <w:rPr>
                <w:sz w:val="1"/>
                <w:szCs w:val="1"/>
                <w:color w:val="auto"/>
              </w:rPr>
            </w:pPr>
          </w:p>
        </w:tc>
      </w:tr>
      <w:tr>
        <w:trPr>
          <w:trHeight w:val="48"/>
        </w:trPr>
        <w:tc>
          <w:tcPr>
            <w:tcW w:w="472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Realized performance revenues related compensation</w:t>
            </w: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0" w:type="dxa"/>
            <w:vAlign w:val="bottom"/>
          </w:tcPr>
          <w:p>
            <w:pPr>
              <w:spacing w:after="0"/>
              <w:rPr>
                <w:sz w:val="1"/>
                <w:szCs w:val="1"/>
                <w:color w:val="auto"/>
              </w:rPr>
            </w:pPr>
          </w:p>
        </w:tc>
      </w:tr>
      <w:tr>
        <w:trPr>
          <w:trHeight w:val="257"/>
        </w:trPr>
        <w:tc>
          <w:tcPr>
            <w:tcW w:w="47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356.2</w:t>
            </w:r>
          </w:p>
        </w:tc>
        <w:tc>
          <w:tcPr>
            <w:tcW w:w="0" w:type="dxa"/>
            <w:vAlign w:val="bottom"/>
          </w:tcPr>
          <w:p>
            <w:pPr>
              <w:spacing w:after="0"/>
              <w:rPr>
                <w:sz w:val="1"/>
                <w:szCs w:val="1"/>
                <w:color w:val="auto"/>
              </w:rPr>
            </w:pPr>
          </w:p>
        </w:tc>
      </w:tr>
      <w:tr>
        <w:trPr>
          <w:trHeight w:val="257"/>
        </w:trPr>
        <w:tc>
          <w:tcPr>
            <w:tcW w:w="4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General, administrative, and other indirect expenses</w:t>
            </w: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0" w:type="dxa"/>
            <w:vAlign w:val="bottom"/>
          </w:tcPr>
          <w:p>
            <w:pPr>
              <w:spacing w:after="0"/>
              <w:rPr>
                <w:sz w:val="1"/>
                <w:szCs w:val="1"/>
                <w:color w:val="auto"/>
              </w:rPr>
            </w:pPr>
          </w:p>
        </w:tc>
      </w:tr>
      <w:tr>
        <w:trPr>
          <w:trHeight w:val="256"/>
        </w:trPr>
        <w:tc>
          <w:tcPr>
            <w:tcW w:w="4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08"/>
        </w:trPr>
        <w:tc>
          <w:tcPr>
            <w:tcW w:w="472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48"/>
        </w:trPr>
        <w:tc>
          <w:tcPr>
            <w:tcW w:w="472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Total expenses</w:t>
            </w: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482.6</w:t>
            </w:r>
          </w:p>
        </w:tc>
        <w:tc>
          <w:tcPr>
            <w:tcW w:w="0" w:type="dxa"/>
            <w:vAlign w:val="bottom"/>
          </w:tcPr>
          <w:p>
            <w:pPr>
              <w:spacing w:after="0"/>
              <w:rPr>
                <w:sz w:val="1"/>
                <w:szCs w:val="1"/>
                <w:color w:val="auto"/>
              </w:rPr>
            </w:pPr>
          </w:p>
        </w:tc>
      </w:tr>
      <w:tr>
        <w:trPr>
          <w:trHeight w:val="257"/>
        </w:trPr>
        <w:tc>
          <w:tcPr>
            <w:tcW w:w="47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Distributable Earnings</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182.8</w:t>
            </w:r>
          </w:p>
        </w:tc>
        <w:tc>
          <w:tcPr>
            <w:tcW w:w="60" w:type="dxa"/>
            <w:vAlign w:val="bottom"/>
          </w:tcPr>
          <w:p>
            <w:pPr>
              <w:spacing w:after="0"/>
              <w:rPr>
                <w:sz w:val="22"/>
                <w:szCs w:val="22"/>
                <w:color w:val="auto"/>
              </w:rPr>
            </w:pP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68.9</w:t>
            </w:r>
          </w:p>
        </w:tc>
        <w:tc>
          <w:tcPr>
            <w:tcW w:w="8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19.9</w:t>
            </w:r>
          </w:p>
        </w:tc>
        <w:tc>
          <w:tcPr>
            <w:tcW w:w="6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271.6</w:t>
            </w:r>
          </w:p>
        </w:tc>
        <w:tc>
          <w:tcPr>
            <w:tcW w:w="0" w:type="dxa"/>
            <w:vAlign w:val="bottom"/>
          </w:tcPr>
          <w:p>
            <w:pPr>
              <w:spacing w:after="0"/>
              <w:rPr>
                <w:sz w:val="1"/>
                <w:szCs w:val="1"/>
                <w:color w:val="auto"/>
              </w:rPr>
            </w:pPr>
          </w:p>
        </w:tc>
      </w:tr>
      <w:tr>
        <w:trPr>
          <w:trHeight w:val="256"/>
        </w:trPr>
        <w:tc>
          <w:tcPr>
            <w:tcW w:w="4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 Realized Net Performance Revenues</w:t>
            </w: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0" w:type="dxa"/>
            <w:vAlign w:val="bottom"/>
          </w:tcPr>
          <w:p>
            <w:pPr>
              <w:spacing w:after="0"/>
              <w:rPr>
                <w:sz w:val="1"/>
                <w:szCs w:val="1"/>
                <w:color w:val="auto"/>
              </w:rPr>
            </w:pPr>
          </w:p>
        </w:tc>
      </w:tr>
      <w:tr>
        <w:trPr>
          <w:trHeight w:val="208"/>
        </w:trPr>
        <w:tc>
          <w:tcPr>
            <w:tcW w:w="472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 Realized Principal Investment Income</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48"/>
        </w:trPr>
        <w:tc>
          <w:tcPr>
            <w:tcW w:w="472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472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 Net Interest</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48"/>
        </w:trPr>
        <w:tc>
          <w:tcPr>
            <w:tcW w:w="472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7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Fee Related Earnings</w:t>
            </w:r>
          </w:p>
        </w:tc>
        <w:tc>
          <w:tcPr>
            <w:tcW w:w="380" w:type="dxa"/>
            <w:vAlign w:val="bottom"/>
            <w:tcBorders>
              <w:bottom w:val="single" w:sz="8" w:color="auto"/>
            </w:tcBorders>
          </w:tcPr>
          <w:p>
            <w:pPr>
              <w:jc w:val="right"/>
              <w:ind w:right="17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129.4</w:t>
            </w:r>
          </w:p>
        </w:tc>
        <w:tc>
          <w:tcPr>
            <w:tcW w:w="60" w:type="dxa"/>
            <w:vAlign w:val="bottom"/>
          </w:tcPr>
          <w:p>
            <w:pPr>
              <w:spacing w:after="0"/>
              <w:rPr>
                <w:sz w:val="16"/>
                <w:szCs w:val="16"/>
                <w:color w:val="auto"/>
              </w:rPr>
            </w:pPr>
          </w:p>
        </w:tc>
        <w:tc>
          <w:tcPr>
            <w:tcW w:w="280" w:type="dxa"/>
            <w:vAlign w:val="bottom"/>
            <w:tcBorders>
              <w:bottom w:val="single" w:sz="8" w:color="auto"/>
            </w:tcBorders>
          </w:tcPr>
          <w:p>
            <w:pPr>
              <w:jc w:val="right"/>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47.9</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17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16.1</w:t>
            </w:r>
          </w:p>
        </w:tc>
        <w:tc>
          <w:tcPr>
            <w:tcW w:w="60" w:type="dxa"/>
            <w:vAlign w:val="bottom"/>
          </w:tcPr>
          <w:p>
            <w:pPr>
              <w:spacing w:after="0"/>
              <w:rPr>
                <w:sz w:val="16"/>
                <w:szCs w:val="16"/>
                <w:color w:val="auto"/>
              </w:rPr>
            </w:pPr>
          </w:p>
        </w:tc>
        <w:tc>
          <w:tcPr>
            <w:tcW w:w="380" w:type="dxa"/>
            <w:vAlign w:val="bottom"/>
            <w:tcBorders>
              <w:bottom w:val="single" w:sz="8" w:color="auto"/>
            </w:tcBorders>
          </w:tcPr>
          <w:p>
            <w:pPr>
              <w:jc w:val="right"/>
              <w:ind w:right="17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193.4</w:t>
            </w:r>
          </w:p>
        </w:tc>
        <w:tc>
          <w:tcPr>
            <w:tcW w:w="0" w:type="dxa"/>
            <w:vAlign w:val="bottom"/>
          </w:tcPr>
          <w:p>
            <w:pPr>
              <w:spacing w:after="0"/>
              <w:rPr>
                <w:sz w:val="1"/>
                <w:szCs w:val="1"/>
                <w:color w:val="auto"/>
              </w:rPr>
            </w:pPr>
          </w:p>
        </w:tc>
      </w:tr>
      <w:tr>
        <w:trPr>
          <w:trHeight w:val="479"/>
        </w:trPr>
        <w:tc>
          <w:tcPr>
            <w:tcW w:w="4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7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-4636770</wp:posOffset>
            </wp:positionV>
            <wp:extent cx="7016115" cy="7408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16115" cy="7408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30251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16115" cy="302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reconcile the Total Segments to the Company’s Income (Loss) Before Provision for Taxes for the three months ended March 31, 2024 and 2023, and Total Assets as of March 31, 2024.</w:t>
      </w:r>
    </w:p>
    <w:p>
      <w:pPr>
        <w:spacing w:after="0" w:line="245"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3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119"/>
              <w:spacing w:after="0" w:line="155"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40" w:type="dxa"/>
            <w:vAlign w:val="bottom"/>
          </w:tcPr>
          <w:p>
            <w:pPr>
              <w:spacing w:after="0"/>
              <w:rPr>
                <w:sz w:val="13"/>
                <w:szCs w:val="13"/>
                <w:color w:val="auto"/>
              </w:rPr>
            </w:pPr>
          </w:p>
        </w:tc>
        <w:tc>
          <w:tcPr>
            <w:tcW w:w="10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Reconciling</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Carlyle</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Funds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Items</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36"/>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1,023.0</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(499.5)</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(a)</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688.4</w:t>
            </w:r>
          </w:p>
        </w:tc>
        <w:tc>
          <w:tcPr>
            <w:tcW w:w="0" w:type="dxa"/>
            <w:vAlign w:val="bottom"/>
          </w:tcPr>
          <w:p>
            <w:pPr>
              <w:spacing w:after="0"/>
              <w:rPr>
                <w:sz w:val="1"/>
                <w:szCs w:val="1"/>
                <w:color w:val="auto"/>
              </w:rPr>
            </w:pPr>
          </w:p>
        </w:tc>
      </w:tr>
      <w:tr>
        <w:trPr>
          <w:trHeight w:val="257"/>
        </w:trPr>
        <w:tc>
          <w:tcPr>
            <w:tcW w:w="3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591.7</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139.5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(170.5)</w:t>
            </w:r>
          </w:p>
        </w:tc>
        <w:tc>
          <w:tcPr>
            <w:tcW w:w="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(b)</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560.7</w:t>
            </w:r>
          </w:p>
        </w:tc>
        <w:tc>
          <w:tcPr>
            <w:tcW w:w="0" w:type="dxa"/>
            <w:vAlign w:val="bottom"/>
          </w:tcPr>
          <w:p>
            <w:pPr>
              <w:spacing w:after="0"/>
              <w:rPr>
                <w:sz w:val="1"/>
                <w:szCs w:val="1"/>
                <w:color w:val="auto"/>
              </w:rPr>
            </w:pPr>
          </w:p>
        </w:tc>
      </w:tr>
      <w:tr>
        <w:trPr>
          <w:trHeight w:val="256"/>
        </w:trPr>
        <w:tc>
          <w:tcPr>
            <w:tcW w:w="3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(c)</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0" w:type="dxa"/>
            <w:vAlign w:val="bottom"/>
          </w:tcPr>
          <w:p>
            <w:pPr>
              <w:spacing w:after="0"/>
              <w:rPr>
                <w:sz w:val="1"/>
                <w:szCs w:val="1"/>
                <w:color w:val="auto"/>
              </w:rPr>
            </w:pPr>
          </w:p>
        </w:tc>
      </w:tr>
      <w:tr>
        <w:trPr>
          <w:trHeight w:val="256"/>
        </w:trPr>
        <w:tc>
          <w:tcPr>
            <w:tcW w:w="3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Distributable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431.3</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(329.0)</w:t>
            </w:r>
          </w:p>
        </w:tc>
        <w:tc>
          <w:tcPr>
            <w:tcW w:w="4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(d)</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120.7</w:t>
            </w:r>
          </w:p>
        </w:tc>
        <w:tc>
          <w:tcPr>
            <w:tcW w:w="0" w:type="dxa"/>
            <w:vAlign w:val="bottom"/>
          </w:tcPr>
          <w:p>
            <w:pPr>
              <w:spacing w:after="0"/>
              <w:rPr>
                <w:sz w:val="1"/>
                <w:szCs w:val="1"/>
                <w:color w:val="auto"/>
              </w:rPr>
            </w:pPr>
          </w:p>
        </w:tc>
      </w:tr>
      <w:tr>
        <w:trPr>
          <w:trHeight w:val="256"/>
        </w:trPr>
        <w:tc>
          <w:tcPr>
            <w:tcW w:w="3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13,278.4</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8,154.9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(583.8)</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20,849.5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97" w:orient="portrait"/>
          <w:cols w:equalWidth="0" w:num="1">
            <w:col w:w="9240"/>
          </w:cols>
          <w:pgMar w:left="1320" w:top="110" w:right="1339" w:bottom="0" w:gutter="0" w:footer="0" w:header="0"/>
        </w:sectPr>
      </w:pPr>
    </w:p>
    <w:p>
      <w:pPr>
        <w:spacing w:after="0" w:line="16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p>
      <w:pPr>
        <w:sectPr>
          <w:pgSz w:w="11900" w:h="16897" w:orient="portrait"/>
          <w:cols w:equalWidth="0" w:num="1">
            <w:col w:w="9240"/>
          </w:cols>
          <w:pgMar w:left="1320" w:top="110" w:right="1339" w:bottom="0" w:gutter="0" w:footer="0" w:header="0"/>
          <w:type w:val="continuous"/>
        </w:sectPr>
      </w:pPr>
    </w:p>
    <w:bookmarkStart w:id="49" w:name="page50"/>
    <w:bookmarkEnd w:id="49"/>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0369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16115" cy="6036945"/>
                    </a:xfrm>
                    <a:prstGeom prst="rect">
                      <a:avLst/>
                    </a:prstGeom>
                    <a:noFill/>
                  </pic:spPr>
                </pic:pic>
              </a:graphicData>
            </a:graphic>
          </wp:anchor>
        </w:drawing>
      </w:r>
    </w:p>
    <w:tbl>
      <w:tblPr>
        <w:tblLayout w:type="fixed"/>
        <w:tblInd w:w="48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62"/>
        </w:trPr>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1160" w:type="dxa"/>
            <w:vAlign w:val="bottom"/>
            <w:gridSpan w:val="2"/>
          </w:tcPr>
          <w:p>
            <w:pPr>
              <w:jc w:val="right"/>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80" w:type="dxa"/>
            <w:vAlign w:val="bottom"/>
          </w:tcPr>
          <w:p>
            <w:pPr>
              <w:spacing w:after="0"/>
              <w:rPr>
                <w:sz w:val="14"/>
                <w:szCs w:val="14"/>
                <w:color w:val="auto"/>
              </w:rPr>
            </w:pPr>
          </w:p>
        </w:tc>
        <w:tc>
          <w:tcPr>
            <w:tcW w:w="1000" w:type="dxa"/>
            <w:vAlign w:val="bottom"/>
          </w:tcPr>
          <w:p>
            <w:pPr>
              <w:jc w:val="right"/>
              <w:ind w:right="119"/>
              <w:spacing w:after="0" w:line="162" w:lineRule="exact"/>
              <w:rPr>
                <w:sz w:val="20"/>
                <w:szCs w:val="20"/>
                <w:color w:val="auto"/>
              </w:rPr>
            </w:pPr>
            <w:r>
              <w:rPr>
                <w:rFonts w:ascii="Times New Roman" w:cs="Times New Roman" w:eastAsia="Times New Roman" w:hAnsi="Times New Roman"/>
                <w:sz w:val="16"/>
                <w:szCs w:val="16"/>
                <w:b w:val="1"/>
                <w:bCs w:val="1"/>
                <w:color w:val="auto"/>
                <w:w w:val="97"/>
              </w:rPr>
              <w:t>Reconciling</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99"/>
              <w:spacing w:after="0" w:line="162" w:lineRule="exact"/>
              <w:rPr>
                <w:sz w:val="20"/>
                <w:szCs w:val="20"/>
                <w:color w:val="auto"/>
              </w:rPr>
            </w:pPr>
            <w:r>
              <w:rPr>
                <w:rFonts w:ascii="Times New Roman" w:cs="Times New Roman" w:eastAsia="Times New Roman" w:hAnsi="Times New Roman"/>
                <w:sz w:val="16"/>
                <w:szCs w:val="16"/>
                <w:b w:val="1"/>
                <w:bCs w:val="1"/>
                <w:color w:val="auto"/>
              </w:rPr>
              <w:t>Carlyle</w:t>
            </w:r>
          </w:p>
        </w:tc>
      </w:tr>
      <w:tr>
        <w:trPr>
          <w:trHeight w:val="212"/>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28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Funds</w:t>
            </w:r>
          </w:p>
        </w:tc>
        <w:tc>
          <w:tcPr>
            <w:tcW w:w="180" w:type="dxa"/>
            <w:vAlign w:val="bottom"/>
          </w:tcPr>
          <w:p>
            <w:pPr>
              <w:spacing w:after="0"/>
              <w:rPr>
                <w:sz w:val="18"/>
                <w:szCs w:val="18"/>
                <w:color w:val="auto"/>
              </w:rPr>
            </w:pPr>
          </w:p>
        </w:tc>
        <w:tc>
          <w:tcPr>
            <w:tcW w:w="10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Items</w:t>
            </w:r>
          </w:p>
        </w:tc>
        <w:tc>
          <w:tcPr>
            <w:tcW w:w="3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47"/>
        </w:trPr>
        <w:tc>
          <w:tcPr>
            <w:tcW w:w="3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237"/>
        </w:trPr>
        <w:tc>
          <w:tcPr>
            <w:tcW w:w="3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754.2</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3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859.0</w:t>
            </w:r>
          </w:p>
        </w:tc>
      </w:tr>
      <w:tr>
        <w:trPr>
          <w:trHeight w:val="257"/>
        </w:trPr>
        <w:tc>
          <w:tcPr>
            <w:tcW w:w="3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123.2</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703.0</w:t>
            </w:r>
          </w:p>
        </w:tc>
      </w:tr>
      <w:tr>
        <w:trPr>
          <w:trHeight w:val="257"/>
        </w:trPr>
        <w:tc>
          <w:tcPr>
            <w:tcW w:w="3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56"/>
        </w:trPr>
        <w:tc>
          <w:tcPr>
            <w:tcW w:w="3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Distributable earnings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r>
    </w:tbl>
    <w:p>
      <w:pPr>
        <w:spacing w:after="0" w:line="265" w:lineRule="exact"/>
        <w:rPr>
          <w:sz w:val="20"/>
          <w:szCs w:val="20"/>
          <w:color w:val="auto"/>
        </w:rPr>
      </w:pPr>
    </w:p>
    <w:p>
      <w:pPr>
        <w:ind w:left="500" w:right="100" w:hanging="330"/>
        <w:spacing w:after="0" w:line="255"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adjustment principally represents unrealized performance revenues, unrealized principal investment income (loss) (including Fortitude), revenues earned from the Consolidated Funds which were eliminated in consolidation to arrive at the Company’s total revenues, adjustments for amounts attributable to non-controlling interests in consolidated entities, adjustments related to expenses associated with the investments in NGP Management and its affiliates that are included in operating captions or are excluded from the segment results, adjustments to reflect the reimbursement of certain costs incurred on behalf of Carlyle funds on a net basis, and the inclusion of tax expenses associated with certain foreign performance revenues, as detailed below:</w:t>
      </w:r>
    </w:p>
    <w:p>
      <w:pPr>
        <w:spacing w:after="0" w:line="176"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9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3" w:lineRule="exact"/>
        <w:rPr>
          <w:sz w:val="20"/>
          <w:szCs w:val="20"/>
          <w:color w:val="auto"/>
        </w:rPr>
      </w:pPr>
    </w:p>
    <w:tbl>
      <w:tblPr>
        <w:tblLayout w:type="fixed"/>
        <w:tblInd w:w="1220" w:type="dxa"/>
        <w:tblCellMar>
          <w:top w:w="0" w:type="dxa"/>
          <w:left w:w="0" w:type="dxa"/>
          <w:bottom w:w="0" w:type="dxa"/>
          <w:right w:w="0" w:type="dxa"/>
        </w:tblCellMar>
      </w:tblPr>
      <w:tr>
        <w:trPr>
          <w:trHeight w:val="191"/>
        </w:trPr>
        <w:tc>
          <w:tcPr>
            <w:tcW w:w="4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Unrealized performance and fee related performance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(521.6)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57"/>
        </w:trPr>
        <w:tc>
          <w:tcPr>
            <w:tcW w:w="4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Unrealized principal investment income (loss)</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r>
      <w:tr>
        <w:trPr>
          <w:trHeight w:val="216"/>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Adjustments related to expenses associated with investments in NGP</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03"/>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Management and its affiliates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6"/>
        </w:trPr>
        <w:tc>
          <w:tcPr>
            <w:tcW w:w="4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Non-controlling interests and other adjustments to present certain costs on</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3"/>
        </w:trPr>
        <w:tc>
          <w:tcPr>
            <w:tcW w:w="4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 net basis</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r>
      <w:tr>
        <w:trPr>
          <w:trHeight w:val="257"/>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Elimination of revenues of Consolidated Funds</w:t>
            </w:r>
          </w:p>
        </w:tc>
        <w:tc>
          <w:tcPr>
            <w:tcW w:w="1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10"/>
        </w:trPr>
        <w:tc>
          <w:tcPr>
            <w:tcW w:w="49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(499.5)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left="380" w:right="380"/>
        <w:spacing w:after="0" w:line="312" w:lineRule="auto"/>
        <w:rPr>
          <w:sz w:val="20"/>
          <w:szCs w:val="20"/>
          <w:color w:val="auto"/>
        </w:rPr>
      </w:pPr>
      <w:r>
        <w:rPr>
          <w:rFonts w:ascii="Times New Roman" w:cs="Times New Roman" w:eastAsia="Times New Roman" w:hAnsi="Times New Roman"/>
          <w:sz w:val="17"/>
          <w:szCs w:val="17"/>
          <w:color w:val="auto"/>
        </w:rPr>
        <w:t>The following table reconciles the total segments fund level fee revenue to the most directly comparable U.S. GAAP measure, the Company’s consolidated fund management fees, for the three months ended March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367030</wp:posOffset>
            </wp:positionV>
            <wp:extent cx="7016115" cy="4396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16115" cy="439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4"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9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3" w:lineRule="exact"/>
        <w:rPr>
          <w:sz w:val="20"/>
          <w:szCs w:val="20"/>
          <w:color w:val="auto"/>
        </w:rPr>
      </w:pPr>
    </w:p>
    <w:tbl>
      <w:tblPr>
        <w:tblLayout w:type="fixed"/>
        <w:tblInd w:w="1220" w:type="dxa"/>
        <w:tblCellMar>
          <w:top w:w="0" w:type="dxa"/>
          <w:left w:w="0" w:type="dxa"/>
          <w:bottom w:w="0" w:type="dxa"/>
          <w:right w:w="0" w:type="dxa"/>
        </w:tblCellMar>
      </w:tblPr>
      <w:tr>
        <w:trPr>
          <w:trHeight w:val="205"/>
        </w:trPr>
        <w:tc>
          <w:tcPr>
            <w:tcW w:w="4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6"/>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6"/>
        </w:trPr>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Reportable Segments - Fund level fee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571.4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551.4</w:t>
            </w:r>
          </w:p>
        </w:tc>
      </w:tr>
      <w:tr>
        <w:trPr>
          <w:trHeight w:val="257"/>
        </w:trPr>
        <w:tc>
          <w:tcPr>
            <w:tcW w:w="49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Adjustments</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(47.8)</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w:t>
            </w:r>
          </w:p>
        </w:tc>
      </w:tr>
      <w:tr>
        <w:trPr>
          <w:trHeight w:val="234"/>
        </w:trPr>
        <w:tc>
          <w:tcPr>
            <w:tcW w:w="49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Carlyle Consolidated - Fund management fees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523.6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500.8</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220" w:right="620" w:hanging="321"/>
        <w:spacing w:after="0" w:line="259" w:lineRule="auto"/>
        <w:tabs>
          <w:tab w:leader="none" w:pos="122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represent the reclassification of NGP management fees from principal investment income, the reclassification of fee related performance revenues from business development companies and other products, management fees earned from Consolidated Funds which were eliminated in consolidation to arrive at the Company’s fund management fees, and the reclassification of certain amounts included in portfolio advisory fees, net and other in the segment results that are included in interest and other income in the U.S. GAAP results.</w:t>
      </w:r>
    </w:p>
    <w:p>
      <w:pPr>
        <w:spacing w:after="0" w:line="190" w:lineRule="exact"/>
        <w:rPr>
          <w:rFonts w:ascii="Times New Roman" w:cs="Times New Roman" w:eastAsia="Times New Roman" w:hAnsi="Times New Roman"/>
          <w:sz w:val="16"/>
          <w:szCs w:val="16"/>
          <w:color w:val="auto"/>
        </w:rPr>
      </w:pPr>
    </w:p>
    <w:p>
      <w:pPr>
        <w:ind w:left="500" w:hanging="330"/>
        <w:spacing w:after="0" w:line="255"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adjustment represents the elimination of intercompany expenses of the Consolidated Funds payable to the Company, the inclusion of equity-based compensation, certain tax expenses associated with realized performance revenues related compensation, and unrealized performance revenues related compensation, adjustments related to expenses associated with the investment in NGP Management that are included in operating captions, adjustments to reflect the reimbursement of certain costs incurred on behalf of Carlyle funds on a net basis, changes in the tax receivable agreement liability, and charges and credits associated with Carlyle corporate actions and non-recurring items, as detailed below:</w:t>
      </w:r>
    </w:p>
    <w:p>
      <w:pPr>
        <w:spacing w:after="0" w:line="16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9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3" w:lineRule="exact"/>
        <w:rPr>
          <w:sz w:val="20"/>
          <w:szCs w:val="20"/>
          <w:color w:val="auto"/>
        </w:rPr>
      </w:pPr>
    </w:p>
    <w:p>
      <w:pPr>
        <w:ind w:left="6440"/>
        <w:spacing w:after="0"/>
        <w:tabs>
          <w:tab w:leader="none" w:pos="726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7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b w:val="1"/>
          <w:bCs w:val="1"/>
          <w:color w:val="auto"/>
        </w:rPr>
        <w:t>(Dollars in millions)</w:t>
      </w:r>
    </w:p>
    <w:p>
      <w:pPr>
        <w:sectPr>
          <w:pgSz w:w="11900" w:h="16843" w:orient="portrait"/>
          <w:cols w:equalWidth="0" w:num="1">
            <w:col w:w="9160"/>
          </w:cols>
          <w:pgMar w:left="1400" w:top="158" w:right="1339" w:bottom="0" w:gutter="0" w:footer="0" w:header="0"/>
        </w:sectPr>
      </w:pPr>
    </w:p>
    <w:bookmarkStart w:id="50" w:name="page51"/>
    <w:bookmarkEnd w:id="50"/>
    <w:tbl>
      <w:tblPr>
        <w:tblLayout w:type="fixed"/>
        <w:tblInd w:w="1260" w:type="dxa"/>
        <w:tblCellMar>
          <w:top w:w="0" w:type="dxa"/>
          <w:left w:w="0" w:type="dxa"/>
          <w:bottom w:w="0" w:type="dxa"/>
          <w:right w:w="0" w:type="dxa"/>
        </w:tblCellMar>
      </w:tblPr>
      <w:tr>
        <w:trPr>
          <w:trHeight w:val="184"/>
        </w:trPr>
        <w:tc>
          <w:tcPr>
            <w:tcW w:w="4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Unrealized performance and fee related performance revenue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(328.4)</w:t>
            </w:r>
          </w:p>
        </w:tc>
        <w:tc>
          <w:tcPr>
            <w:tcW w:w="2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0"/>
        </w:trPr>
        <w:tc>
          <w:tcPr>
            <w:tcW w:w="4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compensation expense</w:t>
            </w:r>
          </w:p>
        </w:tc>
        <w:tc>
          <w:tcPr>
            <w:tcW w:w="20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Equity-based compensation</w:t>
            </w:r>
          </w:p>
        </w:tc>
        <w:tc>
          <w:tcPr>
            <w:tcW w:w="2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4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111.0</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31"/>
        </w:trPr>
        <w:tc>
          <w:tcPr>
            <w:tcW w:w="4960" w:type="dxa"/>
            <w:vAlign w:val="bottom"/>
            <w:vMerge w:val="restart"/>
          </w:tcPr>
          <w:p>
            <w:pPr>
              <w:ind w:left="60"/>
              <w:spacing w:after="0" w:line="166" w:lineRule="exact"/>
              <w:rPr>
                <w:sz w:val="20"/>
                <w:szCs w:val="20"/>
                <w:color w:val="auto"/>
              </w:rPr>
            </w:pPr>
            <w:r>
              <w:rPr>
                <w:rFonts w:ascii="Times New Roman" w:cs="Times New Roman" w:eastAsia="Times New Roman" w:hAnsi="Times New Roman"/>
                <w:sz w:val="16"/>
                <w:szCs w:val="16"/>
                <w:color w:val="auto"/>
              </w:rPr>
              <w:t>Acquisition or disposition-related charges and amortization of intangibles</w:t>
            </w: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9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32.8</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and impairment</w:t>
            </w: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08"/>
        </w:trPr>
        <w:tc>
          <w:tcPr>
            <w:tcW w:w="4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Tax (expense) benefit associated with certain foreign performance</w:t>
            </w:r>
          </w:p>
        </w:tc>
        <w:tc>
          <w:tcPr>
            <w:tcW w:w="20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revenues related compensation</w:t>
            </w: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8"/>
        </w:trPr>
        <w:tc>
          <w:tcPr>
            <w:tcW w:w="4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Non-controlling interests and other adjustments to present certain costs on</w:t>
            </w:r>
          </w:p>
        </w:tc>
        <w:tc>
          <w:tcPr>
            <w:tcW w:w="200" w:type="dxa"/>
            <w:vAlign w:val="bottom"/>
          </w:tcPr>
          <w:p>
            <w:pPr>
              <w:spacing w:after="0"/>
              <w:rPr>
                <w:sz w:val="18"/>
                <w:szCs w:val="18"/>
                <w:color w:val="auto"/>
              </w:rPr>
            </w:pPr>
          </w:p>
        </w:tc>
        <w:tc>
          <w:tcPr>
            <w:tcW w:w="6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17.8</w:t>
            </w:r>
          </w:p>
        </w:tc>
        <w:tc>
          <w:tcPr>
            <w:tcW w:w="24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0"/>
        </w:trPr>
        <w:tc>
          <w:tcPr>
            <w:tcW w:w="4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 net basis</w:t>
            </w: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adjustments</w:t>
            </w:r>
          </w:p>
        </w:tc>
        <w:tc>
          <w:tcPr>
            <w:tcW w:w="20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12.2</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57"/>
        </w:trPr>
        <w:tc>
          <w:tcPr>
            <w:tcW w:w="4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Elimination of expenses of Consolidated Funds</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(14.9)</w:t>
            </w:r>
          </w:p>
        </w:tc>
        <w:tc>
          <w:tcPr>
            <w:tcW w:w="2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73"/>
        </w:trPr>
        <w:tc>
          <w:tcPr>
            <w:tcW w:w="4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49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(170.5)</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0" w:type="dxa"/>
            <w:vAlign w:val="bottom"/>
          </w:tcPr>
          <w:p>
            <w:pPr>
              <w:spacing w:after="0"/>
              <w:rPr>
                <w:sz w:val="1"/>
                <w:szCs w:val="1"/>
                <w:color w:val="auto"/>
              </w:rPr>
            </w:pPr>
          </w:p>
        </w:tc>
      </w:tr>
      <w:tr>
        <w:trPr>
          <w:trHeight w:val="206"/>
        </w:trPr>
        <w:tc>
          <w:tcPr>
            <w:tcW w:w="4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-1799590</wp:posOffset>
            </wp:positionV>
            <wp:extent cx="7016115" cy="46653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16115" cy="4665345"/>
                    </a:xfrm>
                    <a:prstGeom prst="rect">
                      <a:avLst/>
                    </a:prstGeom>
                    <a:noFill/>
                  </pic:spPr>
                </pic:pic>
              </a:graphicData>
            </a:graphic>
          </wp:anchor>
        </w:drawing>
      </w:r>
    </w:p>
    <w:p>
      <w:pPr>
        <w:spacing w:after="0" w:line="2" w:lineRule="exact"/>
        <w:rPr>
          <w:sz w:val="20"/>
          <w:szCs w:val="20"/>
          <w:color w:val="auto"/>
        </w:rPr>
      </w:pPr>
    </w:p>
    <w:p>
      <w:pPr>
        <w:ind w:left="500" w:right="359" w:hanging="330"/>
        <w:spacing w:after="0" w:line="282"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Other </w:t>
      </w:r>
      <w:r>
        <w:rPr>
          <w:rFonts w:ascii="Times New Roman" w:cs="Times New Roman" w:eastAsia="Times New Roman" w:hAnsi="Times New Roman"/>
          <w:sz w:val="18"/>
          <w:szCs w:val="18"/>
          <w:color w:val="auto"/>
          <w:highlight w:val="white"/>
        </w:rPr>
        <w:t>Income (Loss) adjustment results from the Consolidated Funds that were eliminated in con</w:t>
      </w:r>
      <w:r>
        <w:rPr>
          <w:rFonts w:ascii="Times New Roman" w:cs="Times New Roman" w:eastAsia="Times New Roman" w:hAnsi="Times New Roman"/>
          <w:sz w:val="18"/>
          <w:szCs w:val="18"/>
          <w:color w:val="auto"/>
        </w:rPr>
        <w:t>solidation to arrive at the Company’s total Other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367030</wp:posOffset>
            </wp:positionV>
            <wp:extent cx="7016115" cy="5768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16115" cy="5768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left="500" w:right="119" w:hanging="330"/>
        <w:spacing w:after="0" w:line="282"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is a reconciliation of Income (Loss) Before Provision for Income Taxes to Distributable Earnings and to Fee Related Earnings:</w:t>
      </w:r>
    </w:p>
    <w:p>
      <w:pPr>
        <w:spacing w:after="0" w:line="135"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58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3" w:lineRule="exact"/>
        <w:rPr>
          <w:sz w:val="20"/>
          <w:szCs w:val="20"/>
          <w:color w:val="auto"/>
        </w:rPr>
      </w:pPr>
    </w:p>
    <w:tbl>
      <w:tblPr>
        <w:tblLayout w:type="fixed"/>
        <w:tblInd w:w="840" w:type="dxa"/>
        <w:tblCellMar>
          <w:top w:w="0" w:type="dxa"/>
          <w:left w:w="0" w:type="dxa"/>
          <w:bottom w:w="0" w:type="dxa"/>
          <w:right w:w="0" w:type="dxa"/>
        </w:tblCellMar>
      </w:tblPr>
      <w:tr>
        <w:trPr>
          <w:trHeight w:val="205"/>
        </w:trPr>
        <w:tc>
          <w:tcPr>
            <w:tcW w:w="58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7"/>
        </w:trPr>
        <w:tc>
          <w:tcPr>
            <w:tcW w:w="5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(Dollars in millions)</w:t>
            </w:r>
          </w:p>
        </w:tc>
        <w:tc>
          <w:tcPr>
            <w:tcW w:w="0" w:type="dxa"/>
            <w:vAlign w:val="bottom"/>
          </w:tcPr>
          <w:p>
            <w:pPr>
              <w:spacing w:after="0"/>
              <w:rPr>
                <w:sz w:val="1"/>
                <w:szCs w:val="1"/>
                <w:color w:val="auto"/>
              </w:rPr>
            </w:pPr>
          </w:p>
        </w:tc>
      </w:tr>
      <w:tr>
        <w:trPr>
          <w:trHeight w:val="256"/>
        </w:trPr>
        <w:tc>
          <w:tcPr>
            <w:tcW w:w="5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Income (loss) before provision for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120.7</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0" w:type="dxa"/>
            <w:vAlign w:val="bottom"/>
          </w:tcPr>
          <w:p>
            <w:pPr>
              <w:spacing w:after="0"/>
              <w:rPr>
                <w:sz w:val="1"/>
                <w:szCs w:val="1"/>
                <w:color w:val="auto"/>
              </w:rPr>
            </w:pPr>
          </w:p>
        </w:tc>
      </w:tr>
      <w:tr>
        <w:trPr>
          <w:trHeight w:val="257"/>
        </w:trPr>
        <w:tc>
          <w:tcPr>
            <w:tcW w:w="5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unrealized performance and fee related performance revenues</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193.2</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57"/>
        </w:trPr>
        <w:tc>
          <w:tcPr>
            <w:tcW w:w="5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Unrealized principal investment (income) loss</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5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Equity-based compensation</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111.0</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189"/>
        </w:trPr>
        <w:tc>
          <w:tcPr>
            <w:tcW w:w="5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or disposition-related charges, including amortization of intangibles</w:t>
            </w: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32.8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03"/>
        </w:trPr>
        <w:tc>
          <w:tcPr>
            <w:tcW w:w="5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and impairment</w:t>
            </w: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Tax expense associated with certain foreign performance revenues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30"/>
        </w:trPr>
        <w:tc>
          <w:tcPr>
            <w:tcW w:w="5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attributable to non-controlling interests in consolidated entities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5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adjustments</w:t>
            </w: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w:t>
            </w:r>
          </w:p>
        </w:tc>
        <w:tc>
          <w:tcPr>
            <w:tcW w:w="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0"/>
        </w:trPr>
        <w:tc>
          <w:tcPr>
            <w:tcW w:w="5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Distributable Earnings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431.3</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0" w:type="dxa"/>
            <w:vAlign w:val="bottom"/>
            <w:shd w:val="clear" w:color="auto" w:fill="CCEEFF"/>
          </w:tcPr>
          <w:p>
            <w:pPr>
              <w:ind w:left="360"/>
              <w:spacing w:after="0" w:line="224" w:lineRule="exact"/>
              <w:rPr>
                <w:sz w:val="20"/>
                <w:szCs w:val="20"/>
                <w:color w:val="auto"/>
              </w:rPr>
            </w:pPr>
            <w:r>
              <w:rPr>
                <w:rFonts w:ascii="Times New Roman" w:cs="Times New Roman" w:eastAsia="Times New Roman" w:hAnsi="Times New Roman"/>
                <w:sz w:val="16"/>
                <w:szCs w:val="16"/>
                <w:color w:val="auto"/>
              </w:rPr>
              <w:t>Realized performance revenues, net of related compensation</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0" w:type="dxa"/>
            <w:vAlign w:val="bottom"/>
          </w:tcPr>
          <w:p>
            <w:pPr>
              <w:spacing w:after="0"/>
              <w:rPr>
                <w:sz w:val="1"/>
                <w:szCs w:val="1"/>
                <w:color w:val="auto"/>
              </w:rPr>
            </w:pPr>
          </w:p>
        </w:tc>
      </w:tr>
      <w:tr>
        <w:trPr>
          <w:trHeight w:val="256"/>
        </w:trPr>
        <w:tc>
          <w:tcPr>
            <w:tcW w:w="5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Realized principal investment income</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56"/>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interest</w:t>
            </w: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w:t>
            </w:r>
          </w:p>
        </w:tc>
        <w:tc>
          <w:tcPr>
            <w:tcW w:w="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0"/>
        </w:trPr>
        <w:tc>
          <w:tcPr>
            <w:tcW w:w="5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Fee Related Earnings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266.3</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900" w:right="359" w:hanging="325"/>
        <w:spacing w:after="0" w:line="272" w:lineRule="auto"/>
        <w:tabs>
          <w:tab w:leader="none" w:pos="9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Equity-based compensation for the three months ended March 31, 2024 and 2023 includes amounts that are presented in principal investment income and general, administrative and other expenses in the Company’s U.S. GAAP statement of operations.</w:t>
      </w:r>
    </w:p>
    <w:p>
      <w:pPr>
        <w:spacing w:after="0" w:line="62"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reconciliation to most directly comparable U.S. GAAP measure below:</w:t>
      </w:r>
    </w:p>
    <w:p>
      <w:pPr>
        <w:spacing w:after="0" w:line="206" w:lineRule="exact"/>
        <w:rPr>
          <w:sz w:val="20"/>
          <w:szCs w:val="20"/>
          <w:color w:val="auto"/>
        </w:rPr>
      </w:pPr>
    </w:p>
    <w:tbl>
      <w:tblPr>
        <w:tblLayout w:type="fixed"/>
        <w:tblInd w:w="80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0" w:type="dxa"/>
            <w:vAlign w:val="bottom"/>
          </w:tcPr>
          <w:p>
            <w:pPr>
              <w:spacing w:after="0"/>
              <w:rPr>
                <w:sz w:val="1"/>
                <w:szCs w:val="1"/>
                <w:color w:val="auto"/>
              </w:rPr>
            </w:pPr>
          </w:p>
        </w:tc>
      </w:tr>
      <w:tr>
        <w:trPr>
          <w:trHeight w:val="208"/>
        </w:trPr>
        <w:tc>
          <w:tcPr>
            <w:tcW w:w="2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Carlyle</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4"/>
              </w:rPr>
              <w:t xml:space="preserve">Adjustments </w:t>
            </w:r>
            <w:r>
              <w:rPr>
                <w:rFonts w:ascii="Times New Roman" w:cs="Times New Roman" w:eastAsia="Times New Roman" w:hAnsi="Times New Roman"/>
                <w:sz w:val="21"/>
                <w:szCs w:val="21"/>
                <w:b w:val="1"/>
                <w:bCs w:val="1"/>
                <w:color w:val="auto"/>
                <w:w w:val="94"/>
                <w:vertAlign w:val="superscript"/>
              </w:rPr>
              <w:t>(3)</w:t>
            </w:r>
          </w:p>
        </w:tc>
        <w:tc>
          <w:tcPr>
            <w:tcW w:w="160" w:type="dxa"/>
            <w:vAlign w:val="bottom"/>
          </w:tcPr>
          <w:p>
            <w:pPr>
              <w:spacing w:after="0"/>
              <w:rPr>
                <w:sz w:val="14"/>
                <w:szCs w:val="14"/>
                <w:color w:val="auto"/>
              </w:rPr>
            </w:pPr>
          </w:p>
        </w:tc>
        <w:tc>
          <w:tcPr>
            <w:tcW w:w="9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0" w:type="dxa"/>
            <w:vAlign w:val="bottom"/>
          </w:tcPr>
          <w:p>
            <w:pPr>
              <w:spacing w:after="0"/>
              <w:rPr>
                <w:sz w:val="1"/>
                <w:szCs w:val="1"/>
                <w:color w:val="auto"/>
              </w:rPr>
            </w:pPr>
          </w:p>
        </w:tc>
      </w:tr>
      <w:tr>
        <w:trPr>
          <w:trHeight w:val="254"/>
        </w:trPr>
        <w:tc>
          <w:tcPr>
            <w:tcW w:w="26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0" w:type="dxa"/>
            <w:vAlign w:val="bottom"/>
          </w:tcPr>
          <w:p>
            <w:pPr>
              <w:spacing w:after="0"/>
              <w:rPr>
                <w:sz w:val="1"/>
                <w:szCs w:val="1"/>
                <w:color w:val="auto"/>
              </w:rPr>
            </w:pPr>
          </w:p>
        </w:tc>
      </w:tr>
      <w:tr>
        <w:trPr>
          <w:trHeight w:val="212"/>
        </w:trPr>
        <w:tc>
          <w:tcPr>
            <w:tcW w:w="2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Performance revenues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(157.0)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554.8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397.8</w:t>
            </w:r>
          </w:p>
        </w:tc>
        <w:tc>
          <w:tcPr>
            <w:tcW w:w="0" w:type="dxa"/>
            <w:vAlign w:val="bottom"/>
          </w:tcPr>
          <w:p>
            <w:pPr>
              <w:spacing w:after="0"/>
              <w:rPr>
                <w:sz w:val="1"/>
                <w:szCs w:val="1"/>
                <w:color w:val="auto"/>
              </w:rPr>
            </w:pPr>
          </w:p>
        </w:tc>
      </w:tr>
    </w:tbl>
    <w:p>
      <w:pPr>
        <w:sectPr>
          <w:pgSz w:w="11900" w:h="16838" w:orient="portrait"/>
          <w:cols w:equalWidth="0" w:num="1">
            <w:col w:w="9059"/>
          </w:cols>
          <w:pgMar w:left="1400" w:top="91" w:right="1440" w:bottom="0" w:gutter="0" w:footer="0" w:header="0"/>
        </w:sectPr>
      </w:pPr>
    </w:p>
    <w:bookmarkStart w:id="51" w:name="page52"/>
    <w:bookmarkEnd w:id="51"/>
    <w:p>
      <w:pPr>
        <w:spacing w:after="0" w:line="1"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Performance revenues related compensation expense</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(72.8)</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328.6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255.8</w:t>
            </w:r>
          </w:p>
        </w:tc>
        <w:tc>
          <w:tcPr>
            <w:tcW w:w="0" w:type="dxa"/>
            <w:vAlign w:val="bottom"/>
          </w:tcPr>
          <w:p>
            <w:pPr>
              <w:spacing w:after="0"/>
              <w:rPr>
                <w:sz w:val="1"/>
                <w:szCs w:val="1"/>
                <w:color w:val="auto"/>
              </w:rPr>
            </w:pPr>
          </w:p>
        </w:tc>
      </w:tr>
      <w:tr>
        <w:trPr>
          <w:trHeight w:val="212"/>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performance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(84.2)</w:t>
            </w:r>
          </w:p>
        </w:tc>
        <w:tc>
          <w:tcPr>
            <w:tcW w:w="56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226.2</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142.0</w:t>
            </w:r>
          </w:p>
        </w:tc>
        <w:tc>
          <w:tcPr>
            <w:tcW w:w="0" w:type="dxa"/>
            <w:vAlign w:val="bottom"/>
          </w:tcPr>
          <w:p>
            <w:pPr>
              <w:spacing w:after="0"/>
              <w:rPr>
                <w:sz w:val="1"/>
                <w:szCs w:val="1"/>
                <w:color w:val="auto"/>
              </w:rPr>
            </w:pPr>
          </w:p>
        </w:tc>
      </w:tr>
      <w:tr>
        <w:trPr>
          <w:trHeight w:val="403"/>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Principal investment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73.1</w:t>
            </w:r>
          </w:p>
        </w:tc>
        <w:tc>
          <w:tcPr>
            <w:tcW w:w="56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(39.4)</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33.7</w:t>
            </w:r>
          </w:p>
        </w:tc>
        <w:tc>
          <w:tcPr>
            <w:tcW w:w="0" w:type="dxa"/>
            <w:vAlign w:val="bottom"/>
          </w:tcPr>
          <w:p>
            <w:pPr>
              <w:spacing w:after="0"/>
              <w:rPr>
                <w:sz w:val="1"/>
                <w:szCs w:val="1"/>
                <w:color w:val="auto"/>
              </w:rPr>
            </w:pPr>
          </w:p>
        </w:tc>
      </w:tr>
      <w:tr>
        <w:trPr>
          <w:trHeight w:val="87"/>
        </w:trPr>
        <w:tc>
          <w:tcPr>
            <w:tcW w:w="37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gridSpan w:val="2"/>
          </w:tcPr>
          <w:p>
            <w:pPr>
              <w:spacing w:after="0"/>
              <w:rPr>
                <w:sz w:val="7"/>
                <w:szCs w:val="7"/>
                <w:color w:val="auto"/>
              </w:rPr>
            </w:pPr>
          </w:p>
        </w:tc>
        <w:tc>
          <w:tcPr>
            <w:tcW w:w="1280" w:type="dxa"/>
            <w:vAlign w:val="bottom"/>
            <w:tcBorders>
              <w:bottom w:val="single" w:sz="8" w:color="auto"/>
            </w:tcBorders>
            <w:gridSpan w:val="2"/>
          </w:tcPr>
          <w:p>
            <w:pPr>
              <w:spacing w:after="0"/>
              <w:rPr>
                <w:sz w:val="7"/>
                <w:szCs w:val="7"/>
                <w:color w:val="auto"/>
              </w:rPr>
            </w:pPr>
          </w:p>
        </w:tc>
        <w:tc>
          <w:tcPr>
            <w:tcW w:w="1260" w:type="dxa"/>
            <w:vAlign w:val="bottom"/>
            <w:tcBorders>
              <w:bottom w:val="single" w:sz="8" w:color="auto"/>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7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640" w:type="dxa"/>
            <w:vAlign w:val="bottom"/>
            <w:tcBorders>
              <w:bottom w:val="single" w:sz="8" w:color="auto"/>
            </w:tcBorders>
            <w:gridSpan w:val="7"/>
            <w:shd w:val="clear" w:color="auto" w:fill="CCEEFF"/>
          </w:tcPr>
          <w:p>
            <w:pPr>
              <w:jc w:val="center"/>
              <w:ind w:right="62"/>
              <w:spacing w:after="0" w:line="148" w:lineRule="exact"/>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0" w:type="dxa"/>
            <w:vAlign w:val="bottom"/>
          </w:tcPr>
          <w:p>
            <w:pPr>
              <w:spacing w:after="0"/>
              <w:rPr>
                <w:sz w:val="1"/>
                <w:szCs w:val="1"/>
                <w:color w:val="auto"/>
              </w:rPr>
            </w:pPr>
          </w:p>
        </w:tc>
      </w:tr>
      <w:tr>
        <w:trPr>
          <w:trHeight w:val="88"/>
        </w:trPr>
        <w:tc>
          <w:tcPr>
            <w:tcW w:w="37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Carlyle</w:t>
            </w: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jc w:val="center"/>
              <w:ind w:right="102"/>
              <w:spacing w:after="0" w:line="108"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8"/>
        </w:trPr>
        <w:tc>
          <w:tcPr>
            <w:tcW w:w="37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02"/>
              <w:spacing w:after="0" w:line="129"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0" w:type="dxa"/>
            <w:vAlign w:val="bottom"/>
          </w:tcPr>
          <w:p>
            <w:pPr>
              <w:spacing w:after="0"/>
              <w:rPr>
                <w:sz w:val="1"/>
                <w:szCs w:val="1"/>
                <w:color w:val="auto"/>
              </w:rPr>
            </w:pPr>
          </w:p>
        </w:tc>
      </w:tr>
      <w:tr>
        <w:trPr>
          <w:trHeight w:val="222"/>
        </w:trPr>
        <w:tc>
          <w:tcPr>
            <w:tcW w:w="37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3"/>
            <w:shd w:val="clear" w:color="auto" w:fill="CCEEFF"/>
          </w:tcPr>
          <w:p>
            <w:pPr>
              <w:jc w:val="center"/>
              <w:ind w:right="40"/>
              <w:spacing w:after="0" w:line="196" w:lineRule="exact"/>
              <w:rPr>
                <w:sz w:val="20"/>
                <w:szCs w:val="20"/>
                <w:color w:val="auto"/>
              </w:rPr>
            </w:pPr>
            <w:r>
              <w:rPr>
                <w:rFonts w:ascii="Times New Roman" w:cs="Times New Roman" w:eastAsia="Times New Roman" w:hAnsi="Times New Roman"/>
                <w:sz w:val="16"/>
                <w:szCs w:val="16"/>
                <w:b w:val="1"/>
                <w:bCs w:val="1"/>
                <w:color w:val="auto"/>
                <w:w w:val="96"/>
              </w:rPr>
              <w:t xml:space="preserve">Adjustments </w:t>
            </w:r>
            <w:r>
              <w:rPr>
                <w:rFonts w:ascii="Times New Roman" w:cs="Times New Roman" w:eastAsia="Times New Roman" w:hAnsi="Times New Roman"/>
                <w:sz w:val="21"/>
                <w:szCs w:val="21"/>
                <w:b w:val="1"/>
                <w:bCs w:val="1"/>
                <w:color w:val="auto"/>
                <w:w w:val="96"/>
                <w:vertAlign w:val="superscript"/>
              </w:rPr>
              <w:t>(3)</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0" w:type="dxa"/>
            <w:vAlign w:val="bottom"/>
          </w:tcPr>
          <w:p>
            <w:pPr>
              <w:spacing w:after="0"/>
              <w:rPr>
                <w:sz w:val="1"/>
                <w:szCs w:val="1"/>
                <w:color w:val="auto"/>
              </w:rPr>
            </w:pPr>
          </w:p>
        </w:tc>
      </w:tr>
      <w:tr>
        <w:trPr>
          <w:trHeight w:val="148"/>
        </w:trPr>
        <w:tc>
          <w:tcPr>
            <w:tcW w:w="37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40" w:type="dxa"/>
            <w:vAlign w:val="bottom"/>
            <w:tcBorders>
              <w:top w:val="single" w:sz="8" w:color="CCEEFF"/>
            </w:tcBorders>
          </w:tcPr>
          <w:p>
            <w:pPr>
              <w:spacing w:after="0"/>
              <w:rPr>
                <w:sz w:val="12"/>
                <w:szCs w:val="12"/>
                <w:color w:val="auto"/>
              </w:rPr>
            </w:pPr>
          </w:p>
        </w:tc>
        <w:tc>
          <w:tcPr>
            <w:tcW w:w="1420" w:type="dxa"/>
            <w:vAlign w:val="bottom"/>
            <w:tcBorders>
              <w:top w:val="single" w:sz="8" w:color="CCEEFF"/>
            </w:tcBorders>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8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780" w:type="dxa"/>
            <w:vAlign w:val="bottom"/>
            <w:shd w:val="clear" w:color="auto" w:fill="CCEEFF"/>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Performance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56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Performance revenues related compensation expense</w:t>
            </w: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0" w:type="dxa"/>
            <w:vAlign w:val="bottom"/>
          </w:tcPr>
          <w:p>
            <w:pPr>
              <w:spacing w:after="0"/>
              <w:rPr>
                <w:sz w:val="1"/>
                <w:szCs w:val="1"/>
                <w:color w:val="auto"/>
              </w:rPr>
            </w:pPr>
          </w:p>
        </w:tc>
      </w:tr>
      <w:tr>
        <w:trPr>
          <w:trHeight w:val="237"/>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performance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56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Principal investment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56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-2065020</wp:posOffset>
            </wp:positionV>
            <wp:extent cx="7016115" cy="32937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16115" cy="3293745"/>
                    </a:xfrm>
                    <a:prstGeom prst="rect">
                      <a:avLst/>
                    </a:prstGeom>
                    <a:noFill/>
                  </pic:spPr>
                </pic:pic>
              </a:graphicData>
            </a:graphic>
          </wp:anchor>
        </w:drawing>
      </w:r>
    </w:p>
    <w:p>
      <w:pPr>
        <w:spacing w:after="0" w:line="15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3)  Adjustments to performance revenues and principal investment income (loss) relate to (i) unrealized performance allocations</w:t>
      </w:r>
    </w:p>
    <w:p>
      <w:pPr>
        <w:spacing w:after="0" w:line="27" w:lineRule="exact"/>
        <w:rPr>
          <w:sz w:val="20"/>
          <w:szCs w:val="20"/>
          <w:color w:val="auto"/>
        </w:rPr>
      </w:pPr>
    </w:p>
    <w:p>
      <w:pPr>
        <w:ind w:left="1060" w:right="180"/>
        <w:spacing w:after="0" w:line="254" w:lineRule="auto"/>
        <w:rPr>
          <w:sz w:val="20"/>
          <w:szCs w:val="20"/>
          <w:color w:val="auto"/>
        </w:rPr>
      </w:pPr>
      <w:r>
        <w:rPr>
          <w:rFonts w:ascii="Times New Roman" w:cs="Times New Roman" w:eastAsia="Times New Roman" w:hAnsi="Times New Roman"/>
          <w:sz w:val="16"/>
          <w:szCs w:val="16"/>
          <w:color w:val="auto"/>
        </w:rPr>
        <w:t>net of related compensation expense and unrealized principal investment income, which are excluded from the segment results, (ii) amounts earned from the Consolidated Funds, which were eliminated in the U.S. GAAP consolidation but were included in the segment results, (iii) amounts attributable to non-controlling interests in consolidated entities, which were</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7139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16115" cy="7139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3" w:lineRule="exact"/>
        <w:rPr>
          <w:sz w:val="20"/>
          <w:szCs w:val="20"/>
          <w:color w:val="auto"/>
        </w:rPr>
      </w:pPr>
    </w:p>
    <w:p>
      <w:pPr>
        <w:ind w:left="1060"/>
        <w:spacing w:after="0" w:line="258" w:lineRule="auto"/>
        <w:rPr>
          <w:sz w:val="20"/>
          <w:szCs w:val="20"/>
          <w:color w:val="auto"/>
        </w:rPr>
      </w:pPr>
      <w:r>
        <w:rPr>
          <w:rFonts w:ascii="Times New Roman" w:cs="Times New Roman" w:eastAsia="Times New Roman" w:hAnsi="Times New Roman"/>
          <w:sz w:val="16"/>
          <w:szCs w:val="16"/>
          <w:color w:val="auto"/>
        </w:rPr>
        <w:t>excluded from the segment results, (iv) the reclassification of NGP performance revenues, which are included in principal investment income in the U.S. GAAP financial statements, (v) the reclassification of fee related performance revenues, which are included in fund level fee revenues in the segment results, and (vi) the reclassification of tax expenses associated with certain foreign performance revenues. Adjustments to principal investment income (loss) also include the reclassification of earnings for the investments in NGP Management and its affiliates to the appropriate operating captions for the segment results, the exclusion of charges associated with the investment in NGP Management and its affiliates that are excluded from the segment results and the exclusion of the principal investment loss from dilution of the indirect investment in Fortitude.</w:t>
      </w:r>
    </w:p>
    <w:p>
      <w:pPr>
        <w:spacing w:after="0" w:line="191" w:lineRule="exact"/>
        <w:rPr>
          <w:sz w:val="20"/>
          <w:szCs w:val="20"/>
          <w:color w:val="auto"/>
        </w:rPr>
      </w:pPr>
    </w:p>
    <w:p>
      <w:pPr>
        <w:ind w:left="580" w:right="400" w:hanging="330"/>
        <w:spacing w:after="0" w:line="282" w:lineRule="auto"/>
        <w:tabs>
          <w:tab w:leader="none" w:pos="54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Assets adjustment represents the addition of the assets of the Consolidated Funds that were eliminated in consolidation to arrive at the Company’s total assets.</w:t>
      </w:r>
    </w:p>
    <w:p>
      <w:pPr>
        <w:spacing w:after="0" w:line="157" w:lineRule="exact"/>
        <w:rPr>
          <w:rFonts w:ascii="Times New Roman" w:cs="Times New Roman" w:eastAsia="Times New Roman" w:hAnsi="Times New Roman"/>
          <w:sz w:val="18"/>
          <w:szCs w:val="18"/>
          <w:color w:val="auto"/>
        </w:rPr>
      </w:pPr>
    </w:p>
    <w:p>
      <w:pPr>
        <w:ind w:left="280" w:hanging="273"/>
        <w:spacing w:after="0"/>
        <w:tabs>
          <w:tab w:leader="none" w:pos="2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240" w:firstLine="445"/>
        <w:spacing w:after="0" w:line="282" w:lineRule="auto"/>
        <w:rPr>
          <w:sz w:val="20"/>
          <w:szCs w:val="20"/>
          <w:color w:val="auto"/>
        </w:rPr>
      </w:pPr>
      <w:r>
        <w:rPr>
          <w:rFonts w:ascii="Times New Roman" w:cs="Times New Roman" w:eastAsia="Times New Roman" w:hAnsi="Times New Roman"/>
          <w:sz w:val="18"/>
          <w:szCs w:val="18"/>
          <w:color w:val="auto"/>
        </w:rPr>
        <w:t>In April 2024, the Company’s Board of Directors declared a quarterly dividend of $0.35 per share of common stock to common stockholders of record at the close of business on May 14, 2024, payable on May 21, 2024.</w:t>
      </w:r>
    </w:p>
    <w:p>
      <w:pPr>
        <w:sectPr>
          <w:pgSz w:w="11900" w:h="16838" w:orient="portrait"/>
          <w:cols w:equalWidth="0" w:num="1">
            <w:col w:w="9220"/>
          </w:cols>
          <w:pgMar w:left="1320" w:top="91" w:right="135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922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16115" cy="1922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85115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16115" cy="851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Supplemental Financial Information</w:t>
      </w:r>
    </w:p>
    <w:p>
      <w:pPr>
        <w:spacing w:after="0" w:line="229"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The following supplemental financial information illustrates the consolidating effects of the Consolidated Funds on the Company’s financial position as of March 31, 2024 and December 31, 2023 and results of operations for the three months ended March 31, 2024 and 2023. The supplemental statement of cash flows is presented without effects of the Consolidated Funds.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14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Operating</w:t>
            </w:r>
          </w:p>
        </w:tc>
        <w:tc>
          <w:tcPr>
            <w:tcW w:w="1100" w:type="dxa"/>
            <w:vAlign w:val="bottom"/>
            <w:gridSpan w:val="3"/>
            <w:vMerge w:val="continue"/>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Entities</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Funds</w:t>
            </w:r>
          </w:p>
        </w:tc>
        <w:tc>
          <w:tcPr>
            <w:tcW w:w="108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(Dollars in millions)</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1,276.5</w:t>
            </w:r>
          </w:p>
        </w:tc>
        <w:tc>
          <w:tcPr>
            <w:tcW w:w="6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1,276.5</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Cash and cash equivalents held at Consolidated Funds</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426.0</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426.0</w:t>
            </w:r>
          </w:p>
        </w:tc>
        <w:tc>
          <w:tcPr>
            <w:tcW w:w="0" w:type="dxa"/>
            <w:vAlign w:val="bottom"/>
          </w:tcPr>
          <w:p>
            <w:pPr>
              <w:spacing w:after="0"/>
              <w:rPr>
                <w:sz w:val="1"/>
                <w:szCs w:val="1"/>
                <w:color w:val="auto"/>
              </w:rPr>
            </w:pPr>
          </w:p>
        </w:tc>
      </w:tr>
      <w:tr>
        <w:trPr>
          <w:trHeight w:val="230"/>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Investments, including performance allocations of $5,567.6</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9,684.7</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9,473.2</w:t>
            </w:r>
          </w:p>
        </w:tc>
        <w:tc>
          <w:tcPr>
            <w:tcW w:w="0" w:type="dxa"/>
            <w:vAlign w:val="bottom"/>
          </w:tcPr>
          <w:p>
            <w:pPr>
              <w:spacing w:after="0"/>
              <w:rPr>
                <w:sz w:val="1"/>
                <w:szCs w:val="1"/>
                <w:color w:val="auto"/>
              </w:rPr>
            </w:pPr>
          </w:p>
        </w:tc>
      </w:tr>
      <w:tr>
        <w:trPr>
          <w:trHeight w:val="230"/>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Investments of Consolidated Funds</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7,520.5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7,458.6</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Due from affiliates and other receivables, net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934.5</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624.1</w:t>
            </w:r>
          </w:p>
        </w:tc>
        <w:tc>
          <w:tcPr>
            <w:tcW w:w="0" w:type="dxa"/>
            <w:vAlign w:val="bottom"/>
          </w:tcPr>
          <w:p>
            <w:pPr>
              <w:spacing w:after="0"/>
              <w:rPr>
                <w:sz w:val="1"/>
                <w:szCs w:val="1"/>
                <w:color w:val="auto"/>
              </w:rPr>
            </w:pPr>
          </w:p>
        </w:tc>
      </w:tr>
      <w:tr>
        <w:trPr>
          <w:trHeight w:val="230"/>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Due from affiliates and other receivables of Consolidated Funds, net</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Fixed assets, net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0" w:type="dxa"/>
            <w:vAlign w:val="bottom"/>
          </w:tcPr>
          <w:p>
            <w:pPr>
              <w:spacing w:after="0"/>
              <w:rPr>
                <w:sz w:val="1"/>
                <w:szCs w:val="1"/>
                <w:color w:val="auto"/>
              </w:rPr>
            </w:pPr>
          </w:p>
        </w:tc>
      </w:tr>
      <w:tr>
        <w:trPr>
          <w:trHeight w:val="230"/>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Lease right-of-use assets, net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Deposits and other</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0" w:type="dxa"/>
            <w:vAlign w:val="bottom"/>
          </w:tcPr>
          <w:p>
            <w:pPr>
              <w:spacing w:after="0"/>
              <w:rPr>
                <w:sz w:val="1"/>
                <w:szCs w:val="1"/>
                <w:color w:val="auto"/>
              </w:rPr>
            </w:pPr>
          </w:p>
        </w:tc>
      </w:tr>
      <w:tr>
        <w:trPr>
          <w:trHeight w:val="230"/>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732.8</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Deferred tax assets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0" w:type="dxa"/>
            <w:vAlign w:val="bottom"/>
          </w:tcPr>
          <w:p>
            <w:pPr>
              <w:spacing w:after="0"/>
              <w:rPr>
                <w:sz w:val="1"/>
                <w:szCs w:val="1"/>
                <w:color w:val="auto"/>
              </w:rPr>
            </w:pPr>
          </w:p>
        </w:tc>
      </w:tr>
      <w:tr>
        <w:trPr>
          <w:trHeight w:val="183"/>
        </w:trPr>
        <w:tc>
          <w:tcPr>
            <w:tcW w:w="4820" w:type="dxa"/>
            <w:vAlign w:val="bottom"/>
          </w:tcPr>
          <w:p>
            <w:pPr>
              <w:ind w:left="60"/>
              <w:spacing w:after="0" w:line="183" w:lineRule="exact"/>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13,278.4</w:t>
            </w:r>
          </w:p>
        </w:tc>
        <w:tc>
          <w:tcPr>
            <w:tcW w:w="6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8,154.9</w:t>
            </w:r>
          </w:p>
        </w:tc>
        <w:tc>
          <w:tcPr>
            <w:tcW w:w="60" w:type="dxa"/>
            <w:vAlign w:val="bottom"/>
          </w:tcPr>
          <w:p>
            <w:pPr>
              <w:spacing w:after="0"/>
              <w:rPr>
                <w:sz w:val="15"/>
                <w:szCs w:val="15"/>
                <w:color w:val="auto"/>
              </w:rPr>
            </w:pPr>
          </w:p>
        </w:tc>
        <w:tc>
          <w:tcPr>
            <w:tcW w:w="340" w:type="dxa"/>
            <w:vAlign w:val="bottom"/>
            <w:tcBorders>
              <w:top w:val="single" w:sz="8" w:color="auto"/>
              <w:bottom w:val="single" w:sz="8" w:color="auto"/>
            </w:tcBorders>
          </w:tcPr>
          <w:p>
            <w:pPr>
              <w:ind w:left="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(583.8)</w:t>
            </w:r>
          </w:p>
        </w:tc>
        <w:tc>
          <w:tcPr>
            <w:tcW w:w="6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20,849.5</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Debt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2,259.0</w:t>
            </w:r>
          </w:p>
        </w:tc>
        <w:tc>
          <w:tcPr>
            <w:tcW w:w="6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2,259.0</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Loans payable of Consolidated Funds</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6,840.0</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6,535.1</w:t>
            </w:r>
          </w:p>
        </w:tc>
        <w:tc>
          <w:tcPr>
            <w:tcW w:w="0" w:type="dxa"/>
            <w:vAlign w:val="bottom"/>
          </w:tcPr>
          <w:p>
            <w:pPr>
              <w:spacing w:after="0"/>
              <w:rPr>
                <w:sz w:val="1"/>
                <w:szCs w:val="1"/>
                <w:color w:val="auto"/>
              </w:rPr>
            </w:pPr>
          </w:p>
        </w:tc>
      </w:tr>
      <w:tr>
        <w:trPr>
          <w:trHeight w:val="230"/>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375.2</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4,173.9</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4,173.9</w:t>
            </w:r>
          </w:p>
        </w:tc>
        <w:tc>
          <w:tcPr>
            <w:tcW w:w="0" w:type="dxa"/>
            <w:vAlign w:val="bottom"/>
          </w:tcPr>
          <w:p>
            <w:pPr>
              <w:spacing w:after="0"/>
              <w:rPr>
                <w:sz w:val="1"/>
                <w:szCs w:val="1"/>
                <w:color w:val="auto"/>
              </w:rPr>
            </w:pPr>
          </w:p>
        </w:tc>
      </w:tr>
      <w:tr>
        <w:trPr>
          <w:trHeight w:val="230"/>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Due to affiliates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0" w:type="dxa"/>
            <w:vAlign w:val="bottom"/>
          </w:tcPr>
          <w:p>
            <w:pPr>
              <w:spacing w:after="0"/>
              <w:rPr>
                <w:sz w:val="1"/>
                <w:szCs w:val="1"/>
                <w:color w:val="auto"/>
              </w:rPr>
            </w:pPr>
          </w:p>
        </w:tc>
      </w:tr>
      <w:tr>
        <w:trPr>
          <w:trHeight w:val="229"/>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liabilities of Consolidated Funds</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w:t>
            </w:r>
          </w:p>
        </w:tc>
        <w:tc>
          <w:tcPr>
            <w:tcW w:w="0" w:type="dxa"/>
            <w:vAlign w:val="bottom"/>
          </w:tcPr>
          <w:p>
            <w:pPr>
              <w:spacing w:after="0"/>
              <w:rPr>
                <w:sz w:val="1"/>
                <w:szCs w:val="1"/>
                <w:color w:val="auto"/>
              </w:rPr>
            </w:pPr>
          </w:p>
        </w:tc>
      </w:tr>
      <w:tr>
        <w:trPr>
          <w:trHeight w:val="229"/>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Lease liabilities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Accrued giveback obligations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10"/>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7,969.5</w:t>
            </w: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7,444.9</w:t>
            </w: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(304.9)</w:t>
            </w: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15,109.5</w:t>
            </w:r>
          </w:p>
        </w:tc>
        <w:tc>
          <w:tcPr>
            <w:tcW w:w="0" w:type="dxa"/>
            <w:vAlign w:val="bottom"/>
          </w:tcPr>
          <w:p>
            <w:pPr>
              <w:spacing w:after="0"/>
              <w:rPr>
                <w:sz w:val="1"/>
                <w:szCs w:val="1"/>
                <w:color w:val="auto"/>
              </w:rPr>
            </w:pPr>
          </w:p>
        </w:tc>
      </w:tr>
      <w:tr>
        <w:trPr>
          <w:trHeight w:val="256"/>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Common stock</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56"/>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3,513.9</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3,513.9</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1,868.2</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1,868.2</w:t>
            </w:r>
          </w:p>
        </w:tc>
        <w:tc>
          <w:tcPr>
            <w:tcW w:w="0" w:type="dxa"/>
            <w:vAlign w:val="bottom"/>
          </w:tcPr>
          <w:p>
            <w:pPr>
              <w:spacing w:after="0"/>
              <w:rPr>
                <w:sz w:val="1"/>
                <w:szCs w:val="1"/>
                <w:color w:val="auto"/>
              </w:rPr>
            </w:pPr>
          </w:p>
        </w:tc>
      </w:tr>
      <w:tr>
        <w:trPr>
          <w:trHeight w:val="230"/>
        </w:trPr>
        <w:tc>
          <w:tcPr>
            <w:tcW w:w="4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Non-controlling interests in consolidated entities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430.2</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669.3</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Total equity</w:t>
            </w: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5,308.9</w:t>
            </w: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710.0</w:t>
            </w:r>
          </w:p>
        </w:tc>
        <w:tc>
          <w:tcPr>
            <w:tcW w:w="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(278.9)</w:t>
            </w:r>
          </w:p>
        </w:tc>
        <w:tc>
          <w:tcPr>
            <w:tcW w:w="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5,740.0</w:t>
            </w:r>
          </w:p>
        </w:tc>
        <w:tc>
          <w:tcPr>
            <w:tcW w:w="0" w:type="dxa"/>
            <w:vAlign w:val="bottom"/>
          </w:tcPr>
          <w:p>
            <w:pPr>
              <w:spacing w:after="0"/>
              <w:rPr>
                <w:sz w:val="1"/>
                <w:szCs w:val="1"/>
                <w:color w:val="auto"/>
              </w:rPr>
            </w:pPr>
          </w:p>
        </w:tc>
      </w:tr>
      <w:tr>
        <w:trPr>
          <w:trHeight w:val="207"/>
        </w:trPr>
        <w:tc>
          <w:tcPr>
            <w:tcW w:w="4820" w:type="dxa"/>
            <w:vAlign w:val="bottom"/>
            <w:tcBorders>
              <w:bottom w:val="single" w:sz="8" w:color="CCEEFF"/>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color w:val="auto"/>
              </w:rPr>
              <w:t>Total liabilities and equity</w:t>
            </w: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13,278.4</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8,154.9</w:t>
            </w:r>
          </w:p>
        </w:tc>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(583.8)</w:t>
            </w: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20,849.5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220"/>
          </w:cols>
          <w:pgMar w:left="1320" w:top="1440" w:right="1359" w:bottom="1440" w:gutter="0" w:footer="0" w:header="0"/>
        </w:sectPr>
      </w:pPr>
    </w:p>
    <w:bookmarkStart w:id="53" w:name="page54"/>
    <w:bookmarkEnd w:id="53"/>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50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16115" cy="5505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90735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1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Operating</w:t>
            </w:r>
          </w:p>
        </w:tc>
        <w:tc>
          <w:tcPr>
            <w:tcW w:w="1140" w:type="dxa"/>
            <w:vAlign w:val="bottom"/>
            <w:gridSpan w:val="3"/>
            <w:vMerge w:val="continue"/>
          </w:tcPr>
          <w:p>
            <w:pPr>
              <w:spacing w:after="0"/>
              <w:rPr>
                <w:sz w:val="14"/>
                <w:szCs w:val="14"/>
                <w:color w:val="auto"/>
              </w:rPr>
            </w:pPr>
          </w:p>
        </w:tc>
        <w:tc>
          <w:tcPr>
            <w:tcW w:w="11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Entities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Funds</w:t>
            </w:r>
          </w:p>
        </w:tc>
        <w:tc>
          <w:tcPr>
            <w:tcW w:w="116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(Dollars in millions)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1,440.3</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Cash and cash equivalents held at Consolidated Funds</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w:t>
            </w:r>
          </w:p>
        </w:tc>
        <w:tc>
          <w:tcPr>
            <w:tcW w:w="0" w:type="dxa"/>
            <w:vAlign w:val="bottom"/>
          </w:tcPr>
          <w:p>
            <w:pPr>
              <w:spacing w:after="0"/>
              <w:rPr>
                <w:sz w:val="1"/>
                <w:szCs w:val="1"/>
                <w:color w:val="auto"/>
              </w:rPr>
            </w:pPr>
          </w:p>
        </w:tc>
      </w:tr>
      <w:tr>
        <w:trPr>
          <w:trHeight w:val="229"/>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Investments, including performance allocations of $6,169.9</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10,104.5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9,955.3</w:t>
            </w:r>
          </w:p>
        </w:tc>
        <w:tc>
          <w:tcPr>
            <w:tcW w:w="0" w:type="dxa"/>
            <w:vAlign w:val="bottom"/>
          </w:tcPr>
          <w:p>
            <w:pPr>
              <w:spacing w:after="0"/>
              <w:rPr>
                <w:sz w:val="1"/>
                <w:szCs w:val="1"/>
                <w:color w:val="auto"/>
              </w:rPr>
            </w:pPr>
          </w:p>
        </w:tc>
      </w:tr>
      <w:tr>
        <w:trPr>
          <w:trHeight w:val="229"/>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Investments of Consolidated Funds</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7,313.9</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7,253.1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Due from affiliates and other receivables, net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1,009.2</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691.6</w:t>
            </w:r>
          </w:p>
        </w:tc>
        <w:tc>
          <w:tcPr>
            <w:tcW w:w="0" w:type="dxa"/>
            <w:vAlign w:val="bottom"/>
          </w:tcPr>
          <w:p>
            <w:pPr>
              <w:spacing w:after="0"/>
              <w:rPr>
                <w:sz w:val="1"/>
                <w:szCs w:val="1"/>
                <w:color w:val="auto"/>
              </w:rPr>
            </w:pPr>
          </w:p>
        </w:tc>
      </w:tr>
      <w:tr>
        <w:trPr>
          <w:trHeight w:val="256"/>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Due from affiliates and other receivables of Consolidated Funds, net</w:t>
            </w:r>
          </w:p>
        </w:tc>
        <w:tc>
          <w:tcPr>
            <w:tcW w:w="14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Fixed assets, net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0" w:type="dxa"/>
            <w:vAlign w:val="bottom"/>
          </w:tcPr>
          <w:p>
            <w:pPr>
              <w:spacing w:after="0"/>
              <w:rPr>
                <w:sz w:val="1"/>
                <w:szCs w:val="1"/>
                <w:color w:val="auto"/>
              </w:rPr>
            </w:pPr>
          </w:p>
        </w:tc>
      </w:tr>
      <w:tr>
        <w:trPr>
          <w:trHeight w:val="229"/>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Lease right-of-use assets, net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Deposits and other</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0" w:type="dxa"/>
            <w:vAlign w:val="bottom"/>
          </w:tcPr>
          <w:p>
            <w:pPr>
              <w:spacing w:after="0"/>
              <w:rPr>
                <w:sz w:val="1"/>
                <w:szCs w:val="1"/>
                <w:color w:val="auto"/>
              </w:rPr>
            </w:pPr>
          </w:p>
        </w:tc>
      </w:tr>
      <w:tr>
        <w:trPr>
          <w:trHeight w:val="230"/>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Deferred tax assets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183"/>
        </w:trPr>
        <w:tc>
          <w:tcPr>
            <w:tcW w:w="4700" w:type="dxa"/>
            <w:vAlign w:val="bottom"/>
          </w:tcPr>
          <w:p>
            <w:pPr>
              <w:ind w:left="60"/>
              <w:spacing w:after="0" w:line="183" w:lineRule="exact"/>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13,898.1</w:t>
            </w:r>
          </w:p>
        </w:tc>
        <w:tc>
          <w:tcPr>
            <w:tcW w:w="6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7,805.5</w:t>
            </w:r>
          </w:p>
        </w:tc>
        <w:tc>
          <w:tcPr>
            <w:tcW w:w="6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(527.6)</w:t>
            </w: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21,176.0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Debt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2,281.0</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2,281.0</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Loans payable of Consolidated Funds</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6,796.4</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6,486.5</w:t>
            </w:r>
          </w:p>
        </w:tc>
        <w:tc>
          <w:tcPr>
            <w:tcW w:w="0" w:type="dxa"/>
            <w:vAlign w:val="bottom"/>
          </w:tcPr>
          <w:p>
            <w:pPr>
              <w:spacing w:after="0"/>
              <w:rPr>
                <w:sz w:val="1"/>
                <w:szCs w:val="1"/>
                <w:color w:val="auto"/>
              </w:rPr>
            </w:pPr>
          </w:p>
        </w:tc>
      </w:tr>
      <w:tr>
        <w:trPr>
          <w:trHeight w:val="230"/>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4,922.2</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4,922.2</w:t>
            </w:r>
          </w:p>
        </w:tc>
        <w:tc>
          <w:tcPr>
            <w:tcW w:w="0" w:type="dxa"/>
            <w:vAlign w:val="bottom"/>
          </w:tcPr>
          <w:p>
            <w:pPr>
              <w:spacing w:after="0"/>
              <w:rPr>
                <w:sz w:val="1"/>
                <w:szCs w:val="1"/>
                <w:color w:val="auto"/>
              </w:rPr>
            </w:pPr>
          </w:p>
        </w:tc>
      </w:tr>
      <w:tr>
        <w:trPr>
          <w:trHeight w:val="230"/>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Due to affiliates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0" w:type="dxa"/>
            <w:vAlign w:val="bottom"/>
          </w:tcPr>
          <w:p>
            <w:pPr>
              <w:spacing w:after="0"/>
              <w:rPr>
                <w:sz w:val="1"/>
                <w:szCs w:val="1"/>
                <w:color w:val="auto"/>
              </w:rPr>
            </w:pPr>
          </w:p>
        </w:tc>
      </w:tr>
      <w:tr>
        <w:trPr>
          <w:trHeight w:val="230"/>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liabilities of Consolidated Funds</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0" w:type="dxa"/>
            <w:vAlign w:val="bottom"/>
          </w:tcPr>
          <w:p>
            <w:pPr>
              <w:spacing w:after="0"/>
              <w:rPr>
                <w:sz w:val="1"/>
                <w:szCs w:val="1"/>
                <w:color w:val="auto"/>
              </w:rPr>
            </w:pPr>
          </w:p>
        </w:tc>
      </w:tr>
      <w:tr>
        <w:trPr>
          <w:trHeight w:val="230"/>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Lease liabilities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Accrued giveback obligations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09"/>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8,524.3</w:t>
            </w: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7,177.1</w:t>
            </w: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(309.9)</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15,391.5</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Common stock</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56"/>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3,403.0</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2,082.1</w:t>
            </w: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2,082.1</w:t>
            </w:r>
          </w:p>
        </w:tc>
        <w:tc>
          <w:tcPr>
            <w:tcW w:w="0" w:type="dxa"/>
            <w:vAlign w:val="bottom"/>
          </w:tcPr>
          <w:p>
            <w:pPr>
              <w:spacing w:after="0"/>
              <w:rPr>
                <w:sz w:val="1"/>
                <w:szCs w:val="1"/>
                <w:color w:val="auto"/>
              </w:rPr>
            </w:pPr>
          </w:p>
        </w:tc>
      </w:tr>
      <w:tr>
        <w:trPr>
          <w:trHeight w:val="230"/>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Non-controlling interests in consolidated entities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593.1</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Total equity</w:t>
            </w: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5,373.8</w:t>
            </w: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5,784.5</w:t>
            </w:r>
          </w:p>
        </w:tc>
        <w:tc>
          <w:tcPr>
            <w:tcW w:w="0" w:type="dxa"/>
            <w:vAlign w:val="bottom"/>
          </w:tcPr>
          <w:p>
            <w:pPr>
              <w:spacing w:after="0"/>
              <w:rPr>
                <w:sz w:val="1"/>
                <w:szCs w:val="1"/>
                <w:color w:val="auto"/>
              </w:rPr>
            </w:pPr>
          </w:p>
        </w:tc>
      </w:tr>
      <w:tr>
        <w:trPr>
          <w:trHeight w:val="208"/>
        </w:trPr>
        <w:tc>
          <w:tcPr>
            <w:tcW w:w="4700" w:type="dxa"/>
            <w:vAlign w:val="bottom"/>
            <w:tcBorders>
              <w:bottom w:val="single" w:sz="8" w:color="CCEEFF"/>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color w:val="auto"/>
              </w:rPr>
              <w:t>Total liabilities and equity</w:t>
            </w: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13,898.1</w:t>
            </w: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7,805.5</w:t>
            </w: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(527.6)</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21,176.0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7277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16115" cy="72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55" w:orient="portrait"/>
          <w:cols w:equalWidth="0" w:num="1">
            <w:col w:w="9220"/>
          </w:cols>
          <w:pgMar w:left="1320" w:top="351" w:right="1359" w:bottom="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5"/>
        </w:trPr>
        <w:tc>
          <w:tcPr>
            <w:tcW w:w="4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9"/>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11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Operating</w:t>
            </w:r>
          </w:p>
        </w:tc>
        <w:tc>
          <w:tcPr>
            <w:tcW w:w="1080" w:type="dxa"/>
            <w:vAlign w:val="bottom"/>
            <w:gridSpan w:val="3"/>
            <w:vMerge w:val="continue"/>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Entities</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Funds</w:t>
            </w:r>
          </w:p>
        </w:tc>
        <w:tc>
          <w:tcPr>
            <w:tcW w:w="1080" w:type="dxa"/>
            <w:vAlign w:val="bottom"/>
            <w:tcBorders>
              <w:bottom w:val="single" w:sz="8" w:color="auto"/>
            </w:tcBorders>
            <w:gridSpan w:val="3"/>
            <w:vMerge w:val="continue"/>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Fund management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530.2</w:t>
            </w:r>
          </w:p>
        </w:tc>
        <w:tc>
          <w:tcPr>
            <w:tcW w:w="6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60" w:type="dxa"/>
            <w:vAlign w:val="bottom"/>
          </w:tcPr>
          <w:p>
            <w:pPr>
              <w:spacing w:after="0"/>
              <w:rPr>
                <w:sz w:val="22"/>
                <w:szCs w:val="22"/>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Incentive fees</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57"/>
        </w:trPr>
        <w:tc>
          <w:tcPr>
            <w:tcW w:w="4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 income (loss)</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Performance allocations</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0" w:type="dxa"/>
            <w:vAlign w:val="bottom"/>
          </w:tcPr>
          <w:p>
            <w:pPr>
              <w:spacing w:after="0"/>
              <w:rPr>
                <w:sz w:val="1"/>
                <w:szCs w:val="1"/>
                <w:color w:val="auto"/>
              </w:rPr>
            </w:pPr>
          </w:p>
        </w:tc>
      </w:tr>
      <w:tr>
        <w:trPr>
          <w:trHeight w:val="257"/>
        </w:trPr>
        <w:tc>
          <w:tcPr>
            <w:tcW w:w="49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Principal investment income</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0" w:type="dxa"/>
            <w:vAlign w:val="bottom"/>
          </w:tcPr>
          <w:p>
            <w:pPr>
              <w:spacing w:after="0"/>
              <w:rPr>
                <w:sz w:val="1"/>
                <w:szCs w:val="1"/>
                <w:color w:val="auto"/>
              </w:rPr>
            </w:pPr>
          </w:p>
        </w:tc>
      </w:tr>
      <w:tr>
        <w:trPr>
          <w:trHeight w:val="236"/>
        </w:trPr>
        <w:tc>
          <w:tcPr>
            <w:tcW w:w="4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Total investment loss</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0" w:type="dxa"/>
            <w:vAlign w:val="bottom"/>
          </w:tcPr>
          <w:p>
            <w:pPr>
              <w:spacing w:after="0"/>
              <w:rPr>
                <w:sz w:val="1"/>
                <w:szCs w:val="1"/>
                <w:color w:val="auto"/>
              </w:rPr>
            </w:pPr>
          </w:p>
        </w:tc>
      </w:tr>
      <w:tr>
        <w:trPr>
          <w:trHeight w:val="257"/>
        </w:trPr>
        <w:tc>
          <w:tcPr>
            <w:tcW w:w="4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 and other income</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 and other income of Consolidated Funds</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0" w:type="dxa"/>
            <w:vAlign w:val="bottom"/>
          </w:tcPr>
          <w:p>
            <w:pPr>
              <w:spacing w:after="0"/>
              <w:rPr>
                <w:sz w:val="1"/>
                <w:szCs w:val="1"/>
                <w:color w:val="auto"/>
              </w:rPr>
            </w:pPr>
          </w:p>
        </w:tc>
      </w:tr>
      <w:tr>
        <w:trPr>
          <w:trHeight w:val="237"/>
        </w:trPr>
        <w:tc>
          <w:tcPr>
            <w:tcW w:w="4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544.1</w:t>
            </w: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688.4</w:t>
            </w:r>
          </w:p>
        </w:tc>
        <w:tc>
          <w:tcPr>
            <w:tcW w:w="0" w:type="dxa"/>
            <w:vAlign w:val="bottom"/>
          </w:tcPr>
          <w:p>
            <w:pPr>
              <w:spacing w:after="0"/>
              <w:rPr>
                <w:sz w:val="1"/>
                <w:szCs w:val="1"/>
                <w:color w:val="auto"/>
              </w:rPr>
            </w:pPr>
          </w:p>
        </w:tc>
      </w:tr>
      <w:tr>
        <w:trPr>
          <w:trHeight w:val="256"/>
        </w:trPr>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0" w:type="dxa"/>
            <w:vAlign w:val="bottom"/>
          </w:tcPr>
          <w:p>
            <w:pPr>
              <w:spacing w:after="0"/>
              <w:rPr>
                <w:sz w:val="1"/>
                <w:szCs w:val="1"/>
                <w:color w:val="auto"/>
              </w:rPr>
            </w:pPr>
          </w:p>
        </w:tc>
      </w:tr>
      <w:tr>
        <w:trPr>
          <w:trHeight w:val="257"/>
        </w:trPr>
        <w:tc>
          <w:tcPr>
            <w:tcW w:w="4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Performance allocations and incentive fee related compensation</w:t>
            </w: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0" w:type="dxa"/>
            <w:vAlign w:val="bottom"/>
          </w:tcPr>
          <w:p>
            <w:pPr>
              <w:spacing w:after="0"/>
              <w:rPr>
                <w:sz w:val="1"/>
                <w:szCs w:val="1"/>
                <w:color w:val="auto"/>
              </w:rPr>
            </w:pPr>
          </w:p>
        </w:tc>
      </w:tr>
      <w:tr>
        <w:trPr>
          <w:trHeight w:val="236"/>
        </w:trPr>
        <w:tc>
          <w:tcPr>
            <w:tcW w:w="4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0" w:type="dxa"/>
            <w:vAlign w:val="bottom"/>
          </w:tcPr>
          <w:p>
            <w:pPr>
              <w:spacing w:after="0"/>
              <w:rPr>
                <w:sz w:val="1"/>
                <w:szCs w:val="1"/>
                <w:color w:val="auto"/>
              </w:rPr>
            </w:pPr>
          </w:p>
        </w:tc>
      </w:tr>
      <w:tr>
        <w:trPr>
          <w:trHeight w:val="257"/>
        </w:trPr>
        <w:tc>
          <w:tcPr>
            <w:tcW w:w="4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 and other expenses of Consolidated Funds</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0" w:type="dxa"/>
            <w:vAlign w:val="bottom"/>
          </w:tcPr>
          <w:p>
            <w:pPr>
              <w:spacing w:after="0"/>
              <w:rPr>
                <w:sz w:val="1"/>
                <w:szCs w:val="1"/>
                <w:color w:val="auto"/>
              </w:rPr>
            </w:pPr>
          </w:p>
        </w:tc>
      </w:tr>
      <w:tr>
        <w:trPr>
          <w:trHeight w:val="256"/>
        </w:trPr>
        <w:tc>
          <w:tcPr>
            <w:tcW w:w="4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non-operating expenses</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6"/>
        </w:trPr>
        <w:tc>
          <w:tcPr>
            <w:tcW w:w="49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expenses</w:t>
            </w:r>
          </w:p>
        </w:tc>
        <w:tc>
          <w:tcPr>
            <w:tcW w:w="1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436.1</w:t>
            </w: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6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560.7</w:t>
            </w:r>
          </w:p>
        </w:tc>
        <w:tc>
          <w:tcPr>
            <w:tcW w:w="0" w:type="dxa"/>
            <w:vAlign w:val="bottom"/>
          </w:tcPr>
          <w:p>
            <w:pPr>
              <w:spacing w:after="0"/>
              <w:rPr>
                <w:sz w:val="1"/>
                <w:szCs w:val="1"/>
                <w:color w:val="auto"/>
              </w:rPr>
            </w:pPr>
          </w:p>
        </w:tc>
      </w:tr>
      <w:tr>
        <w:trPr>
          <w:trHeight w:val="257"/>
        </w:trPr>
        <w:tc>
          <w:tcPr>
            <w:tcW w:w="49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Other income (loss)</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investment loss of Consolidated Funds</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36"/>
        </w:trPr>
        <w:tc>
          <w:tcPr>
            <w:tcW w:w="4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36"/>
        </w:trPr>
        <w:tc>
          <w:tcPr>
            <w:tcW w:w="4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income attributable to non-controlling interests in consolidated</w:t>
            </w:r>
          </w:p>
        </w:tc>
        <w:tc>
          <w:tcPr>
            <w:tcW w:w="1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entities</w:t>
            </w: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 attributable to The Carlyle Group Inc.</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6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60" w:type="dxa"/>
            <w:vAlign w:val="bottom"/>
          </w:tcPr>
          <w:p>
            <w:pPr>
              <w:spacing w:after="0"/>
              <w:rPr>
                <w:sz w:val="18"/>
                <w:szCs w:val="18"/>
                <w:color w:val="auto"/>
              </w:rPr>
            </w:pP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83343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16115" cy="8334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20993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16115" cy="209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74"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20" w:type="dxa"/>
            <w:vAlign w:val="bottom"/>
            <w:gridSpan w:val="6"/>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20" w:type="dxa"/>
            <w:vAlign w:val="bottom"/>
          </w:tcPr>
          <w:p>
            <w:pPr>
              <w:spacing w:after="0"/>
              <w:rPr>
                <w:sz w:val="18"/>
                <w:szCs w:val="18"/>
                <w:color w:val="auto"/>
              </w:rPr>
            </w:pPr>
          </w:p>
        </w:tc>
        <w:tc>
          <w:tcPr>
            <w:tcW w:w="2660" w:type="dxa"/>
            <w:vAlign w:val="bottom"/>
            <w:gridSpan w:val="2"/>
          </w:tcPr>
          <w:p>
            <w:pPr>
              <w:jc w:val="center"/>
              <w:ind w:left="147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1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Operating</w:t>
            </w:r>
          </w:p>
        </w:tc>
        <w:tc>
          <w:tcPr>
            <w:tcW w:w="1120" w:type="dxa"/>
            <w:vAlign w:val="bottom"/>
            <w:gridSpan w:val="2"/>
            <w:vMerge w:val="continue"/>
          </w:tcPr>
          <w:p>
            <w:pPr>
              <w:spacing w:after="0"/>
              <w:rPr>
                <w:sz w:val="14"/>
                <w:szCs w:val="14"/>
                <w:color w:val="auto"/>
              </w:rPr>
            </w:pPr>
          </w:p>
        </w:tc>
        <w:tc>
          <w:tcPr>
            <w:tcW w:w="116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Entities</w:t>
            </w:r>
          </w:p>
        </w:tc>
        <w:tc>
          <w:tcPr>
            <w:tcW w:w="260" w:type="dxa"/>
            <w:vAlign w:val="bottom"/>
          </w:tcPr>
          <w:p>
            <w:pPr>
              <w:spacing w:after="0"/>
              <w:rPr>
                <w:sz w:val="18"/>
                <w:szCs w:val="18"/>
                <w:color w:val="auto"/>
              </w:rPr>
            </w:pPr>
          </w:p>
        </w:tc>
        <w:tc>
          <w:tcPr>
            <w:tcW w:w="8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Funds</w:t>
            </w:r>
          </w:p>
        </w:tc>
        <w:tc>
          <w:tcPr>
            <w:tcW w:w="11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Fund management fees</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508.4</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500.8</w:t>
            </w:r>
          </w:p>
        </w:tc>
        <w:tc>
          <w:tcPr>
            <w:tcW w:w="0" w:type="dxa"/>
            <w:vAlign w:val="bottom"/>
          </w:tcPr>
          <w:p>
            <w:pPr>
              <w:spacing w:after="0"/>
              <w:rPr>
                <w:sz w:val="1"/>
                <w:szCs w:val="1"/>
                <w:color w:val="auto"/>
              </w:rPr>
            </w:pPr>
          </w:p>
        </w:tc>
      </w:tr>
    </w:tbl>
    <w:p>
      <w:pPr>
        <w:sectPr>
          <w:pgSz w:w="11900" w:h="16838" w:orient="portrait"/>
          <w:cols w:equalWidth="0" w:num="1">
            <w:col w:w="9240"/>
          </w:cols>
          <w:pgMar w:left="1320" w:top="488" w:right="1339" w:bottom="0" w:gutter="0" w:footer="0" w:header="0"/>
        </w:sectPr>
      </w:pPr>
    </w:p>
    <w:bookmarkStart w:id="55" w:name="page56"/>
    <w:bookmarkEnd w:id="55"/>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Incentive fees</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16"/>
        </w:trPr>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income</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84"/>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Performance allocations</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w:t>
            </w:r>
          </w:p>
        </w:tc>
      </w:tr>
      <w:tr>
        <w:trPr>
          <w:trHeight w:val="256"/>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Principal investment income</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08"/>
        </w:trPr>
        <w:tc>
          <w:tcPr>
            <w:tcW w:w="47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investment income</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w:t>
            </w:r>
          </w:p>
        </w:tc>
      </w:tr>
      <w:tr>
        <w:trPr>
          <w:trHeight w:val="237"/>
        </w:trPr>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and other income</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r>
      <w:tr>
        <w:trPr>
          <w:trHeight w:val="257"/>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and other income of Consolidated Funds</w:t>
            </w:r>
          </w:p>
        </w:tc>
        <w:tc>
          <w:tcPr>
            <w:tcW w:w="3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w:t>
            </w:r>
          </w:p>
        </w:tc>
      </w:tr>
      <w:tr>
        <w:trPr>
          <w:trHeight w:val="257"/>
        </w:trPr>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751.9</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859.0</w:t>
            </w:r>
          </w:p>
        </w:tc>
      </w:tr>
      <w:tr>
        <w:trPr>
          <w:trHeight w:val="256"/>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57"/>
        </w:trPr>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57"/>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r>
      <w:tr>
        <w:trPr>
          <w:trHeight w:val="257"/>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Equity-based compensation</w:t>
            </w:r>
          </w:p>
        </w:tc>
        <w:tc>
          <w:tcPr>
            <w:tcW w:w="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w:t>
            </w:r>
          </w:p>
        </w:tc>
      </w:tr>
      <w:tr>
        <w:trPr>
          <w:trHeight w:val="23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Performance allocations and incentive fee related compensation</w:t>
            </w: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r>
      <w:tr>
        <w:trPr>
          <w:trHeight w:val="257"/>
        </w:trPr>
        <w:tc>
          <w:tcPr>
            <w:tcW w:w="47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420.3</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420.3</w:t>
            </w:r>
          </w:p>
        </w:tc>
      </w:tr>
      <w:tr>
        <w:trPr>
          <w:trHeight w:val="257"/>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3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r>
      <w:tr>
        <w:trPr>
          <w:trHeight w:val="237"/>
        </w:trPr>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57"/>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and other expenses of Consolidated Funds</w:t>
            </w:r>
          </w:p>
        </w:tc>
        <w:tc>
          <w:tcPr>
            <w:tcW w:w="3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r>
      <w:tr>
        <w:trPr>
          <w:trHeight w:val="256"/>
        </w:trPr>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non-operating expenses</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57"/>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expenses</w:t>
            </w: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609.5</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703.0</w:t>
            </w:r>
          </w:p>
        </w:tc>
      </w:tr>
      <w:tr>
        <w:trPr>
          <w:trHeight w:val="257"/>
        </w:trPr>
        <w:tc>
          <w:tcPr>
            <w:tcW w:w="4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Other income (loss)</w:t>
            </w: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57"/>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investment income of Consolidated Funds</w:t>
            </w:r>
          </w:p>
        </w:tc>
        <w:tc>
          <w:tcPr>
            <w:tcW w:w="3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36"/>
        </w:trPr>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3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159.6</w:t>
            </w:r>
          </w:p>
        </w:tc>
      </w:tr>
      <w:tr>
        <w:trPr>
          <w:trHeight w:val="257"/>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r>
      <w:tr>
        <w:trPr>
          <w:trHeight w:val="257"/>
        </w:trPr>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w:t>
            </w:r>
          </w:p>
        </w:tc>
      </w:tr>
      <w:tr>
        <w:trPr>
          <w:trHeight w:val="257"/>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attributable to non-controlling interests in consolidated</w:t>
            </w: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10"/>
        </w:trPr>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entities</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46"/>
        </w:trPr>
        <w:tc>
          <w:tcPr>
            <w:tcW w:w="47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17"/>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attributable to The Carlyle Group Inc.</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r>
      <w:tr>
        <w:trPr>
          <w:trHeight w:val="256"/>
        </w:trPr>
        <w:tc>
          <w:tcPr>
            <w:tcW w:w="4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57"/>
        </w:trPr>
        <w:tc>
          <w:tcPr>
            <w:tcW w:w="474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r>
      <w:tr>
        <w:trPr>
          <w:trHeight w:val="236"/>
        </w:trPr>
        <w:tc>
          <w:tcPr>
            <w:tcW w:w="4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7"/>
        </w:trPr>
        <w:tc>
          <w:tcPr>
            <w:tcW w:w="474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r>
      <w:tr>
        <w:trPr>
          <w:trHeight w:val="236"/>
        </w:trPr>
        <w:tc>
          <w:tcPr>
            <w:tcW w:w="4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92"/>
        </w:trPr>
        <w:tc>
          <w:tcPr>
            <w:tcW w:w="474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r>
      <w:tr>
        <w:trPr>
          <w:trHeight w:val="210"/>
        </w:trPr>
        <w:tc>
          <w:tcPr>
            <w:tcW w:w="47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-5554345</wp:posOffset>
            </wp:positionV>
            <wp:extent cx="7016115" cy="69627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16115" cy="6962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367030</wp:posOffset>
            </wp:positionV>
            <wp:extent cx="7016115" cy="3470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16115" cy="3470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80" w:type="dxa"/>
            <w:vAlign w:val="bottom"/>
            <w:gridSpan w:val="3"/>
          </w:tcPr>
          <w:p>
            <w:pPr>
              <w:jc w:val="center"/>
              <w:ind w:left="11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6"/>
                <w:szCs w:val="16"/>
                <w:color w:val="auto"/>
              </w:rPr>
            </w:pPr>
          </w:p>
        </w:tc>
      </w:tr>
      <w:tr>
        <w:trPr>
          <w:trHeight w:val="230"/>
        </w:trPr>
        <w:tc>
          <w:tcPr>
            <w:tcW w:w="54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9"/>
                <w:szCs w:val="19"/>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9"/>
                <w:szCs w:val="19"/>
                <w:color w:val="auto"/>
              </w:rPr>
            </w:pPr>
          </w:p>
        </w:tc>
      </w:tr>
      <w:tr>
        <w:trPr>
          <w:trHeight w:val="229"/>
        </w:trPr>
        <w:tc>
          <w:tcPr>
            <w:tcW w:w="5480" w:type="dxa"/>
            <w:vAlign w:val="bottom"/>
          </w:tcPr>
          <w:p>
            <w:pPr>
              <w:spacing w:after="0"/>
              <w:rPr>
                <w:sz w:val="19"/>
                <w:szCs w:val="19"/>
                <w:color w:val="auto"/>
              </w:rPr>
            </w:pPr>
          </w:p>
        </w:tc>
        <w:tc>
          <w:tcPr>
            <w:tcW w:w="3280" w:type="dxa"/>
            <w:vAlign w:val="bottom"/>
            <w:gridSpan w:val="3"/>
          </w:tcPr>
          <w:p>
            <w:pPr>
              <w:jc w:val="center"/>
              <w:ind w:left="118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74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86.1</w:t>
            </w:r>
          </w:p>
        </w:tc>
        <w:tc>
          <w:tcPr>
            <w:tcW w:w="100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reconcile net income to net cash flows from operating activities:</w:t>
            </w:r>
          </w:p>
        </w:tc>
        <w:tc>
          <w:tcPr>
            <w:tcW w:w="1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5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740" w:type="dxa"/>
            <w:vAlign w:val="bottom"/>
          </w:tcPr>
          <w:p>
            <w:pPr>
              <w:spacing w:after="0"/>
              <w:rPr>
                <w:sz w:val="19"/>
                <w:szCs w:val="19"/>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45.3</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r>
      <w:tr>
        <w:trPr>
          <w:trHeight w:val="229"/>
        </w:trPr>
        <w:tc>
          <w:tcPr>
            <w:tcW w:w="5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740" w:type="dxa"/>
            <w:vAlign w:val="bottom"/>
          </w:tcPr>
          <w:p>
            <w:pPr>
              <w:spacing w:after="0"/>
              <w:rPr>
                <w:sz w:val="19"/>
                <w:szCs w:val="19"/>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108.3</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r>
      <w:tr>
        <w:trPr>
          <w:trHeight w:val="229"/>
        </w:trPr>
        <w:tc>
          <w:tcPr>
            <w:tcW w:w="5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Non-cash performance allocations and incentive fees</w:t>
            </w:r>
          </w:p>
        </w:tc>
        <w:tc>
          <w:tcPr>
            <w:tcW w:w="1740" w:type="dxa"/>
            <w:vAlign w:val="bottom"/>
          </w:tcPr>
          <w:p>
            <w:pPr>
              <w:spacing w:after="0"/>
              <w:rPr>
                <w:sz w:val="19"/>
                <w:szCs w:val="19"/>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189.6</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r>
      <w:tr>
        <w:trPr>
          <w:trHeight w:val="229"/>
        </w:trPr>
        <w:tc>
          <w:tcPr>
            <w:tcW w:w="5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Non-cash principal investment income</w:t>
            </w:r>
          </w:p>
        </w:tc>
        <w:tc>
          <w:tcPr>
            <w:tcW w:w="1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29"/>
        </w:trPr>
        <w:tc>
          <w:tcPr>
            <w:tcW w:w="5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non-cash amounts</w:t>
            </w:r>
          </w:p>
        </w:tc>
        <w:tc>
          <w:tcPr>
            <w:tcW w:w="1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229"/>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investments</w:t>
            </w:r>
          </w:p>
        </w:tc>
        <w:tc>
          <w:tcPr>
            <w:tcW w:w="1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229"/>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the sale of investments</w:t>
            </w:r>
          </w:p>
        </w:tc>
        <w:tc>
          <w:tcPr>
            <w:tcW w:w="1740" w:type="dxa"/>
            <w:vAlign w:val="bottom"/>
          </w:tcPr>
          <w:p>
            <w:pPr>
              <w:spacing w:after="0"/>
              <w:rPr>
                <w:sz w:val="19"/>
                <w:szCs w:val="19"/>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108.3</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Payments of contingent consideration</w:t>
            </w:r>
          </w:p>
        </w:tc>
        <w:tc>
          <w:tcPr>
            <w:tcW w:w="1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r>
      <w:tr>
        <w:trPr>
          <w:trHeight w:val="229"/>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Change in deferred taxes, net</w:t>
            </w:r>
          </w:p>
        </w:tc>
        <w:tc>
          <w:tcPr>
            <w:tcW w:w="1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229"/>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Change in due from affiliates and other receivables</w:t>
            </w:r>
          </w:p>
        </w:tc>
        <w:tc>
          <w:tcPr>
            <w:tcW w:w="1740" w:type="dxa"/>
            <w:vAlign w:val="bottom"/>
          </w:tcPr>
          <w:p>
            <w:pPr>
              <w:spacing w:after="0"/>
              <w:rPr>
                <w:sz w:val="19"/>
                <w:szCs w:val="19"/>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229"/>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Change in deposits and other</w:t>
            </w:r>
          </w:p>
        </w:tc>
        <w:tc>
          <w:tcPr>
            <w:tcW w:w="17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r>
      <w:tr>
        <w:trPr>
          <w:trHeight w:val="229"/>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Change in accounts payable, accrued expenses and other liabilities</w:t>
            </w:r>
          </w:p>
        </w:tc>
        <w:tc>
          <w:tcPr>
            <w:tcW w:w="1740" w:type="dxa"/>
            <w:vAlign w:val="bottom"/>
          </w:tcPr>
          <w:p>
            <w:pPr>
              <w:spacing w:after="0"/>
              <w:rPr>
                <w:sz w:val="19"/>
                <w:szCs w:val="19"/>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41.5</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r>
    </w:tbl>
    <w:p>
      <w:pPr>
        <w:sectPr>
          <w:pgSz w:w="11900" w:h="16868" w:orient="portrait"/>
          <w:cols w:equalWidth="0" w:num="1">
            <w:col w:w="9180"/>
          </w:cols>
          <w:pgMar w:left="1360" w:top="112" w:right="1359"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Change in accrued compensation and benefits</w:t>
            </w: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(371.9)</w:t>
            </w:r>
          </w:p>
        </w:tc>
        <w:tc>
          <w:tcPr>
            <w:tcW w:w="0" w:type="dxa"/>
            <w:vAlign w:val="bottom"/>
          </w:tcPr>
          <w:p>
            <w:pPr>
              <w:spacing w:after="0"/>
              <w:rPr>
                <w:sz w:val="1"/>
                <w:szCs w:val="1"/>
                <w:color w:val="auto"/>
              </w:rPr>
            </w:pPr>
          </w:p>
        </w:tc>
      </w:tr>
      <w:tr>
        <w:trPr>
          <w:trHeight w:val="51"/>
        </w:trPr>
        <w:tc>
          <w:tcPr>
            <w:tcW w:w="63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Change in due to affiliates</w:t>
            </w:r>
          </w:p>
        </w:tc>
        <w:tc>
          <w:tcPr>
            <w:tcW w:w="5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3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8"/>
        </w:trPr>
        <w:tc>
          <w:tcPr>
            <w:tcW w:w="63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Change in lease right-of-use asset and lease liability</w:t>
            </w: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3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8"/>
        </w:trPr>
        <w:tc>
          <w:tcPr>
            <w:tcW w:w="6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Change in deferred revenue</w:t>
            </w: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0" w:type="dxa"/>
            <w:vAlign w:val="bottom"/>
          </w:tcPr>
          <w:p>
            <w:pPr>
              <w:spacing w:after="0"/>
              <w:rPr>
                <w:sz w:val="1"/>
                <w:szCs w:val="1"/>
                <w:color w:val="auto"/>
              </w:rPr>
            </w:pPr>
          </w:p>
        </w:tc>
      </w:tr>
      <w:tr>
        <w:trPr>
          <w:trHeight w:val="188"/>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41"/>
        </w:trPr>
        <w:tc>
          <w:tcPr>
            <w:tcW w:w="6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6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Purchases of corporate treasury investments</w:t>
            </w:r>
          </w:p>
        </w:tc>
        <w:tc>
          <w:tcPr>
            <w:tcW w:w="5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0" w:type="dxa"/>
            <w:vAlign w:val="bottom"/>
          </w:tcPr>
          <w:p>
            <w:pPr>
              <w:spacing w:after="0"/>
              <w:rPr>
                <w:sz w:val="1"/>
                <w:szCs w:val="1"/>
                <w:color w:val="auto"/>
              </w:rPr>
            </w:pPr>
          </w:p>
        </w:tc>
      </w:tr>
      <w:tr>
        <w:trPr>
          <w:trHeight w:val="41"/>
        </w:trPr>
        <w:tc>
          <w:tcPr>
            <w:tcW w:w="6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6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Proceeds from corporate treasury investments</w:t>
            </w:r>
          </w:p>
        </w:tc>
        <w:tc>
          <w:tcPr>
            <w:tcW w:w="5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88"/>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Purchases of fixed assets, net</w:t>
            </w: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41"/>
        </w:trPr>
        <w:tc>
          <w:tcPr>
            <w:tcW w:w="6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6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0" w:type="dxa"/>
            <w:vAlign w:val="bottom"/>
          </w:tcPr>
          <w:p>
            <w:pPr>
              <w:spacing w:after="0"/>
              <w:rPr>
                <w:sz w:val="1"/>
                <w:szCs w:val="1"/>
                <w:color w:val="auto"/>
              </w:rPr>
            </w:pPr>
          </w:p>
        </w:tc>
      </w:tr>
      <w:tr>
        <w:trPr>
          <w:trHeight w:val="190"/>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Payments on CLO borrowings</w:t>
            </w: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8"/>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Proceeds from CLO borrowings, net of financing costs</w:t>
            </w:r>
          </w:p>
        </w:tc>
        <w:tc>
          <w:tcPr>
            <w:tcW w:w="5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1"/>
        </w:trPr>
        <w:tc>
          <w:tcPr>
            <w:tcW w:w="6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6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Dividends to common stockholders</w:t>
            </w: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0" w:type="dxa"/>
            <w:vAlign w:val="bottom"/>
          </w:tcPr>
          <w:p>
            <w:pPr>
              <w:spacing w:after="0"/>
              <w:rPr>
                <w:sz w:val="1"/>
                <w:szCs w:val="1"/>
                <w:color w:val="auto"/>
              </w:rPr>
            </w:pPr>
          </w:p>
        </w:tc>
      </w:tr>
      <w:tr>
        <w:trPr>
          <w:trHeight w:val="188"/>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Payment of deferred consideration for Carlyle Holdings units</w:t>
            </w: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0" w:type="dxa"/>
            <w:vAlign w:val="bottom"/>
          </w:tcPr>
          <w:p>
            <w:pPr>
              <w:spacing w:after="0"/>
              <w:rPr>
                <w:sz w:val="1"/>
                <w:szCs w:val="1"/>
                <w:color w:val="auto"/>
              </w:rPr>
            </w:pPr>
          </w:p>
        </w:tc>
      </w:tr>
      <w:tr>
        <w:trPr>
          <w:trHeight w:val="41"/>
        </w:trPr>
        <w:tc>
          <w:tcPr>
            <w:tcW w:w="6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6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Contributions from non-controlling interest holders</w:t>
            </w: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8"/>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Distributions to non-controlling interest holders</w:t>
            </w: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41"/>
        </w:trPr>
        <w:tc>
          <w:tcPr>
            <w:tcW w:w="6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6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Common shares repurchased and net share settlement of equity awards</w:t>
            </w: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0" w:type="dxa"/>
            <w:vAlign w:val="bottom"/>
          </w:tcPr>
          <w:p>
            <w:pPr>
              <w:spacing w:after="0"/>
              <w:rPr>
                <w:sz w:val="1"/>
                <w:szCs w:val="1"/>
                <w:color w:val="auto"/>
              </w:rPr>
            </w:pPr>
          </w:p>
        </w:tc>
      </w:tr>
      <w:tr>
        <w:trPr>
          <w:trHeight w:val="188"/>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Change in due to/from affiliates financing activities</w:t>
            </w: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0" w:type="dxa"/>
            <w:vAlign w:val="bottom"/>
          </w:tcPr>
          <w:p>
            <w:pPr>
              <w:spacing w:after="0"/>
              <w:rPr>
                <w:sz w:val="1"/>
                <w:szCs w:val="1"/>
                <w:color w:val="auto"/>
              </w:rPr>
            </w:pPr>
          </w:p>
        </w:tc>
      </w:tr>
      <w:tr>
        <w:trPr>
          <w:trHeight w:val="41"/>
        </w:trPr>
        <w:tc>
          <w:tcPr>
            <w:tcW w:w="6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w:t>
            </w:r>
          </w:p>
        </w:tc>
        <w:tc>
          <w:tcPr>
            <w:tcW w:w="0" w:type="dxa"/>
            <w:vAlign w:val="bottom"/>
          </w:tcPr>
          <w:p>
            <w:pPr>
              <w:spacing w:after="0"/>
              <w:rPr>
                <w:sz w:val="1"/>
                <w:szCs w:val="1"/>
                <w:color w:val="auto"/>
              </w:rPr>
            </w:pPr>
          </w:p>
        </w:tc>
      </w:tr>
      <w:tr>
        <w:trPr>
          <w:trHeight w:val="188"/>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Effect of foreign exchange rate changes</w:t>
            </w: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41"/>
        </w:trPr>
        <w:tc>
          <w:tcPr>
            <w:tcW w:w="6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Decrease in cash, cash equivalents and restricted cash</w:t>
            </w:r>
          </w:p>
        </w:tc>
        <w:tc>
          <w:tcPr>
            <w:tcW w:w="5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(334.6)</w:t>
            </w:r>
          </w:p>
        </w:tc>
        <w:tc>
          <w:tcPr>
            <w:tcW w:w="0" w:type="dxa"/>
            <w:vAlign w:val="bottom"/>
          </w:tcPr>
          <w:p>
            <w:pPr>
              <w:spacing w:after="0"/>
              <w:rPr>
                <w:sz w:val="1"/>
                <w:szCs w:val="1"/>
                <w:color w:val="auto"/>
              </w:rPr>
            </w:pPr>
          </w:p>
        </w:tc>
      </w:tr>
      <w:tr>
        <w:trPr>
          <w:trHeight w:val="182"/>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5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1,442.1</w:t>
            </w:r>
          </w:p>
        </w:tc>
        <w:tc>
          <w:tcPr>
            <w:tcW w:w="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1,361.5</w:t>
            </w:r>
          </w:p>
        </w:tc>
        <w:tc>
          <w:tcPr>
            <w:tcW w:w="0" w:type="dxa"/>
            <w:vAlign w:val="bottom"/>
          </w:tcPr>
          <w:p>
            <w:pPr>
              <w:spacing w:after="0"/>
              <w:rPr>
                <w:sz w:val="1"/>
                <w:szCs w:val="1"/>
                <w:color w:val="auto"/>
              </w:rPr>
            </w:pPr>
          </w:p>
        </w:tc>
      </w:tr>
      <w:tr>
        <w:trPr>
          <w:trHeight w:val="28"/>
        </w:trPr>
        <w:tc>
          <w:tcPr>
            <w:tcW w:w="6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50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1,277.9</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1,026.9</w:t>
            </w:r>
          </w:p>
        </w:tc>
        <w:tc>
          <w:tcPr>
            <w:tcW w:w="0" w:type="dxa"/>
            <w:vAlign w:val="bottom"/>
          </w:tcPr>
          <w:p>
            <w:pPr>
              <w:spacing w:after="0"/>
              <w:rPr>
                <w:sz w:val="1"/>
                <w:szCs w:val="1"/>
                <w:color w:val="auto"/>
              </w:rPr>
            </w:pPr>
          </w:p>
        </w:tc>
      </w:tr>
      <w:tr>
        <w:trPr>
          <w:trHeight w:val="225"/>
        </w:trPr>
        <w:tc>
          <w:tcPr>
            <w:tcW w:w="63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end of period:</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1,276.5</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1,010.1</w:t>
            </w:r>
          </w:p>
        </w:tc>
        <w:tc>
          <w:tcPr>
            <w:tcW w:w="0" w:type="dxa"/>
            <w:vAlign w:val="bottom"/>
          </w:tcPr>
          <w:p>
            <w:pPr>
              <w:spacing w:after="0"/>
              <w:rPr>
                <w:sz w:val="1"/>
                <w:szCs w:val="1"/>
                <w:color w:val="auto"/>
              </w:rPr>
            </w:pPr>
          </w:p>
        </w:tc>
      </w:tr>
      <w:tr>
        <w:trPr>
          <w:trHeight w:val="225"/>
        </w:trPr>
        <w:tc>
          <w:tcPr>
            <w:tcW w:w="63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Restricted cash</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14"/>
        </w:trPr>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cash, cash equivalents and restricted cash, end of period</w:t>
            </w:r>
          </w:p>
        </w:tc>
        <w:tc>
          <w:tcPr>
            <w:tcW w:w="5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1,026.9</w:t>
            </w:r>
          </w:p>
        </w:tc>
        <w:tc>
          <w:tcPr>
            <w:tcW w:w="0" w:type="dxa"/>
            <w:vAlign w:val="bottom"/>
          </w:tcPr>
          <w:p>
            <w:pPr>
              <w:spacing w:after="0"/>
              <w:rPr>
                <w:sz w:val="1"/>
                <w:szCs w:val="1"/>
                <w:color w:val="auto"/>
              </w:rPr>
            </w:pPr>
          </w:p>
        </w:tc>
      </w:tr>
      <w:tr>
        <w:trPr>
          <w:trHeight w:val="287"/>
        </w:trPr>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and cash equivalents held at Consolidated Funds</w:t>
            </w:r>
          </w:p>
        </w:tc>
        <w:tc>
          <w:tcPr>
            <w:tcW w:w="5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426.0</w:t>
            </w:r>
          </w:p>
        </w:tc>
        <w:tc>
          <w:tcPr>
            <w:tcW w:w="80" w:type="dxa"/>
            <w:vAlign w:val="bottom"/>
          </w:tcPr>
          <w:p>
            <w:pPr>
              <w:spacing w:after="0"/>
              <w:rPr>
                <w:sz w:val="24"/>
                <w:szCs w:val="24"/>
                <w:color w:val="auto"/>
              </w:rPr>
            </w:pPr>
          </w:p>
        </w:tc>
        <w:tc>
          <w:tcPr>
            <w:tcW w:w="5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0" w:type="dxa"/>
            <w:vAlign w:val="bottom"/>
          </w:tcPr>
          <w:p>
            <w:pPr>
              <w:spacing w:after="0"/>
              <w:rPr>
                <w:sz w:val="1"/>
                <w:szCs w:val="1"/>
                <w:color w:val="auto"/>
              </w:rPr>
            </w:pPr>
          </w:p>
        </w:tc>
      </w:tr>
      <w:tr>
        <w:trPr>
          <w:trHeight w:val="401"/>
        </w:trPr>
        <w:tc>
          <w:tcPr>
            <w:tcW w:w="6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-4954270</wp:posOffset>
            </wp:positionV>
            <wp:extent cx="7016115" cy="55911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16115" cy="5591175"/>
                    </a:xfrm>
                    <a:prstGeom prst="rect">
                      <a:avLst/>
                    </a:prstGeom>
                    <a:noFill/>
                  </pic:spPr>
                </pic:pic>
              </a:graphicData>
            </a:graphic>
          </wp:anchor>
        </w:drawing>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4842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16115" cy="4842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0" w:firstLine="693"/>
        <w:spacing w:after="0" w:line="261" w:lineRule="auto"/>
        <w:rPr>
          <w:sz w:val="20"/>
          <w:szCs w:val="20"/>
          <w:color w:val="auto"/>
        </w:rPr>
      </w:pPr>
      <w:r>
        <w:rPr>
          <w:rFonts w:ascii="Times New Roman" w:cs="Times New Roman" w:eastAsia="Times New Roman" w:hAnsi="Times New Roman"/>
          <w:sz w:val="18"/>
          <w:szCs w:val="18"/>
          <w:i w:val="1"/>
          <w:iCs w:val="1"/>
          <w:color w:val="auto"/>
        </w:rPr>
        <w:t>Unless context suggests otherwise, references in this report to “Carlyle,” the “Company,” “we,” “us,” and “our” refer to The Carlyle Group Inc. and its consolidated subsidiaries. The following discussion and analysis should be read in conjunction with the consolidated financial statements and the related notes included in this Quarterly Report on Form 10-Q and the Annual Report on Form 10-K for the year ended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445"/>
        <w:spacing w:after="0" w:line="312" w:lineRule="auto"/>
        <w:rPr>
          <w:sz w:val="20"/>
          <w:szCs w:val="20"/>
          <w:color w:val="auto"/>
        </w:rPr>
      </w:pPr>
      <w:r>
        <w:rPr>
          <w:rFonts w:ascii="Times New Roman" w:cs="Times New Roman" w:eastAsia="Times New Roman" w:hAnsi="Times New Roman"/>
          <w:sz w:val="17"/>
          <w:szCs w:val="17"/>
          <w:color w:val="auto"/>
        </w:rPr>
        <w:t>We are one of the world’s largest global investment firms that deploys private capital across its business and we conduct our operations through three reportable segments: Global Private Equity, Global Credit, and Global Investment Solutions.</w:t>
      </w:r>
    </w:p>
    <w:p>
      <w:pPr>
        <w:spacing w:after="0" w:line="138" w:lineRule="exact"/>
        <w:rPr>
          <w:sz w:val="20"/>
          <w:szCs w:val="20"/>
          <w:color w:val="auto"/>
        </w:rPr>
      </w:pPr>
    </w:p>
    <w:p>
      <w:pPr>
        <w:ind w:left="420" w:hanging="251"/>
        <w:spacing w:after="0" w:line="261" w:lineRule="auto"/>
        <w:tabs>
          <w:tab w:leader="none" w:pos="42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Global Private Equity </w:t>
      </w:r>
      <w:r>
        <w:rPr>
          <w:rFonts w:ascii="Times New Roman" w:cs="Times New Roman" w:eastAsia="Times New Roman" w:hAnsi="Times New Roman"/>
          <w:sz w:val="18"/>
          <w:szCs w:val="18"/>
          <w:color w:val="auto"/>
        </w:rPr>
        <w:t>— Our Global Private Equity segment advises our buyout, middle market and growth capital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U.S. and internationally focused real estate funds, and our infrastructure and natural resources funds. The segment also includes the NGP Carry Funds advised by NGP. As of March 31, 2024, our Global Private Equity segment had $159 billion in AUM and $104 billion in Fee-earning AUM.</w:t>
      </w:r>
    </w:p>
    <w:p>
      <w:pPr>
        <w:spacing w:after="0" w:line="179" w:lineRule="exact"/>
        <w:rPr>
          <w:rFonts w:ascii="Times New Roman" w:cs="Times New Roman" w:eastAsia="Times New Roman" w:hAnsi="Times New Roman"/>
          <w:sz w:val="18"/>
          <w:szCs w:val="18"/>
          <w:i w:val="1"/>
          <w:iCs w:val="1"/>
          <w:color w:val="auto"/>
        </w:rPr>
      </w:pPr>
    </w:p>
    <w:p>
      <w:pPr>
        <w:ind w:left="420" w:hanging="251"/>
        <w:spacing w:after="0" w:line="261" w:lineRule="auto"/>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Credit </w:t>
      </w:r>
      <w:r>
        <w:rPr>
          <w:rFonts w:ascii="Times New Roman" w:cs="Times New Roman" w:eastAsia="Times New Roman" w:hAnsi="Times New Roman"/>
          <w:sz w:val="18"/>
          <w:szCs w:val="18"/>
          <w:color w:val="auto"/>
        </w:rPr>
        <w:t>— Our Global Credit segment advises funds and vehicles that pursue investment strategies including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structured credit, direct lending, opportunistic credit, distressed credit, aircraft financing and servicing, infrastructure debt, insurance solutions and global capital markets. As of March 31, 2024, our Global Credit segment had $186 billion in AUM and $153 billion in Fee-earning AUM.</w:t>
      </w:r>
    </w:p>
    <w:p>
      <w:pPr>
        <w:spacing w:after="0" w:line="179" w:lineRule="exact"/>
        <w:rPr>
          <w:rFonts w:ascii="Times New Roman" w:cs="Times New Roman" w:eastAsia="Times New Roman" w:hAnsi="Times New Roman"/>
          <w:sz w:val="18"/>
          <w:szCs w:val="18"/>
          <w:color w:val="auto"/>
        </w:rPr>
      </w:pPr>
    </w:p>
    <w:p>
      <w:pPr>
        <w:ind w:left="420" w:right="120" w:hanging="251"/>
        <w:spacing w:after="0" w:line="267" w:lineRule="auto"/>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Investment Solutions </w:t>
      </w:r>
      <w:r>
        <w:rPr>
          <w:rFonts w:ascii="Times New Roman" w:cs="Times New Roman" w:eastAsia="Times New Roman" w:hAnsi="Times New Roman"/>
          <w:sz w:val="18"/>
          <w:szCs w:val="18"/>
          <w:color w:val="auto"/>
        </w:rPr>
        <w:t>— Our Global Investment Solutions segment advises global private equity programs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co-investment and secondary activities. As of March 31, 2024, our Global Investment Solutions segment had $80 billion in AUM and $47 billion in Fee-earning AUM.</w:t>
      </w:r>
    </w:p>
    <w:p>
      <w:pPr>
        <w:spacing w:after="0" w:line="175"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We earn management fees pursuant to contractual arrangements with the investment funds that we manage and fees for transaction advisory and oversight services provided to portfolio companies of these funds. We also typically receive a performance fee from an investment fund, which may be either an incentive fee or a special residual allocation of income, which we refer to as a performance allocation, or carried interest, in the event that specified investment returns are achieved by the fund. Under U.S. generally accepted accounting principles (“U.S. GAAP”), we are required to consolidate some of the</w:t>
      </w:r>
    </w:p>
    <w:p>
      <w:pPr>
        <w:sectPr>
          <w:pgSz w:w="11900" w:h="16838" w:orient="portrait"/>
          <w:cols w:equalWidth="0" w:num="1">
            <w:col w:w="9220"/>
          </w:cols>
          <w:pgMar w:left="1320" w:top="130" w:right="1359" w:bottom="0" w:gutter="0" w:footer="0" w:header="0"/>
        </w:sectPr>
      </w:pPr>
    </w:p>
    <w:bookmarkStart w:id="57" w:name="page58"/>
    <w:bookmarkEnd w:id="57"/>
    <w:p>
      <w:pPr>
        <w:ind w:right="260"/>
        <w:spacing w:after="0" w:line="188" w:lineRule="auto"/>
        <w:rPr>
          <w:sz w:val="20"/>
          <w:szCs w:val="20"/>
          <w:color w:val="auto"/>
        </w:rPr>
      </w:pPr>
      <w:r>
        <w:rPr>
          <w:rFonts w:ascii="Times New Roman" w:cs="Times New Roman" w:eastAsia="Times New Roman" w:hAnsi="Times New Roman"/>
          <w:sz w:val="12"/>
          <w:szCs w:val="12"/>
          <w:color w:val="auto"/>
        </w:rPr>
        <w:t>investment funds that we advise. However, for segment reporting purpos</w:t>
      </w:r>
      <w:r>
        <w:rPr>
          <w:rFonts w:ascii="Times New Roman" w:cs="Times New Roman" w:eastAsia="Times New Roman" w:hAnsi="Times New Roman"/>
          <w:sz w:val="20"/>
          <w:szCs w:val="20"/>
          <w:color w:val="auto"/>
          <w:vertAlign w:val="superscript"/>
        </w:rPr>
        <w:t>es</w:t>
      </w:r>
      <w:r>
        <w:rPr>
          <w:rFonts w:ascii="Times New Roman" w:cs="Times New Roman" w:eastAsia="Times New Roman" w:hAnsi="Times New Roman"/>
          <w:sz w:val="12"/>
          <w:szCs w:val="12"/>
          <w:color w:val="auto"/>
        </w:rPr>
        <w:t>, we present revenues and expenses on a basis that deconsolidates these investment funds. Accordingly, our segment revenu primarily consist of fund management fees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-161925</wp:posOffset>
            </wp:positionV>
            <wp:extent cx="7016115" cy="42195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16115" cy="4219575"/>
                    </a:xfrm>
                    <a:prstGeom prst="rect">
                      <a:avLst/>
                    </a:prstGeom>
                    <a:noFill/>
                  </pic:spPr>
                </pic:pic>
              </a:graphicData>
            </a:graphic>
          </wp:anchor>
        </w:drawing>
      </w:r>
    </w:p>
    <w:p>
      <w:pPr>
        <w:ind w:right="20"/>
        <w:spacing w:after="0" w:line="251" w:lineRule="auto"/>
        <w:rPr>
          <w:sz w:val="20"/>
          <w:szCs w:val="20"/>
          <w:color w:val="auto"/>
        </w:rPr>
      </w:pPr>
      <w:r>
        <w:rPr>
          <w:rFonts w:ascii="Times New Roman" w:cs="Times New Roman" w:eastAsia="Times New Roman" w:hAnsi="Times New Roman"/>
          <w:sz w:val="18"/>
          <w:szCs w:val="18"/>
          <w:color w:val="auto"/>
        </w:rPr>
        <w:t>related transaction and portfolio advisory fees and other income, realized performance revenues (consisting of incentive fees and performance allocations), realized principal investment income, including realized gains on our investments in our funds and other trading securities, as well as interest income. Our segment expenses primarily consist of cash compensation and benefits expenses, including salaries, bonuses, and realized performance payment arrangements, and general and administrative expenses. While our segment expenses include depreciation and interest expense, our segment expenses exclude acquisition and disposition related charges and amortization of intangibles and impairment. Refer to Note 15, Segment Reporting, to the condensed consolidated financial statements included in this Quarterly Report on Form 10-Q for more information on the differences between our financial results reported pursuant to U.S. GAAP and our financial results for segment reporting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62141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16115" cy="6214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Global Investment Offerings</w:t>
      </w:r>
    </w:p>
    <w:p>
      <w:pPr>
        <w:spacing w:after="0" w:line="229"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breakout of the product offerings and related acronyms included in our total assets under management of $425 billion as of March 31, 2024 for each of our three global business segments (in billions):</w:t>
      </w:r>
    </w:p>
    <w:p>
      <w:pPr>
        <w:sectPr>
          <w:pgSz w:w="11900" w:h="16838" w:orient="portrait"/>
          <w:cols w:equalWidth="0" w:num="1">
            <w:col w:w="9260"/>
          </w:cols>
          <w:pgMar w:left="1320" w:top="108" w:right="1319" w:bottom="0" w:gutter="0" w:footer="0" w:header="0"/>
        </w:sectPr>
      </w:pP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shd w:val="clear" w:color="auto" w:fill="096670"/>
          </w:tcPr>
          <w:p>
            <w:pPr>
              <w:ind w:left="60"/>
              <w:spacing w:after="0"/>
              <w:rPr>
                <w:sz w:val="20"/>
                <w:szCs w:val="20"/>
                <w:color w:val="auto"/>
              </w:rPr>
            </w:pPr>
            <w:r>
              <w:rPr>
                <w:rFonts w:ascii="Times New Roman" w:cs="Times New Roman" w:eastAsia="Times New Roman" w:hAnsi="Times New Roman"/>
                <w:sz w:val="16"/>
                <w:szCs w:val="16"/>
                <w:b w:val="1"/>
                <w:bCs w:val="1"/>
                <w:color w:val="FFFFFF"/>
              </w:rPr>
              <w:t xml:space="preserve">Global Private Equity </w:t>
            </w:r>
            <w:r>
              <w:rPr>
                <w:rFonts w:ascii="Times New Roman" w:cs="Times New Roman" w:eastAsia="Times New Roman" w:hAnsi="Times New Roman"/>
                <w:sz w:val="21"/>
                <w:szCs w:val="21"/>
                <w:b w:val="1"/>
                <w:bCs w:val="1"/>
                <w:color w:val="FFFFFF"/>
                <w:vertAlign w:val="superscript"/>
              </w:rPr>
              <w:t>1</w:t>
            </w:r>
          </w:p>
        </w:tc>
        <w:tc>
          <w:tcPr>
            <w:tcW w:w="720" w:type="dxa"/>
            <w:vAlign w:val="bottom"/>
            <w:shd w:val="clear" w:color="auto" w:fill="096670"/>
          </w:tcPr>
          <w:p>
            <w:pPr>
              <w:jc w:val="right"/>
              <w:ind w:right="159"/>
              <w:spacing w:after="0"/>
              <w:rPr>
                <w:sz w:val="20"/>
                <w:szCs w:val="20"/>
                <w:color w:val="auto"/>
              </w:rPr>
            </w:pPr>
            <w:r>
              <w:rPr>
                <w:rFonts w:ascii="Times New Roman" w:cs="Times New Roman" w:eastAsia="Times New Roman" w:hAnsi="Times New Roman"/>
                <w:sz w:val="16"/>
                <w:szCs w:val="16"/>
                <w:b w:val="1"/>
                <w:bCs w:val="1"/>
                <w:color w:val="FFFFFF"/>
              </w:rPr>
              <w:t>$</w:t>
            </w:r>
          </w:p>
        </w:tc>
        <w:tc>
          <w:tcPr>
            <w:tcW w:w="660" w:type="dxa"/>
            <w:vAlign w:val="bottom"/>
            <w:shd w:val="clear" w:color="auto" w:fill="096670"/>
          </w:tcPr>
          <w:p>
            <w:pPr>
              <w:jc w:val="right"/>
              <w:spacing w:after="0"/>
              <w:rPr>
                <w:sz w:val="20"/>
                <w:szCs w:val="20"/>
                <w:color w:val="auto"/>
              </w:rPr>
            </w:pPr>
            <w:r>
              <w:rPr>
                <w:rFonts w:ascii="Times New Roman" w:cs="Times New Roman" w:eastAsia="Times New Roman" w:hAnsi="Times New Roman"/>
                <w:sz w:val="16"/>
                <w:szCs w:val="16"/>
                <w:b w:val="1"/>
                <w:bCs w:val="1"/>
                <w:color w:val="FFFFFF"/>
              </w:rPr>
              <w:t>159.2</w:t>
            </w:r>
          </w:p>
        </w:tc>
      </w:tr>
      <w:tr>
        <w:trPr>
          <w:trHeight w:val="230"/>
        </w:trPr>
        <w:tc>
          <w:tcPr>
            <w:tcW w:w="3160" w:type="dxa"/>
            <w:vAlign w:val="bottom"/>
            <w:shd w:val="clear" w:color="auto" w:fill="EAEAEA"/>
          </w:tcPr>
          <w:p>
            <w:pPr>
              <w:ind w:left="160"/>
              <w:spacing w:after="0"/>
              <w:rPr>
                <w:sz w:val="20"/>
                <w:szCs w:val="20"/>
                <w:color w:val="auto"/>
              </w:rPr>
            </w:pPr>
            <w:r>
              <w:rPr>
                <w:rFonts w:ascii="Times New Roman" w:cs="Times New Roman" w:eastAsia="Times New Roman" w:hAnsi="Times New Roman"/>
                <w:sz w:val="16"/>
                <w:szCs w:val="16"/>
                <w:b w:val="1"/>
                <w:bCs w:val="1"/>
                <w:color w:val="auto"/>
              </w:rPr>
              <w:t>Corporate Private Equity</w:t>
            </w:r>
          </w:p>
        </w:tc>
        <w:tc>
          <w:tcPr>
            <w:tcW w:w="720" w:type="dxa"/>
            <w:vAlign w:val="bottom"/>
            <w:shd w:val="clear" w:color="auto" w:fill="EAEAEA"/>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b w:val="1"/>
                <w:bCs w:val="1"/>
                <w:color w:val="auto"/>
              </w:rPr>
              <w:t>106.6</w:t>
            </w:r>
          </w:p>
        </w:tc>
      </w:tr>
      <w:tr>
        <w:trPr>
          <w:trHeight w:val="237"/>
        </w:trPr>
        <w:tc>
          <w:tcPr>
            <w:tcW w:w="3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U.S. Buyout (CP)</w:t>
            </w:r>
          </w:p>
        </w:tc>
        <w:tc>
          <w:tcPr>
            <w:tcW w:w="7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230"/>
        </w:trPr>
        <w:tc>
          <w:tcPr>
            <w:tcW w:w="3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Asia Buyout (CAP)</w:t>
            </w: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30"/>
        </w:trPr>
        <w:tc>
          <w:tcPr>
            <w:tcW w:w="3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Europe Buyout (CEP)</w:t>
            </w: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30"/>
        </w:trPr>
        <w:tc>
          <w:tcPr>
            <w:tcW w:w="3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Carlyle Global Partners (CGP)</w:t>
            </w: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29"/>
        </w:trPr>
        <w:tc>
          <w:tcPr>
            <w:tcW w:w="3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Europe Technology (CETP)</w:t>
            </w: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30"/>
        </w:trPr>
        <w:tc>
          <w:tcPr>
            <w:tcW w:w="3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Japan Buyout (CJP)</w:t>
            </w: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30"/>
        </w:trPr>
        <w:tc>
          <w:tcPr>
            <w:tcW w:w="3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U.S. Growth (CP Growth / CEOF)</w:t>
            </w: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30"/>
        </w:trPr>
        <w:tc>
          <w:tcPr>
            <w:tcW w:w="3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Life Sciences (ABV / ACCD)</w:t>
            </w: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29"/>
        </w:trPr>
        <w:tc>
          <w:tcPr>
            <w:tcW w:w="3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Asia Growth (CAP Growth / CAGP)</w:t>
            </w: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87"/>
        </w:trPr>
        <w:tc>
          <w:tcPr>
            <w:tcW w:w="3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bl>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shd w:val="clear" w:color="auto" w:fill="EAEAEA"/>
          </w:tcPr>
          <w:p>
            <w:pPr>
              <w:ind w:left="16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920" w:type="dxa"/>
            <w:vAlign w:val="bottom"/>
            <w:shd w:val="clear" w:color="auto" w:fill="EAEAEA"/>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b w:val="1"/>
                <w:bCs w:val="1"/>
                <w:color w:val="auto"/>
              </w:rPr>
              <w:t>27.7</w:t>
            </w:r>
          </w:p>
        </w:tc>
      </w:tr>
      <w:tr>
        <w:trPr>
          <w:trHeight w:val="237"/>
        </w:trPr>
        <w:tc>
          <w:tcPr>
            <w:tcW w:w="3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U.S. Real Estate (CRP)</w:t>
            </w: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29"/>
        </w:trPr>
        <w:tc>
          <w:tcPr>
            <w:tcW w:w="3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Core Plus Real Estate (CPI)</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30"/>
        </w:trPr>
        <w:tc>
          <w:tcPr>
            <w:tcW w:w="3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International Real Estate (CER)</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bl>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80" w:type="dxa"/>
            <w:vAlign w:val="bottom"/>
            <w:shd w:val="clear" w:color="auto" w:fill="EAEAEA"/>
          </w:tcPr>
          <w:p>
            <w:pPr>
              <w:ind w:left="160"/>
              <w:spacing w:after="0"/>
              <w:rPr>
                <w:sz w:val="20"/>
                <w:szCs w:val="20"/>
                <w:color w:val="auto"/>
              </w:rPr>
            </w:pPr>
            <w:r>
              <w:rPr>
                <w:rFonts w:ascii="Times New Roman" w:cs="Times New Roman" w:eastAsia="Times New Roman" w:hAnsi="Times New Roman"/>
                <w:sz w:val="16"/>
                <w:szCs w:val="16"/>
                <w:b w:val="1"/>
                <w:bCs w:val="1"/>
                <w:color w:val="auto"/>
              </w:rPr>
              <w:t>Infrastructure &amp; Natural Resources</w:t>
            </w:r>
          </w:p>
        </w:tc>
        <w:tc>
          <w:tcPr>
            <w:tcW w:w="740" w:type="dxa"/>
            <w:vAlign w:val="bottom"/>
            <w:shd w:val="clear" w:color="auto" w:fill="EAEAEA"/>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EAEAEA"/>
          </w:tcPr>
          <w:p>
            <w:pPr>
              <w:jc w:val="right"/>
              <w:spacing w:after="0"/>
              <w:rPr>
                <w:sz w:val="20"/>
                <w:szCs w:val="20"/>
                <w:color w:val="auto"/>
              </w:rPr>
            </w:pPr>
            <w:r>
              <w:rPr>
                <w:rFonts w:ascii="Times New Roman" w:cs="Times New Roman" w:eastAsia="Times New Roman" w:hAnsi="Times New Roman"/>
                <w:sz w:val="16"/>
                <w:szCs w:val="16"/>
                <w:b w:val="1"/>
                <w:bCs w:val="1"/>
                <w:color w:val="auto"/>
              </w:rPr>
              <w:t>24.9</w:t>
            </w:r>
          </w:p>
        </w:tc>
      </w:tr>
      <w:tr>
        <w:trPr>
          <w:trHeight w:val="245"/>
        </w:trPr>
        <w:tc>
          <w:tcPr>
            <w:tcW w:w="3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 xml:space="preserve">NGP Energy </w:t>
            </w:r>
            <w:r>
              <w:rPr>
                <w:rFonts w:ascii="Times New Roman" w:cs="Times New Roman" w:eastAsia="Times New Roman" w:hAnsi="Times New Roman"/>
                <w:sz w:val="21"/>
                <w:szCs w:val="21"/>
                <w:color w:val="auto"/>
                <w:vertAlign w:val="superscript"/>
              </w:rPr>
              <w:t>3</w:t>
            </w:r>
          </w:p>
        </w:tc>
        <w:tc>
          <w:tcPr>
            <w:tcW w:w="7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40"/>
        </w:trPr>
        <w:tc>
          <w:tcPr>
            <w:tcW w:w="3180" w:type="dxa"/>
            <w:vAlign w:val="bottom"/>
          </w:tcPr>
          <w:p>
            <w:pPr>
              <w:ind w:left="380"/>
              <w:spacing w:after="0" w:line="241" w:lineRule="exact"/>
              <w:rPr>
                <w:sz w:val="20"/>
                <w:szCs w:val="20"/>
                <w:color w:val="auto"/>
              </w:rPr>
            </w:pPr>
            <w:r>
              <w:rPr>
                <w:rFonts w:ascii="Times New Roman" w:cs="Times New Roman" w:eastAsia="Times New Roman" w:hAnsi="Times New Roman"/>
                <w:sz w:val="16"/>
                <w:szCs w:val="16"/>
                <w:color w:val="auto"/>
              </w:rPr>
              <w:t xml:space="preserve">Infrastructure &amp; Renewable Energy </w:t>
            </w:r>
            <w:r>
              <w:rPr>
                <w:rFonts w:ascii="Times New Roman" w:cs="Times New Roman" w:eastAsia="Times New Roman" w:hAnsi="Times New Roman"/>
                <w:sz w:val="21"/>
                <w:szCs w:val="21"/>
                <w:color w:val="auto"/>
                <w:vertAlign w:val="superscript"/>
              </w:rPr>
              <w:t>4</w:t>
            </w:r>
          </w:p>
        </w:tc>
        <w:tc>
          <w:tcPr>
            <w:tcW w:w="7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0"/>
        </w:trPr>
        <w:tc>
          <w:tcPr>
            <w:tcW w:w="3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International Energy (CIEP)</w:t>
            </w:r>
          </w:p>
        </w:tc>
        <w:tc>
          <w:tcPr>
            <w:tcW w:w="7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bl>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30"/>
        </w:trPr>
        <w:tc>
          <w:tcPr>
            <w:tcW w:w="3580" w:type="dxa"/>
            <w:vAlign w:val="bottom"/>
            <w:tcBorders>
              <w:top w:val="single" w:sz="8" w:color="072533"/>
              <w:left w:val="single" w:sz="8" w:color="072533"/>
            </w:tcBorders>
            <w:shd w:val="clear" w:color="auto" w:fill="0A364A"/>
          </w:tcPr>
          <w:p>
            <w:pPr>
              <w:ind w:left="40"/>
              <w:spacing w:after="0"/>
              <w:rPr>
                <w:sz w:val="20"/>
                <w:szCs w:val="20"/>
                <w:color w:val="auto"/>
              </w:rPr>
            </w:pPr>
            <w:r>
              <w:rPr>
                <w:rFonts w:ascii="Times New Roman" w:cs="Times New Roman" w:eastAsia="Times New Roman" w:hAnsi="Times New Roman"/>
                <w:sz w:val="16"/>
                <w:szCs w:val="16"/>
                <w:b w:val="1"/>
                <w:bCs w:val="1"/>
                <w:color w:val="FFFFFF"/>
              </w:rPr>
              <w:t>Global Credit</w:t>
            </w:r>
          </w:p>
        </w:tc>
        <w:tc>
          <w:tcPr>
            <w:tcW w:w="360" w:type="dxa"/>
            <w:vAlign w:val="bottom"/>
            <w:tcBorders>
              <w:top w:val="single" w:sz="8" w:color="072533"/>
            </w:tcBorders>
            <w:shd w:val="clear" w:color="auto" w:fill="0A364A"/>
          </w:tcPr>
          <w:p>
            <w:pPr>
              <w:jc w:val="right"/>
              <w:ind w:right="139"/>
              <w:spacing w:after="0"/>
              <w:rPr>
                <w:sz w:val="20"/>
                <w:szCs w:val="20"/>
                <w:color w:val="auto"/>
              </w:rPr>
            </w:pPr>
            <w:r>
              <w:rPr>
                <w:rFonts w:ascii="Times New Roman" w:cs="Times New Roman" w:eastAsia="Times New Roman" w:hAnsi="Times New Roman"/>
                <w:sz w:val="16"/>
                <w:szCs w:val="16"/>
                <w:b w:val="1"/>
                <w:bCs w:val="1"/>
                <w:color w:val="FFFFFF"/>
              </w:rPr>
              <w:t>$</w:t>
            </w:r>
          </w:p>
        </w:tc>
        <w:tc>
          <w:tcPr>
            <w:tcW w:w="680" w:type="dxa"/>
            <w:vAlign w:val="bottom"/>
            <w:tcBorders>
              <w:top w:val="single" w:sz="8" w:color="072533"/>
              <w:right w:val="single" w:sz="8" w:color="072533"/>
            </w:tcBorders>
            <w:shd w:val="clear" w:color="auto" w:fill="0A364A"/>
          </w:tcPr>
          <w:p>
            <w:pPr>
              <w:jc w:val="right"/>
              <w:spacing w:after="0"/>
              <w:rPr>
                <w:sz w:val="20"/>
                <w:szCs w:val="20"/>
                <w:color w:val="auto"/>
              </w:rPr>
            </w:pPr>
            <w:r>
              <w:rPr>
                <w:rFonts w:ascii="Times New Roman" w:cs="Times New Roman" w:eastAsia="Times New Roman" w:hAnsi="Times New Roman"/>
                <w:sz w:val="16"/>
                <w:szCs w:val="16"/>
                <w:b w:val="1"/>
                <w:bCs w:val="1"/>
                <w:color w:val="FFFFFF"/>
              </w:rPr>
              <w:t>186.4</w:t>
            </w:r>
          </w:p>
        </w:tc>
      </w:tr>
      <w:tr>
        <w:trPr>
          <w:trHeight w:val="230"/>
        </w:trPr>
        <w:tc>
          <w:tcPr>
            <w:tcW w:w="3580" w:type="dxa"/>
            <w:vAlign w:val="bottom"/>
            <w:tcBorders>
              <w:left w:val="single" w:sz="8" w:color="072533"/>
            </w:tcBorders>
            <w:shd w:val="clear" w:color="auto" w:fill="EAEAEA"/>
          </w:tcPr>
          <w:p>
            <w:pPr>
              <w:ind w:left="160"/>
              <w:spacing w:after="0" w:line="230" w:lineRule="exact"/>
              <w:rPr>
                <w:sz w:val="20"/>
                <w:szCs w:val="20"/>
                <w:color w:val="auto"/>
              </w:rPr>
            </w:pPr>
            <w:r>
              <w:rPr>
                <w:rFonts w:ascii="Times New Roman" w:cs="Times New Roman" w:eastAsia="Times New Roman" w:hAnsi="Times New Roman"/>
                <w:sz w:val="16"/>
                <w:szCs w:val="16"/>
                <w:b w:val="1"/>
                <w:bCs w:val="1"/>
                <w:color w:val="auto"/>
              </w:rPr>
              <w:t xml:space="preserve">Insurance </w:t>
            </w:r>
            <w:r>
              <w:rPr>
                <w:rFonts w:ascii="Times New Roman" w:cs="Times New Roman" w:eastAsia="Times New Roman" w:hAnsi="Times New Roman"/>
                <w:sz w:val="21"/>
                <w:szCs w:val="21"/>
                <w:b w:val="1"/>
                <w:bCs w:val="1"/>
                <w:color w:val="auto"/>
                <w:vertAlign w:val="superscript"/>
              </w:rPr>
              <w:t>5</w:t>
            </w:r>
          </w:p>
        </w:tc>
        <w:tc>
          <w:tcPr>
            <w:tcW w:w="360" w:type="dxa"/>
            <w:vAlign w:val="bottom"/>
            <w:shd w:val="clear" w:color="auto" w:fill="EAEAEA"/>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right w:val="single" w:sz="8" w:color="072533"/>
            </w:tcBorders>
            <w:shd w:val="clear" w:color="auto" w:fill="EAEAEA"/>
          </w:tcPr>
          <w:p>
            <w:pPr>
              <w:jc w:val="right"/>
              <w:spacing w:after="0"/>
              <w:rPr>
                <w:sz w:val="20"/>
                <w:szCs w:val="20"/>
                <w:color w:val="auto"/>
              </w:rPr>
            </w:pPr>
            <w:r>
              <w:rPr>
                <w:rFonts w:ascii="Times New Roman" w:cs="Times New Roman" w:eastAsia="Times New Roman" w:hAnsi="Times New Roman"/>
                <w:sz w:val="16"/>
                <w:szCs w:val="16"/>
                <w:b w:val="1"/>
                <w:bCs w:val="1"/>
                <w:color w:val="auto"/>
              </w:rPr>
              <w:t>79.1</w:t>
            </w:r>
          </w:p>
        </w:tc>
      </w:tr>
      <w:tr>
        <w:trPr>
          <w:trHeight w:val="230"/>
        </w:trPr>
        <w:tc>
          <w:tcPr>
            <w:tcW w:w="3580" w:type="dxa"/>
            <w:vAlign w:val="bottom"/>
            <w:tcBorders>
              <w:left w:val="single" w:sz="8" w:color="072533"/>
            </w:tcBorders>
            <w:shd w:val="clear" w:color="auto" w:fill="EAEAEA"/>
          </w:tcPr>
          <w:p>
            <w:pPr>
              <w:ind w:left="160"/>
              <w:spacing w:after="0"/>
              <w:rPr>
                <w:sz w:val="20"/>
                <w:szCs w:val="20"/>
                <w:color w:val="auto"/>
              </w:rPr>
            </w:pPr>
            <w:r>
              <w:rPr>
                <w:rFonts w:ascii="Times New Roman" w:cs="Times New Roman" w:eastAsia="Times New Roman" w:hAnsi="Times New Roman"/>
                <w:sz w:val="16"/>
                <w:szCs w:val="16"/>
                <w:b w:val="1"/>
                <w:bCs w:val="1"/>
                <w:color w:val="auto"/>
              </w:rPr>
              <w:t>Liquid Credit</w:t>
            </w:r>
          </w:p>
        </w:tc>
        <w:tc>
          <w:tcPr>
            <w:tcW w:w="360" w:type="dxa"/>
            <w:vAlign w:val="bottom"/>
            <w:shd w:val="clear" w:color="auto" w:fill="EAEAEA"/>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right w:val="single" w:sz="8" w:color="072533"/>
            </w:tcBorders>
            <w:shd w:val="clear" w:color="auto" w:fill="EAEAEA"/>
          </w:tcPr>
          <w:p>
            <w:pPr>
              <w:jc w:val="right"/>
              <w:spacing w:after="0"/>
              <w:rPr>
                <w:sz w:val="20"/>
                <w:szCs w:val="20"/>
                <w:color w:val="auto"/>
              </w:rPr>
            </w:pPr>
            <w:r>
              <w:rPr>
                <w:rFonts w:ascii="Times New Roman" w:cs="Times New Roman" w:eastAsia="Times New Roman" w:hAnsi="Times New Roman"/>
                <w:sz w:val="16"/>
                <w:szCs w:val="16"/>
                <w:b w:val="1"/>
                <w:bCs w:val="1"/>
                <w:color w:val="auto"/>
              </w:rPr>
              <w:t>51.3</w:t>
            </w:r>
          </w:p>
        </w:tc>
      </w:tr>
      <w:tr>
        <w:trPr>
          <w:trHeight w:val="237"/>
        </w:trPr>
        <w:tc>
          <w:tcPr>
            <w:tcW w:w="3580" w:type="dxa"/>
            <w:vAlign w:val="bottom"/>
            <w:tcBorders>
              <w:left w:val="single" w:sz="8" w:color="072533"/>
            </w:tcBorders>
          </w:tcPr>
          <w:p>
            <w:pPr>
              <w:ind w:left="360"/>
              <w:spacing w:after="0"/>
              <w:rPr>
                <w:sz w:val="20"/>
                <w:szCs w:val="20"/>
                <w:color w:val="auto"/>
              </w:rPr>
            </w:pPr>
            <w:r>
              <w:rPr>
                <w:rFonts w:ascii="Times New Roman" w:cs="Times New Roman" w:eastAsia="Times New Roman" w:hAnsi="Times New Roman"/>
                <w:sz w:val="16"/>
                <w:szCs w:val="16"/>
                <w:color w:val="auto"/>
              </w:rPr>
              <w:t>U.S. CLOs</w:t>
            </w:r>
          </w:p>
        </w:tc>
        <w:tc>
          <w:tcPr>
            <w:tcW w:w="360" w:type="dxa"/>
            <w:vAlign w:val="bottom"/>
          </w:tcPr>
          <w:p>
            <w:pPr>
              <w:spacing w:after="0"/>
              <w:rPr>
                <w:sz w:val="20"/>
                <w:szCs w:val="20"/>
                <w:color w:val="auto"/>
              </w:rPr>
            </w:pPr>
          </w:p>
        </w:tc>
        <w:tc>
          <w:tcPr>
            <w:tcW w:w="680" w:type="dxa"/>
            <w:vAlign w:val="bottom"/>
            <w:tcBorders>
              <w:right w:val="single" w:sz="8" w:color="072533"/>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30"/>
        </w:trPr>
        <w:tc>
          <w:tcPr>
            <w:tcW w:w="3580" w:type="dxa"/>
            <w:vAlign w:val="bottom"/>
            <w:tcBorders>
              <w:left w:val="single" w:sz="8" w:color="072533"/>
            </w:tcBorders>
          </w:tcPr>
          <w:p>
            <w:pPr>
              <w:ind w:left="360"/>
              <w:spacing w:after="0"/>
              <w:rPr>
                <w:sz w:val="20"/>
                <w:szCs w:val="20"/>
                <w:color w:val="auto"/>
              </w:rPr>
            </w:pPr>
            <w:r>
              <w:rPr>
                <w:rFonts w:ascii="Times New Roman" w:cs="Times New Roman" w:eastAsia="Times New Roman" w:hAnsi="Times New Roman"/>
                <w:sz w:val="16"/>
                <w:szCs w:val="16"/>
                <w:color w:val="auto"/>
              </w:rPr>
              <w:t>Europe CLOs</w:t>
            </w:r>
          </w:p>
        </w:tc>
        <w:tc>
          <w:tcPr>
            <w:tcW w:w="360" w:type="dxa"/>
            <w:vAlign w:val="bottom"/>
          </w:tcPr>
          <w:p>
            <w:pPr>
              <w:spacing w:after="0"/>
              <w:rPr>
                <w:sz w:val="19"/>
                <w:szCs w:val="19"/>
                <w:color w:val="auto"/>
              </w:rPr>
            </w:pPr>
          </w:p>
        </w:tc>
        <w:tc>
          <w:tcPr>
            <w:tcW w:w="680" w:type="dxa"/>
            <w:vAlign w:val="bottom"/>
            <w:tcBorders>
              <w:right w:val="single" w:sz="8" w:color="072533"/>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30"/>
        </w:trPr>
        <w:tc>
          <w:tcPr>
            <w:tcW w:w="3580" w:type="dxa"/>
            <w:vAlign w:val="bottom"/>
            <w:tcBorders>
              <w:left w:val="single" w:sz="8" w:color="072533"/>
            </w:tcBorders>
          </w:tcPr>
          <w:p>
            <w:pPr>
              <w:ind w:left="360"/>
              <w:spacing w:after="0"/>
              <w:rPr>
                <w:sz w:val="20"/>
                <w:szCs w:val="20"/>
                <w:color w:val="auto"/>
              </w:rPr>
            </w:pPr>
            <w:r>
              <w:rPr>
                <w:rFonts w:ascii="Times New Roman" w:cs="Times New Roman" w:eastAsia="Times New Roman" w:hAnsi="Times New Roman"/>
                <w:sz w:val="16"/>
                <w:szCs w:val="16"/>
                <w:color w:val="auto"/>
              </w:rPr>
              <w:t>Revolving Credit</w:t>
            </w:r>
          </w:p>
        </w:tc>
        <w:tc>
          <w:tcPr>
            <w:tcW w:w="360" w:type="dxa"/>
            <w:vAlign w:val="bottom"/>
          </w:tcPr>
          <w:p>
            <w:pPr>
              <w:spacing w:after="0"/>
              <w:rPr>
                <w:sz w:val="19"/>
                <w:szCs w:val="19"/>
                <w:color w:val="auto"/>
              </w:rPr>
            </w:pPr>
          </w:p>
        </w:tc>
        <w:tc>
          <w:tcPr>
            <w:tcW w:w="680" w:type="dxa"/>
            <w:vAlign w:val="bottom"/>
            <w:tcBorders>
              <w:right w:val="single" w:sz="8" w:color="072533"/>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22"/>
        </w:trPr>
        <w:tc>
          <w:tcPr>
            <w:tcW w:w="3580" w:type="dxa"/>
            <w:vAlign w:val="bottom"/>
            <w:tcBorders>
              <w:left w:val="single" w:sz="8" w:color="072533"/>
            </w:tcBorders>
          </w:tcPr>
          <w:p>
            <w:pPr>
              <w:ind w:left="360"/>
              <w:spacing w:after="0"/>
              <w:rPr>
                <w:sz w:val="20"/>
                <w:szCs w:val="20"/>
                <w:color w:val="auto"/>
              </w:rPr>
            </w:pPr>
            <w:r>
              <w:rPr>
                <w:rFonts w:ascii="Times New Roman" w:cs="Times New Roman" w:eastAsia="Times New Roman" w:hAnsi="Times New Roman"/>
                <w:sz w:val="16"/>
                <w:szCs w:val="16"/>
                <w:color w:val="auto"/>
              </w:rPr>
              <w:t>CLO Investment Products</w:t>
            </w:r>
          </w:p>
        </w:tc>
        <w:tc>
          <w:tcPr>
            <w:tcW w:w="360" w:type="dxa"/>
            <w:vAlign w:val="bottom"/>
          </w:tcPr>
          <w:p>
            <w:pPr>
              <w:spacing w:after="0"/>
              <w:rPr>
                <w:sz w:val="19"/>
                <w:szCs w:val="19"/>
                <w:color w:val="auto"/>
              </w:rPr>
            </w:pPr>
          </w:p>
        </w:tc>
        <w:tc>
          <w:tcPr>
            <w:tcW w:w="680" w:type="dxa"/>
            <w:vAlign w:val="bottom"/>
            <w:tcBorders>
              <w:right w:val="single" w:sz="8" w:color="072533"/>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29"/>
        </w:trPr>
        <w:tc>
          <w:tcPr>
            <w:tcW w:w="3580" w:type="dxa"/>
            <w:vAlign w:val="bottom"/>
            <w:tcBorders>
              <w:left w:val="single" w:sz="8" w:color="072533"/>
            </w:tcBorders>
            <w:shd w:val="clear" w:color="auto" w:fill="EAEAEA"/>
          </w:tcPr>
          <w:p>
            <w:pPr>
              <w:ind w:left="160"/>
              <w:spacing w:after="0"/>
              <w:rPr>
                <w:sz w:val="20"/>
                <w:szCs w:val="20"/>
                <w:color w:val="auto"/>
              </w:rPr>
            </w:pPr>
            <w:r>
              <w:rPr>
                <w:rFonts w:ascii="Times New Roman" w:cs="Times New Roman" w:eastAsia="Times New Roman" w:hAnsi="Times New Roman"/>
                <w:sz w:val="16"/>
                <w:szCs w:val="16"/>
                <w:b w:val="1"/>
                <w:bCs w:val="1"/>
                <w:color w:val="auto"/>
              </w:rPr>
              <w:t>Private Credit</w:t>
            </w:r>
          </w:p>
        </w:tc>
        <w:tc>
          <w:tcPr>
            <w:tcW w:w="360" w:type="dxa"/>
            <w:vAlign w:val="bottom"/>
            <w:shd w:val="clear" w:color="auto" w:fill="EAEAEA"/>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right w:val="single" w:sz="8" w:color="072533"/>
            </w:tcBorders>
            <w:shd w:val="clear" w:color="auto" w:fill="EAEAEA"/>
          </w:tcPr>
          <w:p>
            <w:pPr>
              <w:jc w:val="right"/>
              <w:spacing w:after="0"/>
              <w:rPr>
                <w:sz w:val="20"/>
                <w:szCs w:val="20"/>
                <w:color w:val="auto"/>
              </w:rPr>
            </w:pPr>
            <w:r>
              <w:rPr>
                <w:rFonts w:ascii="Times New Roman" w:cs="Times New Roman" w:eastAsia="Times New Roman" w:hAnsi="Times New Roman"/>
                <w:sz w:val="16"/>
                <w:szCs w:val="16"/>
                <w:b w:val="1"/>
                <w:bCs w:val="1"/>
                <w:color w:val="auto"/>
              </w:rPr>
              <w:t>25.8</w:t>
            </w:r>
          </w:p>
        </w:tc>
      </w:tr>
      <w:tr>
        <w:trPr>
          <w:trHeight w:val="237"/>
        </w:trPr>
        <w:tc>
          <w:tcPr>
            <w:tcW w:w="3580" w:type="dxa"/>
            <w:vAlign w:val="bottom"/>
            <w:tcBorders>
              <w:left w:val="single" w:sz="8" w:color="072533"/>
            </w:tcBorders>
          </w:tcPr>
          <w:p>
            <w:pPr>
              <w:ind w:left="360"/>
              <w:spacing w:after="0"/>
              <w:rPr>
                <w:sz w:val="20"/>
                <w:szCs w:val="20"/>
                <w:color w:val="auto"/>
              </w:rPr>
            </w:pPr>
            <w:r>
              <w:rPr>
                <w:rFonts w:ascii="Times New Roman" w:cs="Times New Roman" w:eastAsia="Times New Roman" w:hAnsi="Times New Roman"/>
                <w:sz w:val="16"/>
                <w:szCs w:val="16"/>
                <w:color w:val="auto"/>
              </w:rPr>
              <w:t>Opportunistic Credit (CCOF / CSP)</w:t>
            </w:r>
          </w:p>
        </w:tc>
        <w:tc>
          <w:tcPr>
            <w:tcW w:w="360" w:type="dxa"/>
            <w:vAlign w:val="bottom"/>
          </w:tcPr>
          <w:p>
            <w:pPr>
              <w:spacing w:after="0"/>
              <w:rPr>
                <w:sz w:val="20"/>
                <w:szCs w:val="20"/>
                <w:color w:val="auto"/>
              </w:rPr>
            </w:pPr>
          </w:p>
        </w:tc>
        <w:tc>
          <w:tcPr>
            <w:tcW w:w="680" w:type="dxa"/>
            <w:vAlign w:val="bottom"/>
            <w:tcBorders>
              <w:right w:val="single" w:sz="8" w:color="072533"/>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22"/>
        </w:trPr>
        <w:tc>
          <w:tcPr>
            <w:tcW w:w="3580" w:type="dxa"/>
            <w:vAlign w:val="bottom"/>
            <w:tcBorders>
              <w:left w:val="single" w:sz="8" w:color="072533"/>
            </w:tcBorders>
          </w:tcPr>
          <w:p>
            <w:pPr>
              <w:ind w:left="360"/>
              <w:spacing w:after="0" w:line="222" w:lineRule="exact"/>
              <w:rPr>
                <w:sz w:val="20"/>
                <w:szCs w:val="20"/>
                <w:color w:val="auto"/>
              </w:rPr>
            </w:pPr>
            <w:r>
              <w:rPr>
                <w:rFonts w:ascii="Times New Roman" w:cs="Times New Roman" w:eastAsia="Times New Roman" w:hAnsi="Times New Roman"/>
                <w:sz w:val="16"/>
                <w:szCs w:val="16"/>
                <w:color w:val="auto"/>
              </w:rPr>
              <w:t xml:space="preserve">Direct Lending </w:t>
            </w:r>
            <w:r>
              <w:rPr>
                <w:rFonts w:ascii="Times New Roman" w:cs="Times New Roman" w:eastAsia="Times New Roman" w:hAnsi="Times New Roman"/>
                <w:sz w:val="21"/>
                <w:szCs w:val="21"/>
                <w:color w:val="auto"/>
                <w:vertAlign w:val="superscript"/>
              </w:rPr>
              <w:t>6</w:t>
            </w:r>
          </w:p>
        </w:tc>
        <w:tc>
          <w:tcPr>
            <w:tcW w:w="360" w:type="dxa"/>
            <w:vAlign w:val="bottom"/>
          </w:tcPr>
          <w:p>
            <w:pPr>
              <w:spacing w:after="0"/>
              <w:rPr>
                <w:sz w:val="19"/>
                <w:szCs w:val="19"/>
                <w:color w:val="auto"/>
              </w:rPr>
            </w:pPr>
          </w:p>
        </w:tc>
        <w:tc>
          <w:tcPr>
            <w:tcW w:w="680" w:type="dxa"/>
            <w:vAlign w:val="bottom"/>
            <w:tcBorders>
              <w:right w:val="single" w:sz="8" w:color="072533"/>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30"/>
        </w:trPr>
        <w:tc>
          <w:tcPr>
            <w:tcW w:w="3580" w:type="dxa"/>
            <w:vAlign w:val="bottom"/>
            <w:tcBorders>
              <w:left w:val="single" w:sz="8" w:color="072533"/>
            </w:tcBorders>
            <w:shd w:val="clear" w:color="auto" w:fill="EAEAEA"/>
          </w:tcPr>
          <w:p>
            <w:pPr>
              <w:ind w:left="160"/>
              <w:spacing w:after="0"/>
              <w:rPr>
                <w:sz w:val="20"/>
                <w:szCs w:val="20"/>
                <w:color w:val="auto"/>
              </w:rPr>
            </w:pPr>
            <w:r>
              <w:rPr>
                <w:rFonts w:ascii="Times New Roman" w:cs="Times New Roman" w:eastAsia="Times New Roman" w:hAnsi="Times New Roman"/>
                <w:sz w:val="16"/>
                <w:szCs w:val="16"/>
                <w:b w:val="1"/>
                <w:bCs w:val="1"/>
                <w:color w:val="auto"/>
              </w:rPr>
              <w:t>Real Assets Credit</w:t>
            </w:r>
          </w:p>
        </w:tc>
        <w:tc>
          <w:tcPr>
            <w:tcW w:w="360" w:type="dxa"/>
            <w:vAlign w:val="bottom"/>
            <w:shd w:val="clear" w:color="auto" w:fill="EAEAEA"/>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right w:val="single" w:sz="8" w:color="072533"/>
            </w:tcBorders>
            <w:shd w:val="clear" w:color="auto" w:fill="EAEAEA"/>
          </w:tcPr>
          <w:p>
            <w:pPr>
              <w:jc w:val="right"/>
              <w:spacing w:after="0"/>
              <w:rPr>
                <w:sz w:val="20"/>
                <w:szCs w:val="20"/>
                <w:color w:val="auto"/>
              </w:rPr>
            </w:pPr>
            <w:r>
              <w:rPr>
                <w:rFonts w:ascii="Times New Roman" w:cs="Times New Roman" w:eastAsia="Times New Roman" w:hAnsi="Times New Roman"/>
                <w:sz w:val="16"/>
                <w:szCs w:val="16"/>
                <w:b w:val="1"/>
                <w:bCs w:val="1"/>
                <w:color w:val="auto"/>
              </w:rPr>
              <w:t>17.0</w:t>
            </w:r>
          </w:p>
        </w:tc>
      </w:tr>
      <w:tr>
        <w:trPr>
          <w:trHeight w:val="237"/>
        </w:trPr>
        <w:tc>
          <w:tcPr>
            <w:tcW w:w="3580" w:type="dxa"/>
            <w:vAlign w:val="bottom"/>
            <w:tcBorders>
              <w:left w:val="single" w:sz="8" w:color="072533"/>
            </w:tcBorders>
          </w:tcPr>
          <w:p>
            <w:pPr>
              <w:ind w:left="360"/>
              <w:spacing w:after="0"/>
              <w:rPr>
                <w:sz w:val="20"/>
                <w:szCs w:val="20"/>
                <w:color w:val="auto"/>
              </w:rPr>
            </w:pPr>
            <w:r>
              <w:rPr>
                <w:rFonts w:ascii="Times New Roman" w:cs="Times New Roman" w:eastAsia="Times New Roman" w:hAnsi="Times New Roman"/>
                <w:sz w:val="16"/>
                <w:szCs w:val="16"/>
                <w:color w:val="auto"/>
              </w:rPr>
              <w:t>Aviation (SASOF / CALF)</w:t>
            </w:r>
          </w:p>
        </w:tc>
        <w:tc>
          <w:tcPr>
            <w:tcW w:w="360" w:type="dxa"/>
            <w:vAlign w:val="bottom"/>
          </w:tcPr>
          <w:p>
            <w:pPr>
              <w:spacing w:after="0"/>
              <w:rPr>
                <w:sz w:val="20"/>
                <w:szCs w:val="20"/>
                <w:color w:val="auto"/>
              </w:rPr>
            </w:pPr>
          </w:p>
        </w:tc>
        <w:tc>
          <w:tcPr>
            <w:tcW w:w="680" w:type="dxa"/>
            <w:vAlign w:val="bottom"/>
            <w:tcBorders>
              <w:right w:val="single" w:sz="8" w:color="072533"/>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30"/>
        </w:trPr>
        <w:tc>
          <w:tcPr>
            <w:tcW w:w="3580" w:type="dxa"/>
            <w:vAlign w:val="bottom"/>
            <w:tcBorders>
              <w:left w:val="single" w:sz="8" w:color="072533"/>
            </w:tcBorders>
          </w:tcPr>
          <w:p>
            <w:pPr>
              <w:ind w:left="360"/>
              <w:spacing w:after="0"/>
              <w:rPr>
                <w:sz w:val="20"/>
                <w:szCs w:val="20"/>
                <w:color w:val="auto"/>
              </w:rPr>
            </w:pPr>
            <w:r>
              <w:rPr>
                <w:rFonts w:ascii="Times New Roman" w:cs="Times New Roman" w:eastAsia="Times New Roman" w:hAnsi="Times New Roman"/>
                <w:sz w:val="16"/>
                <w:szCs w:val="16"/>
                <w:color w:val="auto"/>
              </w:rPr>
              <w:t>Infrastructure (CICF)</w:t>
            </w:r>
          </w:p>
        </w:tc>
        <w:tc>
          <w:tcPr>
            <w:tcW w:w="360" w:type="dxa"/>
            <w:vAlign w:val="bottom"/>
          </w:tcPr>
          <w:p>
            <w:pPr>
              <w:spacing w:after="0"/>
              <w:rPr>
                <w:sz w:val="19"/>
                <w:szCs w:val="19"/>
                <w:color w:val="auto"/>
              </w:rPr>
            </w:pPr>
          </w:p>
        </w:tc>
        <w:tc>
          <w:tcPr>
            <w:tcW w:w="680" w:type="dxa"/>
            <w:vAlign w:val="bottom"/>
            <w:tcBorders>
              <w:right w:val="single" w:sz="8" w:color="072533"/>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22"/>
        </w:trPr>
        <w:tc>
          <w:tcPr>
            <w:tcW w:w="3580" w:type="dxa"/>
            <w:vAlign w:val="bottom"/>
            <w:tcBorders>
              <w:left w:val="single" w:sz="8" w:color="072533"/>
            </w:tcBorders>
          </w:tcPr>
          <w:p>
            <w:pPr>
              <w:ind w:left="360"/>
              <w:spacing w:after="0" w:line="222"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7</w:t>
            </w:r>
          </w:p>
        </w:tc>
        <w:tc>
          <w:tcPr>
            <w:tcW w:w="360" w:type="dxa"/>
            <w:vAlign w:val="bottom"/>
          </w:tcPr>
          <w:p>
            <w:pPr>
              <w:spacing w:after="0"/>
              <w:rPr>
                <w:sz w:val="19"/>
                <w:szCs w:val="19"/>
                <w:color w:val="auto"/>
              </w:rPr>
            </w:pPr>
          </w:p>
        </w:tc>
        <w:tc>
          <w:tcPr>
            <w:tcW w:w="680" w:type="dxa"/>
            <w:vAlign w:val="bottom"/>
            <w:tcBorders>
              <w:right w:val="single" w:sz="8" w:color="072533"/>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29"/>
        </w:trPr>
        <w:tc>
          <w:tcPr>
            <w:tcW w:w="3580" w:type="dxa"/>
            <w:vAlign w:val="bottom"/>
            <w:tcBorders>
              <w:left w:val="single" w:sz="8" w:color="072533"/>
            </w:tcBorders>
            <w:shd w:val="clear" w:color="auto" w:fill="EAEAEA"/>
          </w:tcPr>
          <w:p>
            <w:pPr>
              <w:ind w:left="160"/>
              <w:spacing w:after="0"/>
              <w:rPr>
                <w:sz w:val="20"/>
                <w:szCs w:val="20"/>
                <w:color w:val="auto"/>
              </w:rPr>
            </w:pPr>
            <w:r>
              <w:rPr>
                <w:rFonts w:ascii="Times New Roman" w:cs="Times New Roman" w:eastAsia="Times New Roman" w:hAnsi="Times New Roman"/>
                <w:sz w:val="16"/>
                <w:szCs w:val="16"/>
                <w:b w:val="1"/>
                <w:bCs w:val="1"/>
                <w:color w:val="auto"/>
              </w:rPr>
              <w:t>Platform Initiatives</w:t>
            </w:r>
          </w:p>
        </w:tc>
        <w:tc>
          <w:tcPr>
            <w:tcW w:w="360" w:type="dxa"/>
            <w:vAlign w:val="bottom"/>
            <w:shd w:val="clear" w:color="auto" w:fill="EAEAEA"/>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right w:val="single" w:sz="8" w:color="072533"/>
            </w:tcBorders>
            <w:shd w:val="clear" w:color="auto" w:fill="EAEAEA"/>
          </w:tcPr>
          <w:p>
            <w:pPr>
              <w:jc w:val="right"/>
              <w:spacing w:after="0"/>
              <w:rPr>
                <w:sz w:val="20"/>
                <w:szCs w:val="20"/>
                <w:color w:val="auto"/>
              </w:rPr>
            </w:pPr>
            <w:r>
              <w:rPr>
                <w:rFonts w:ascii="Times New Roman" w:cs="Times New Roman" w:eastAsia="Times New Roman" w:hAnsi="Times New Roman"/>
                <w:sz w:val="16"/>
                <w:szCs w:val="16"/>
                <w:b w:val="1"/>
                <w:bCs w:val="1"/>
                <w:color w:val="auto"/>
              </w:rPr>
              <w:t>13.1</w:t>
            </w:r>
          </w:p>
        </w:tc>
      </w:tr>
      <w:tr>
        <w:trPr>
          <w:trHeight w:val="237"/>
        </w:trPr>
        <w:tc>
          <w:tcPr>
            <w:tcW w:w="3580" w:type="dxa"/>
            <w:vAlign w:val="bottom"/>
            <w:tcBorders>
              <w:left w:val="single" w:sz="8" w:color="072533"/>
            </w:tcBorders>
          </w:tcPr>
          <w:p>
            <w:pPr>
              <w:ind w:left="360"/>
              <w:spacing w:after="0"/>
              <w:rPr>
                <w:sz w:val="20"/>
                <w:szCs w:val="20"/>
                <w:color w:val="auto"/>
              </w:rPr>
            </w:pPr>
            <w:r>
              <w:rPr>
                <w:rFonts w:ascii="Times New Roman" w:cs="Times New Roman" w:eastAsia="Times New Roman" w:hAnsi="Times New Roman"/>
                <w:sz w:val="16"/>
                <w:szCs w:val="16"/>
                <w:color w:val="auto"/>
              </w:rPr>
              <w:t>Credit Strategic Solutions</w:t>
            </w:r>
          </w:p>
        </w:tc>
        <w:tc>
          <w:tcPr>
            <w:tcW w:w="360" w:type="dxa"/>
            <w:vAlign w:val="bottom"/>
          </w:tcPr>
          <w:p>
            <w:pPr>
              <w:spacing w:after="0"/>
              <w:rPr>
                <w:sz w:val="20"/>
                <w:szCs w:val="20"/>
                <w:color w:val="auto"/>
              </w:rPr>
            </w:pPr>
          </w:p>
        </w:tc>
        <w:tc>
          <w:tcPr>
            <w:tcW w:w="680" w:type="dxa"/>
            <w:vAlign w:val="bottom"/>
            <w:tcBorders>
              <w:right w:val="single" w:sz="8" w:color="072533"/>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30"/>
        </w:trPr>
        <w:tc>
          <w:tcPr>
            <w:tcW w:w="3580" w:type="dxa"/>
            <w:vAlign w:val="bottom"/>
            <w:tcBorders>
              <w:left w:val="single" w:sz="8" w:color="072533"/>
            </w:tcBorders>
          </w:tcPr>
          <w:p>
            <w:pPr>
              <w:ind w:left="360"/>
              <w:spacing w:after="0"/>
              <w:rPr>
                <w:sz w:val="20"/>
                <w:szCs w:val="20"/>
                <w:color w:val="auto"/>
              </w:rPr>
            </w:pPr>
            <w:r>
              <w:rPr>
                <w:rFonts w:ascii="Times New Roman" w:cs="Times New Roman" w:eastAsia="Times New Roman" w:hAnsi="Times New Roman"/>
                <w:sz w:val="16"/>
                <w:szCs w:val="16"/>
                <w:color w:val="auto"/>
              </w:rPr>
              <w:t>Carlyle Tactical Private Credit (CTAC)</w:t>
            </w:r>
          </w:p>
        </w:tc>
        <w:tc>
          <w:tcPr>
            <w:tcW w:w="360" w:type="dxa"/>
            <w:vAlign w:val="bottom"/>
          </w:tcPr>
          <w:p>
            <w:pPr>
              <w:spacing w:after="0"/>
              <w:rPr>
                <w:sz w:val="19"/>
                <w:szCs w:val="19"/>
                <w:color w:val="auto"/>
              </w:rPr>
            </w:pPr>
          </w:p>
        </w:tc>
        <w:tc>
          <w:tcPr>
            <w:tcW w:w="680" w:type="dxa"/>
            <w:vAlign w:val="bottom"/>
            <w:tcBorders>
              <w:right w:val="single" w:sz="8" w:color="072533"/>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22"/>
        </w:trPr>
        <w:tc>
          <w:tcPr>
            <w:tcW w:w="3580" w:type="dxa"/>
            <w:vAlign w:val="bottom"/>
            <w:tcBorders>
              <w:left w:val="single" w:sz="8" w:color="072533"/>
              <w:bottom w:val="single" w:sz="8" w:color="072533"/>
            </w:tcBorders>
          </w:tcPr>
          <w:p>
            <w:pPr>
              <w:ind w:left="360"/>
              <w:spacing w:after="0"/>
              <w:rPr>
                <w:sz w:val="20"/>
                <w:szCs w:val="20"/>
                <w:color w:val="auto"/>
              </w:rPr>
            </w:pPr>
            <w:r>
              <w:rPr>
                <w:rFonts w:ascii="Times New Roman" w:cs="Times New Roman" w:eastAsia="Times New Roman" w:hAnsi="Times New Roman"/>
                <w:sz w:val="16"/>
                <w:szCs w:val="16"/>
                <w:color w:val="auto"/>
              </w:rPr>
              <w:t>Other Cross-Platform Credit Products</w:t>
            </w:r>
          </w:p>
        </w:tc>
        <w:tc>
          <w:tcPr>
            <w:tcW w:w="360" w:type="dxa"/>
            <w:vAlign w:val="bottom"/>
            <w:tcBorders>
              <w:bottom w:val="single" w:sz="8" w:color="072533"/>
            </w:tcBorders>
          </w:tcPr>
          <w:p>
            <w:pPr>
              <w:spacing w:after="0"/>
              <w:rPr>
                <w:sz w:val="19"/>
                <w:szCs w:val="19"/>
                <w:color w:val="auto"/>
              </w:rPr>
            </w:pPr>
          </w:p>
        </w:tc>
        <w:tc>
          <w:tcPr>
            <w:tcW w:w="680" w:type="dxa"/>
            <w:vAlign w:val="bottom"/>
            <w:tcBorders>
              <w:bottom w:val="single" w:sz="8" w:color="072533"/>
              <w:right w:val="single" w:sz="8" w:color="072533"/>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9"/>
        </w:trPr>
        <w:tc>
          <w:tcPr>
            <w:tcW w:w="3580" w:type="dxa"/>
            <w:vAlign w:val="bottom"/>
            <w:tcBorders>
              <w:left w:val="single" w:sz="8" w:color="61A1E0"/>
            </w:tcBorders>
            <w:shd w:val="clear" w:color="auto" w:fill="61A1E0"/>
          </w:tcPr>
          <w:p>
            <w:pPr>
              <w:ind w:left="40"/>
              <w:spacing w:after="0"/>
              <w:rPr>
                <w:sz w:val="20"/>
                <w:szCs w:val="20"/>
                <w:color w:val="auto"/>
              </w:rPr>
            </w:pPr>
            <w:r>
              <w:rPr>
                <w:rFonts w:ascii="Times New Roman" w:cs="Times New Roman" w:eastAsia="Times New Roman" w:hAnsi="Times New Roman"/>
                <w:sz w:val="16"/>
                <w:szCs w:val="16"/>
                <w:b w:val="1"/>
                <w:bCs w:val="1"/>
                <w:color w:val="FFFFFF"/>
              </w:rPr>
              <w:t>Global Investment Solutions</w:t>
            </w:r>
          </w:p>
        </w:tc>
        <w:tc>
          <w:tcPr>
            <w:tcW w:w="360" w:type="dxa"/>
            <w:vAlign w:val="bottom"/>
            <w:shd w:val="clear" w:color="auto" w:fill="61A1E0"/>
          </w:tcPr>
          <w:p>
            <w:pPr>
              <w:jc w:val="right"/>
              <w:ind w:right="139"/>
              <w:spacing w:after="0"/>
              <w:rPr>
                <w:sz w:val="20"/>
                <w:szCs w:val="20"/>
                <w:color w:val="auto"/>
              </w:rPr>
            </w:pPr>
            <w:r>
              <w:rPr>
                <w:rFonts w:ascii="Times New Roman" w:cs="Times New Roman" w:eastAsia="Times New Roman" w:hAnsi="Times New Roman"/>
                <w:sz w:val="16"/>
                <w:szCs w:val="16"/>
                <w:b w:val="1"/>
                <w:bCs w:val="1"/>
                <w:color w:val="FFFFFF"/>
              </w:rPr>
              <w:t>$</w:t>
            </w:r>
          </w:p>
        </w:tc>
        <w:tc>
          <w:tcPr>
            <w:tcW w:w="680" w:type="dxa"/>
            <w:vAlign w:val="bottom"/>
            <w:tcBorders>
              <w:right w:val="single" w:sz="8" w:color="61A1E0"/>
            </w:tcBorders>
            <w:shd w:val="clear" w:color="auto" w:fill="61A1E0"/>
          </w:tcPr>
          <w:p>
            <w:pPr>
              <w:jc w:val="right"/>
              <w:spacing w:after="0"/>
              <w:rPr>
                <w:sz w:val="20"/>
                <w:szCs w:val="20"/>
                <w:color w:val="auto"/>
              </w:rPr>
            </w:pPr>
            <w:r>
              <w:rPr>
                <w:rFonts w:ascii="Times New Roman" w:cs="Times New Roman" w:eastAsia="Times New Roman" w:hAnsi="Times New Roman"/>
                <w:sz w:val="16"/>
                <w:szCs w:val="16"/>
                <w:b w:val="1"/>
                <w:bCs w:val="1"/>
                <w:color w:val="FFFFFF"/>
              </w:rPr>
              <w:t>79.9</w:t>
            </w:r>
          </w:p>
        </w:tc>
      </w:tr>
      <w:tr>
        <w:trPr>
          <w:trHeight w:val="230"/>
        </w:trPr>
        <w:tc>
          <w:tcPr>
            <w:tcW w:w="3580" w:type="dxa"/>
            <w:vAlign w:val="bottom"/>
            <w:tcBorders>
              <w:left w:val="single" w:sz="8" w:color="61A1E0"/>
            </w:tcBorders>
            <w:shd w:val="clear" w:color="auto" w:fill="EAEAEA"/>
          </w:tcPr>
          <w:p>
            <w:pPr>
              <w:ind w:left="160"/>
              <w:spacing w:after="0"/>
              <w:rPr>
                <w:sz w:val="20"/>
                <w:szCs w:val="20"/>
                <w:color w:val="auto"/>
              </w:rPr>
            </w:pPr>
            <w:r>
              <w:rPr>
                <w:rFonts w:ascii="Times New Roman" w:cs="Times New Roman" w:eastAsia="Times New Roman" w:hAnsi="Times New Roman"/>
                <w:sz w:val="16"/>
                <w:szCs w:val="16"/>
                <w:b w:val="1"/>
                <w:bCs w:val="1"/>
                <w:color w:val="auto"/>
              </w:rPr>
              <w:t>Secondaries and Portfolio Finance (ASF / ASPF)</w:t>
            </w:r>
          </w:p>
        </w:tc>
        <w:tc>
          <w:tcPr>
            <w:tcW w:w="360" w:type="dxa"/>
            <w:vAlign w:val="bottom"/>
            <w:shd w:val="clear" w:color="auto" w:fill="EAEAEA"/>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right w:val="single" w:sz="8" w:color="61A1E0"/>
            </w:tcBorders>
            <w:shd w:val="clear" w:color="auto" w:fill="EAEAEA"/>
          </w:tcPr>
          <w:p>
            <w:pPr>
              <w:jc w:val="right"/>
              <w:spacing w:after="0"/>
              <w:rPr>
                <w:sz w:val="20"/>
                <w:szCs w:val="20"/>
                <w:color w:val="auto"/>
              </w:rPr>
            </w:pPr>
            <w:r>
              <w:rPr>
                <w:rFonts w:ascii="Times New Roman" w:cs="Times New Roman" w:eastAsia="Times New Roman" w:hAnsi="Times New Roman"/>
                <w:sz w:val="16"/>
                <w:szCs w:val="16"/>
                <w:b w:val="1"/>
                <w:bCs w:val="1"/>
                <w:color w:val="auto"/>
              </w:rPr>
              <w:t>33.1</w:t>
            </w:r>
          </w:p>
        </w:tc>
      </w:tr>
      <w:tr>
        <w:trPr>
          <w:trHeight w:val="237"/>
        </w:trPr>
        <w:tc>
          <w:tcPr>
            <w:tcW w:w="3580" w:type="dxa"/>
            <w:vAlign w:val="bottom"/>
            <w:tcBorders>
              <w:left w:val="single" w:sz="8" w:color="61A1E0"/>
            </w:tcBorders>
            <w:shd w:val="clear" w:color="auto" w:fill="EAEAEA"/>
          </w:tcPr>
          <w:p>
            <w:pPr>
              <w:ind w:left="160"/>
              <w:spacing w:after="0"/>
              <w:rPr>
                <w:sz w:val="20"/>
                <w:szCs w:val="20"/>
                <w:color w:val="auto"/>
              </w:rPr>
            </w:pPr>
            <w:r>
              <w:rPr>
                <w:rFonts w:ascii="Times New Roman" w:cs="Times New Roman" w:eastAsia="Times New Roman" w:hAnsi="Times New Roman"/>
                <w:sz w:val="16"/>
                <w:szCs w:val="16"/>
                <w:b w:val="1"/>
                <w:bCs w:val="1"/>
                <w:color w:val="auto"/>
              </w:rPr>
              <w:t>Co-Investments (ACF)</w:t>
            </w:r>
          </w:p>
        </w:tc>
        <w:tc>
          <w:tcPr>
            <w:tcW w:w="360" w:type="dxa"/>
            <w:vAlign w:val="bottom"/>
            <w:shd w:val="clear" w:color="auto" w:fill="EAEAEA"/>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right w:val="single" w:sz="8" w:color="61A1E0"/>
            </w:tcBorders>
            <w:shd w:val="clear" w:color="auto" w:fill="EAEAEA"/>
          </w:tcPr>
          <w:p>
            <w:pPr>
              <w:jc w:val="right"/>
              <w:spacing w:after="0"/>
              <w:rPr>
                <w:sz w:val="20"/>
                <w:szCs w:val="20"/>
                <w:color w:val="auto"/>
              </w:rPr>
            </w:pPr>
            <w:r>
              <w:rPr>
                <w:rFonts w:ascii="Times New Roman" w:cs="Times New Roman" w:eastAsia="Times New Roman" w:hAnsi="Times New Roman"/>
                <w:sz w:val="16"/>
                <w:szCs w:val="16"/>
                <w:b w:val="1"/>
                <w:bCs w:val="1"/>
                <w:color w:val="auto"/>
              </w:rPr>
              <w:t>21.4</w:t>
            </w:r>
          </w:p>
        </w:tc>
      </w:tr>
      <w:tr>
        <w:trPr>
          <w:trHeight w:val="222"/>
        </w:trPr>
        <w:tc>
          <w:tcPr>
            <w:tcW w:w="3580" w:type="dxa"/>
            <w:vAlign w:val="bottom"/>
            <w:tcBorders>
              <w:left w:val="single" w:sz="8" w:color="61A1E0"/>
              <w:bottom w:val="single" w:sz="8" w:color="61A1E0"/>
            </w:tcBorders>
            <w:shd w:val="clear" w:color="auto" w:fill="EAEAEA"/>
          </w:tcPr>
          <w:p>
            <w:pPr>
              <w:ind w:left="160"/>
              <w:spacing w:after="0" w:line="222" w:lineRule="exact"/>
              <w:rPr>
                <w:sz w:val="20"/>
                <w:szCs w:val="20"/>
                <w:color w:val="auto"/>
              </w:rPr>
            </w:pPr>
            <w:r>
              <w:rPr>
                <w:rFonts w:ascii="Times New Roman" w:cs="Times New Roman" w:eastAsia="Times New Roman" w:hAnsi="Times New Roman"/>
                <w:sz w:val="16"/>
                <w:szCs w:val="16"/>
                <w:b w:val="1"/>
                <w:bCs w:val="1"/>
                <w:color w:val="auto"/>
              </w:rPr>
              <w:t xml:space="preserve">Primary Investments &amp; Other </w:t>
            </w:r>
            <w:r>
              <w:rPr>
                <w:rFonts w:ascii="Times New Roman" w:cs="Times New Roman" w:eastAsia="Times New Roman" w:hAnsi="Times New Roman"/>
                <w:sz w:val="21"/>
                <w:szCs w:val="21"/>
                <w:b w:val="1"/>
                <w:bCs w:val="1"/>
                <w:color w:val="auto"/>
                <w:vertAlign w:val="superscript"/>
              </w:rPr>
              <w:t>8</w:t>
            </w:r>
          </w:p>
        </w:tc>
        <w:tc>
          <w:tcPr>
            <w:tcW w:w="360" w:type="dxa"/>
            <w:vAlign w:val="bottom"/>
            <w:tcBorders>
              <w:bottom w:val="single" w:sz="8" w:color="61A1E0"/>
            </w:tcBorders>
            <w:shd w:val="clear" w:color="auto" w:fill="EAEAEA"/>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61A1E0"/>
              <w:right w:val="single" w:sz="8" w:color="61A1E0"/>
            </w:tcBorders>
            <w:shd w:val="clear" w:color="auto" w:fill="EAEAEA"/>
          </w:tcPr>
          <w:p>
            <w:pPr>
              <w:jc w:val="right"/>
              <w:spacing w:after="0"/>
              <w:rPr>
                <w:sz w:val="20"/>
                <w:szCs w:val="20"/>
                <w:color w:val="auto"/>
              </w:rPr>
            </w:pPr>
            <w:r>
              <w:rPr>
                <w:rFonts w:ascii="Times New Roman" w:cs="Times New Roman" w:eastAsia="Times New Roman" w:hAnsi="Times New Roman"/>
                <w:sz w:val="16"/>
                <w:szCs w:val="16"/>
                <w:b w:val="1"/>
                <w:bCs w:val="1"/>
                <w:color w:val="auto"/>
              </w:rPr>
              <w:t>25.4</w:t>
            </w:r>
          </w:p>
        </w:tc>
      </w:tr>
    </w:tbl>
    <w:p>
      <w:pPr>
        <w:spacing w:after="0" w:line="121" w:lineRule="exact"/>
        <w:rPr>
          <w:sz w:val="20"/>
          <w:szCs w:val="20"/>
          <w:color w:val="auto"/>
        </w:rPr>
      </w:pPr>
    </w:p>
    <w:p>
      <w:pPr>
        <w:sectPr>
          <w:pgSz w:w="11900" w:h="16838" w:orient="portrait"/>
          <w:cols w:equalWidth="0" w:num="2">
            <w:col w:w="4540" w:space="100"/>
            <w:col w:w="4620"/>
          </w:cols>
          <w:pgMar w:left="1320" w:top="108" w:right="1319" w:bottom="0" w:gutter="0" w:footer="0" w:header="0"/>
          <w:type w:val="continuous"/>
        </w:sectPr>
      </w:pPr>
    </w:p>
    <w:p>
      <w:pPr>
        <w:ind w:right="40"/>
        <w:spacing w:after="0" w:line="272" w:lineRule="auto"/>
        <w:rPr>
          <w:sz w:val="20"/>
          <w:szCs w:val="20"/>
          <w:color w:val="auto"/>
        </w:rPr>
      </w:pPr>
      <w:r>
        <w:rPr>
          <w:rFonts w:ascii="Times New Roman" w:cs="Times New Roman" w:eastAsia="Times New Roman" w:hAnsi="Times New Roman"/>
          <w:sz w:val="16"/>
          <w:szCs w:val="16"/>
          <w:color w:val="auto"/>
        </w:rPr>
        <w:t>Note: All amounts shown represent total assets under management as of March 31, 2024, and totals may not sum due to rounding. In addition, certain carry funds included herein may not be included in fund performance if they have not made an initial capital call or commenced investment activity.</w:t>
      </w:r>
    </w:p>
    <w:p>
      <w:pPr>
        <w:spacing w:after="0" w:line="9" w:lineRule="exact"/>
        <w:rPr>
          <w:sz w:val="20"/>
          <w:szCs w:val="20"/>
          <w:color w:val="auto"/>
        </w:rPr>
      </w:pPr>
    </w:p>
    <w:p>
      <w:pPr>
        <w:ind w:left="260" w:right="400" w:hanging="253"/>
        <w:spacing w:after="0" w:line="267" w:lineRule="auto"/>
        <w:tabs>
          <w:tab w:leader="none" w:pos="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Private Equity also includes assets under management in funds which we jointly advise with Riverstone Holdings L.L.C. (the “Legacy Energy funds”). The impact of these funds is no longer significant to our results of operations.</w:t>
      </w:r>
    </w:p>
    <w:p>
      <w:pPr>
        <w:jc w:val="both"/>
        <w:ind w:left="260" w:right="200" w:hanging="253"/>
        <w:spacing w:after="0" w:line="248" w:lineRule="auto"/>
        <w:tabs>
          <w:tab w:leader="none" w:pos="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our Financial Services (CGFSP), Sub-Saharan Africa Buyout (CSSAF), South America Buyout (CSABF), Peru Buyout (CPF), MENA Buyout and Ireland Buyout (CICF) funds, as well as platform accounts which invest across Corporate Private Equity strategies.</w:t>
      </w:r>
    </w:p>
    <w:p>
      <w:pPr>
        <w:spacing w:after="0" w:line="1" w:lineRule="exact"/>
        <w:rPr>
          <w:rFonts w:ascii="Times New Roman" w:cs="Times New Roman" w:eastAsia="Times New Roman" w:hAnsi="Times New Roman"/>
          <w:sz w:val="16"/>
          <w:szCs w:val="16"/>
          <w:color w:val="auto"/>
        </w:rPr>
      </w:pPr>
    </w:p>
    <w:p>
      <w:pPr>
        <w:ind w:left="260" w:right="80" w:hanging="253"/>
        <w:spacing w:after="0" w:line="255" w:lineRule="auto"/>
        <w:tabs>
          <w:tab w:leader="none" w:pos="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NGP Energy funds are advised by NGP Energy Capital Management, LLC, a separately registered investment adviser. We do not serve as an investment adviser to those funds.</w:t>
      </w:r>
    </w:p>
    <w:p>
      <w:pPr>
        <w:ind w:left="260" w:hanging="253"/>
        <w:spacing w:after="0"/>
        <w:tabs>
          <w:tab w:leader="none" w:pos="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our Infrastructure (CGIOF), Renewable Energy (CRSEF) and Power funds (CPP / CPOCP).</w:t>
      </w:r>
    </w:p>
    <w:p>
      <w:pPr>
        <w:spacing w:after="0" w:line="15" w:lineRule="exact"/>
        <w:rPr>
          <w:rFonts w:ascii="Times New Roman" w:cs="Times New Roman" w:eastAsia="Times New Roman" w:hAnsi="Times New Roman"/>
          <w:sz w:val="16"/>
          <w:szCs w:val="16"/>
          <w:color w:val="auto"/>
        </w:rPr>
      </w:pPr>
    </w:p>
    <w:p>
      <w:pPr>
        <w:ind w:left="260" w:right="100" w:hanging="253"/>
        <w:spacing w:after="0" w:line="248" w:lineRule="auto"/>
        <w:tabs>
          <w:tab w:leader="none" w:pos="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Carlyle FRL, capital raised from strategic third-party investors which directly invest in Fortitude alongside Carlyle FRL, as well as the fair value of the general account assets covered by the strategic advisory services agreement with Fortitude.</w:t>
      </w:r>
    </w:p>
    <w:p>
      <w:pPr>
        <w:spacing w:after="0" w:line="1" w:lineRule="exact"/>
        <w:rPr>
          <w:rFonts w:ascii="Times New Roman" w:cs="Times New Roman" w:eastAsia="Times New Roman" w:hAnsi="Times New Roman"/>
          <w:sz w:val="16"/>
          <w:szCs w:val="16"/>
          <w:color w:val="auto"/>
        </w:rPr>
      </w:pPr>
    </w:p>
    <w:p>
      <w:pPr>
        <w:ind w:left="260" w:hanging="253"/>
        <w:spacing w:after="0"/>
        <w:tabs>
          <w:tab w:leader="none" w:pos="2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our business development companies (CSL / CARS) and our newly launched evergreen fund (CDLF).</w:t>
      </w:r>
    </w:p>
    <w:p>
      <w:pPr>
        <w:sectPr>
          <w:pgSz w:w="11900" w:h="16838" w:orient="portrait"/>
          <w:cols w:equalWidth="0" w:num="1">
            <w:col w:w="9260"/>
          </w:cols>
          <w:pgMar w:left="1320" w:top="108" w:right="1319" w:bottom="0" w:gutter="0" w:footer="0" w:header="0"/>
          <w:type w:val="continuous"/>
        </w:sectPr>
      </w:pPr>
    </w:p>
    <w:bookmarkStart w:id="58" w:name="page59"/>
    <w:bookmarkEnd w:id="58"/>
    <w:p>
      <w:pPr>
        <w:ind w:left="260" w:hanging="253"/>
        <w:spacing w:after="0" w:line="183" w:lineRule="auto"/>
        <w:tabs>
          <w:tab w:leader="none" w:pos="26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21"/>
          <w:szCs w:val="21"/>
          <w:color w:val="auto"/>
          <w:vertAlign w:val="subscript"/>
        </w:rPr>
        <w:t>Includes</w:t>
      </w:r>
      <w:r>
        <w:rPr>
          <w:rFonts w:ascii="Times New Roman" w:cs="Times New Roman" w:eastAsia="Times New Roman" w:hAnsi="Times New Roman"/>
          <w:sz w:val="12"/>
          <w:szCs w:val="12"/>
          <w:color w:val="auto"/>
        </w:rPr>
        <w:t xml:space="preserve"> our Energy Credit (CEMOF) and Real Estate Credit (CNLI) funds.</w:t>
      </w:r>
    </w:p>
    <w:p>
      <w:pPr>
        <w:ind w:left="840" w:hanging="833"/>
        <w:spacing w:after="0"/>
        <w:tabs>
          <w:tab w:leader="none" w:pos="8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Mezzanine funds and Carlyle AlpInvest Private Markets Fund (CAPM).</w:t>
      </w:r>
    </w:p>
    <w:p>
      <w:pPr>
        <w:spacing w:after="0" w:line="8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Trends Affecting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-330835</wp:posOffset>
            </wp:positionV>
            <wp:extent cx="7016115" cy="28479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16115" cy="2847975"/>
                    </a:xfrm>
                    <a:prstGeom prst="rect">
                      <a:avLst/>
                    </a:prstGeom>
                    <a:noFill/>
                  </pic:spPr>
                </pic:pic>
              </a:graphicData>
            </a:graphic>
          </wp:anchor>
        </w:drawing>
      </w:r>
    </w:p>
    <w:p>
      <w:pPr>
        <w:spacing w:after="0" w:line="101" w:lineRule="exact"/>
        <w:rPr>
          <w:sz w:val="20"/>
          <w:szCs w:val="20"/>
          <w:color w:val="auto"/>
        </w:rPr>
      </w:pPr>
    </w:p>
    <w:p>
      <w:pPr>
        <w:ind w:firstLine="445"/>
        <w:spacing w:after="0" w:line="268" w:lineRule="auto"/>
        <w:rPr>
          <w:sz w:val="20"/>
          <w:szCs w:val="20"/>
          <w:color w:val="auto"/>
        </w:rPr>
      </w:pPr>
      <w:r>
        <w:rPr>
          <w:rFonts w:ascii="Times New Roman" w:cs="Times New Roman" w:eastAsia="Times New Roman" w:hAnsi="Times New Roman"/>
          <w:sz w:val="17"/>
          <w:szCs w:val="17"/>
          <w:color w:val="auto"/>
        </w:rPr>
        <w:t>The global economy showcased resilience in the first quarter of 2024, notwithstanding geopolitical tensions and persistently high interest rates. The U.S. economy maintained momentum, euro area growth was stable despite ongoing challenges in energy-intensive industrials and Germany, China’s economy expanded robustly despite uneven underlying growth across sectors, and both India and Korea experienced accelerated economic activity and consumption. U.S. GDP expanded at a 1.6% annualized rate in the first quarter of 2024; however, this decelerated pace was largely due to declines in net exports and inventory investment. Underlying domestic demand remained robust, as evidenced by 3.1% annual growth in real final sales to private domestic purchasers. This growth was driven by robust consumer spending, large corporate technology budgets (software, data analytics, artificial intelligence (AI), storage, and other digital services), and an ongoing and unprecedented rise in industrial facilities investment. Our services (experiences) index ended the quarter at its highest ever levels as demand for air travel, hotel stays, live events, and off-premises dining continued to surge. Higher interest rates make it more difficult to finance “big ticket” purchases, most notably homes, as well as durable goods like autos, appliances, and renovations. Household debt service ratios remain low, however, with fixed-rate mortgages saving households over $450 billion annually (equal to over 2% of total consumption) relative to if these loans were repriced at market rates. This “hedge” allows consumption to grow with compensation (approximately 4% annually) and naturally biases spending toward entertainment services that do not need to be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75857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16115" cy="758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financed. Core and headline inflation finished the quarter up 3.5% and 3.8%, respectively, from a year earlier, continuing to be driven by services costs. At the November 1st Federal Open Market Committee Meeting, the Federal Reserve signaled that it was likely at the end of its tightening cycle, as inflationary pressures had begun to become less pronounced; however, as of the end of the first quarter of 2024, inflation remains above target, the labor market remains strong, and economic growth is steady, which has driven uncertainty amongst market participants on the timing and magnitude of any potential rate cuts in 2024. The market is currently pricing with the expectation of two rate cuts in 2024, down from the peak point of optimism when the market was pricing in seven rate cuts over the year.</w:t>
      </w:r>
    </w:p>
    <w:p>
      <w:pPr>
        <w:spacing w:after="0" w:line="18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In China, official data indicate the economy surpassed expectations in the first quarter, growing at a 6.6% quarter-over-quarter annualized rate and 5.3% from a year ago. Although Chinese property markets remained weak, with new floor space sold ending the quarter down 50% cumulatively from 2021 levels, there are positive signs elsewhere. Momentum in domestic innovation and the industrial sector indicates a strategic redirection of capital, suggesting a methodical approach to mitigating the immediate risks posed by the property sector. Package throughput volumes increased significantly relative to year-ago levels during the quarter, retail sales and foot traffic across our portfolio strengthened in March, and the value added of high-tech manufacturing rose by 7.5% year-over-year, accelerating 2.6% faster than in the fourth quarter of 2023. In Korea, broad measures of economic activity indicate that domestic demand momentum continued in the first quarter. Similarly, these measures in India suggest solid growth as well, with a notable rise in discretionary consumption.</w:t>
      </w:r>
    </w:p>
    <w:p>
      <w:pPr>
        <w:spacing w:after="0" w:line="188"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Our data indicate modest improvement in Europe’s economy, with our composite measure of gross domestic product indicating a roughly flat quarter, and a sizeable dispersion between Germany and the rest of the European economy. German weakness continues to be concentrated in energy-intensive industrials, while lagging capital and intermediate goods exports to China have also had a material impact. With new energy realities affecting economic activity and inflation declining more steadily, the European Central Bank has signaled a willingness to diverge from the U.S. Federal Reserve’s approach regarding the timing of potential rate cuts, with a rate cut as early as June.</w:t>
      </w:r>
    </w:p>
    <w:p>
      <w:pPr>
        <w:spacing w:after="0" w:line="187"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Earnings growth estimates in the U.S. for 2024 have been revised downward throughout the quarter yet remain significantly higher than in 2023, at an anticipated 11% for the year compared to merely 1% the previous year. Earnings are estimated to have grown by 5% in the first quarter of 2024, compared to the same period a year ago, led by the communication services, utilities, consumer discretionary, and information technology sectors. The estimated blended net profit margin for the fourth quarter of 2023 was reported at 11.7%, slightly higher than the 11.6% margin observed a year earlier.</w:t>
      </w:r>
    </w:p>
    <w:p>
      <w:pPr>
        <w:spacing w:after="0" w:line="183"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U.S. equity markets continued to perform well in the first quarter of 2024. The Dow Jones, S&amp;P 500, and Nasdaq 100 rose by 5.6%, 10.2%, and 8.5%, respectively. Though the market continued to benefit from AI-driven momentum, the appreciation was more broadly distributed compared to last year. In 2023, over 60% of the S&amp;P 500’s gain was driven by the top seven stocks (Apple, Microsoft, NVIDIA, Alphabet, Amazon, Tesla, and Meta); during the first quarter, these stocks have contributed just over 35%. Meanwhile, global equity markets also demonstrated strength: the MSCI ACWI, EuroStoxx 600, and Shanghai Composite returned 7.8%, 7.0%, and 2.2%, respectively. However, despite a strong start to the year, there has been a significant pullback in equity markets during the early weeks of the second quarter.</w:t>
      </w:r>
    </w:p>
    <w:p>
      <w:pPr>
        <w:spacing w:after="0" w:line="18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Our carry fund portfolio had modest 2% appreciation in the first quarter of 2024. Within our Global Private Equity segment in the first quarter, our infrastructure and natural resources funds appreciated 2%, our real estate funds appreciated 1%, and our corporate private equity funds were flat. Our Global Credit carry funds (which represent approximately 11% of the total Global Credit remaining fair value as of March 31, 2024) appreciated 2% in the first quarter. Carry funds in our Global Investment Solutions segment appreciated 5% in the first quarter.</w:t>
      </w:r>
    </w:p>
    <w:p>
      <w:pPr>
        <w:spacing w:after="0" w:line="183"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Strategic M&amp;A lost some momentum, though to a lesser extent than financial sponsor buyside transactions, with strategic buyers acquiring assets totaling around $760 billion during the first quarter. While this amount was 19% less than in the previous quarter, it was approximately 40% larger than the same period last year. As a result, global M&amp;A, including acquisitions by financial sponsors, amounted to around $825 billion in the first quarter of 2024, the second largest quarterly volume since the second quarter of 2022. While this hint of momentum is encouraging, the increase is from a very low base. M&amp;A-related issuance, especially buyouts, remains well below levels observed two years ago due to the elevated cost of debt</w:t>
      </w:r>
    </w:p>
    <w:p>
      <w:pPr>
        <w:sectPr>
          <w:pgSz w:w="11900" w:h="16838" w:orient="portrait"/>
          <w:cols w:equalWidth="0" w:num="1">
            <w:col w:w="9240"/>
          </w:cols>
          <w:pgMar w:left="1320" w:top="0" w:right="1339" w:bottom="0" w:gutter="0" w:footer="0" w:header="0"/>
        </w:sectPr>
      </w:pPr>
    </w:p>
    <w:bookmarkStart w:id="59" w:name="page60"/>
    <w:bookmarkEnd w:id="59"/>
    <w:p>
      <w:pPr>
        <w:ind w:right="200"/>
        <w:spacing w:after="0" w:line="188" w:lineRule="auto"/>
        <w:rPr>
          <w:sz w:val="20"/>
          <w:szCs w:val="20"/>
          <w:color w:val="auto"/>
        </w:rPr>
      </w:pPr>
      <w:r>
        <w:rPr>
          <w:rFonts w:ascii="Times New Roman" w:cs="Times New Roman" w:eastAsia="Times New Roman" w:hAnsi="Times New Roman"/>
          <w:sz w:val="16"/>
          <w:szCs w:val="16"/>
          <w:color w:val="auto"/>
        </w:rPr>
        <w:t>and the logjam in sponsor exit activity. Although initial public offerings (IPOs) generally play a comparatively less important role for divestments, especially on the leveraged buyout (LBO) side, the IPO market is usually considered a good indicator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-161925</wp:posOffset>
            </wp:positionV>
            <wp:extent cx="7016115" cy="14763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16115" cy="1476375"/>
                    </a:xfrm>
                    <a:prstGeom prst="rect">
                      <a:avLst/>
                    </a:prstGeom>
                    <a:noFill/>
                  </pic:spPr>
                </pic:pic>
              </a:graphicData>
            </a:graphic>
          </wp:anchor>
        </w:drawing>
      </w:r>
    </w:p>
    <w:p>
      <w:pPr>
        <w:ind w:right="380"/>
        <w:spacing w:after="0" w:line="265" w:lineRule="auto"/>
        <w:rPr>
          <w:sz w:val="20"/>
          <w:szCs w:val="20"/>
          <w:color w:val="auto"/>
        </w:rPr>
      </w:pPr>
      <w:r>
        <w:rPr>
          <w:rFonts w:ascii="Times New Roman" w:cs="Times New Roman" w:eastAsia="Times New Roman" w:hAnsi="Times New Roman"/>
          <w:sz w:val="17"/>
          <w:szCs w:val="17"/>
          <w:color w:val="auto"/>
        </w:rPr>
        <w:t>the state of the exit market. Globally, signals from this indicator have not been particularly encouraging. Excluding special purpose acquisition companies (SPACs), global proceeds from IPOs totaled $21.3 billion during the first quarter of 2024, a</w:t>
      </w:r>
    </w:p>
    <w:p>
      <w:pPr>
        <w:ind w:right="20"/>
        <w:spacing w:after="0" w:line="273" w:lineRule="auto"/>
        <w:rPr>
          <w:sz w:val="20"/>
          <w:szCs w:val="20"/>
          <w:color w:val="auto"/>
        </w:rPr>
      </w:pPr>
      <w:r>
        <w:rPr>
          <w:rFonts w:ascii="Times New Roman" w:cs="Times New Roman" w:eastAsia="Times New Roman" w:hAnsi="Times New Roman"/>
          <w:sz w:val="17"/>
          <w:szCs w:val="17"/>
          <w:color w:val="auto"/>
        </w:rPr>
        <w:t>16% decrease compared to the same period a year ago and the slowest opening period for global IPOs since 2019. Investment activity in our carry funds was higher in the first quarter of 2024 than the comparable prior year period. We generated $5.9 billion in realized proceeds from our carry funds and invested $5.0 billion into new or follow-on transactions in our carry funds during the first quarter of 2024, compared to $4.5 billion and $3.8 billion, respectively, during the first quarter of 2023. In six 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89573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16115" cy="895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last eight quarters, realized proceeds from our carry funds were in excess of invested capital, providing net positive distributions to our investors.</w:t>
      </w:r>
    </w:p>
    <w:p>
      <w:pPr>
        <w:spacing w:after="0" w:line="54" w:lineRule="exact"/>
        <w:rPr>
          <w:sz w:val="20"/>
          <w:szCs w:val="20"/>
          <w:color w:val="auto"/>
        </w:rPr>
      </w:pPr>
    </w:p>
    <w:p>
      <w:pPr>
        <w:ind w:right="140" w:firstLine="445"/>
        <w:spacing w:after="0" w:line="254" w:lineRule="auto"/>
        <w:rPr>
          <w:sz w:val="20"/>
          <w:szCs w:val="20"/>
          <w:color w:val="auto"/>
        </w:rPr>
      </w:pPr>
      <w:r>
        <w:rPr>
          <w:rFonts w:ascii="Times New Roman" w:cs="Times New Roman" w:eastAsia="Times New Roman" w:hAnsi="Times New Roman"/>
          <w:sz w:val="18"/>
          <w:szCs w:val="18"/>
          <w:color w:val="auto"/>
        </w:rPr>
        <w:t>As investor sentiment improved and spreads tightened, leveraged finance markets reopened, resulting in a massive increase in issuance of leveraged loans and high-yield bonds. Much of this increase has been driven by refinancing borrowers out of more expensive loans originated in the past two years when private credit was increasingly perceived as “the only game in town” amid rapidly rising financing costs and liquidity constraints. While LBO activity in the U.S. recovered meaningfully, this was not enough to offset a decline in buyout volume in Europe and Asia. In the first three months of 2024, LBO volume, including add-ons, totaled approximately $66 billion, a decline of 42% compared to the previous quarter. Deployment by venture capital and growth capital funds remained depressed in the first quarter. Startup companies received $71 billion, the smallest amount since the fourth quarter of 2017.</w:t>
      </w:r>
    </w:p>
    <w:p>
      <w:pPr>
        <w:spacing w:after="0" w:line="192"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We priced and closed $0.4 billion in CLO issuance, $1.0 billion in CLO resets and $0.4 billion in CLO refinancing during the first quarter, reflecting the active start to the year for the CLO market. Our global CLO portfolio continues to experience a default rate less than the industry average, and we are actively managing our credit positions to maintain balanced risk-adjusted credit quality. However, while default rates have remained low, we have seen default rates increase in 2023 and into the first quarter of 2024 as higher financing costs continue to pressure borrower debt-service capacity.</w:t>
      </w:r>
    </w:p>
    <w:p>
      <w:pPr>
        <w:spacing w:after="0" w:line="183" w:lineRule="exact"/>
        <w:rPr>
          <w:sz w:val="20"/>
          <w:szCs w:val="20"/>
          <w:color w:val="auto"/>
        </w:rPr>
      </w:pPr>
    </w:p>
    <w:p>
      <w:pPr>
        <w:ind w:right="80" w:firstLine="445"/>
        <w:spacing w:after="0" w:line="289" w:lineRule="auto"/>
        <w:rPr>
          <w:sz w:val="20"/>
          <w:szCs w:val="20"/>
          <w:color w:val="auto"/>
        </w:rPr>
      </w:pPr>
      <w:r>
        <w:rPr>
          <w:rFonts w:ascii="Times New Roman" w:cs="Times New Roman" w:eastAsia="Times New Roman" w:hAnsi="Times New Roman"/>
          <w:sz w:val="17"/>
          <w:szCs w:val="17"/>
          <w:color w:val="auto"/>
        </w:rPr>
        <w:t>Gross originations in our direct lending strategy totaled $0.8 billion in the first quarter of 2024, a more than 100% increase over originations in the first quarter of 2023, which was impacted by the slowdown in sponsor M&amp;A activity in 2022 and 2023. Dividend yields on our business development companies and CTAC as of March 31, 2024 were approximately 10%.</w:t>
      </w:r>
    </w:p>
    <w:p>
      <w:pPr>
        <w:spacing w:after="0" w:line="158"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We had $5.3 billion in new capital inflows in the first quarter towards our previously announced target of $40 billion of capital inflows in 2024. The impact of muted realizations on investor liquidity has been exacerbated by an increase in demand on investor capital as the increased cost of subscription lines commonly used to bridge capital calls has led to borrowing repayments and restricted use in current investment activity. The impact of net negative distributions to investors, combined with increasing geopolitical risk and continued global economic uncertainty, has compounded an already challenging fundraising landscape. While we believe that we will continue to attract a significant amount of capital for our buyout funds, we have seen, and expect to continue to see, a decline in buyout fund sizes across most geographies, which may result in lower management fees in Global Private Equity in the future.</w:t>
      </w:r>
    </w:p>
    <w:p>
      <w:pPr>
        <w:spacing w:after="0" w:line="192" w:lineRule="exact"/>
        <w:rPr>
          <w:sz w:val="20"/>
          <w:szCs w:val="20"/>
          <w:color w:val="auto"/>
        </w:rPr>
      </w:pPr>
    </w:p>
    <w:p>
      <w:pPr>
        <w:ind w:right="80" w:firstLine="445"/>
        <w:spacing w:after="0" w:line="252" w:lineRule="auto"/>
        <w:rPr>
          <w:sz w:val="20"/>
          <w:szCs w:val="20"/>
          <w:color w:val="auto"/>
        </w:rPr>
      </w:pPr>
      <w:r>
        <w:rPr>
          <w:rFonts w:ascii="Times New Roman" w:cs="Times New Roman" w:eastAsia="Times New Roman" w:hAnsi="Times New Roman"/>
          <w:sz w:val="18"/>
          <w:szCs w:val="18"/>
          <w:color w:val="auto"/>
        </w:rPr>
        <w:t>The SEC has put forth several rule proposals, and we are evaluating the potential impacts to our business and operations and those of our portfolio companies. These proposals include, among others, safeguarding of advisory client assets for registered investment advisers. In March 2024, the SEC adopted final public company climate-related disclosures rules requiring registrants to disclose, among other things, material climate-related risks; activities to mitigate or adapt to such risks; information about the registrant’s board of directors’ oversight of climate-related risks and management’s role in managing material climate-related risks; and information on any climate-related targets or goals that are material to the registrant’s business, results of operations, or financial condition. In addition, the final rules require disclosure of Scope 1 and/or Scope 2 greenhouse gas emissions on a phased-in basis by certain larger registrants when those emissions are material; the filing of an attestation report covering the required disclosure of such registrants’ Scope 1 and/or Scope 2 emissions, also on a phased-in basis; and disclosure of the financial statement effects of severe weather events and other natural conditions including, for example, costs and losses. On April 4, 2024, the SEC voluntarily stayed implementation of the climate-related disclosure rules, pending completion of judicial review of consolidated challenges to the rules by the Court of Appeals for the Eighth Circuit. We are closely evaluating potential impacts to our business of these rule adoptions and various financial, regulatory, and other proposals put forth by the current Administration and Congress. The potential for policy changes may create regulatory uncertainty for our investment strategies and our portfolio companies and could adversely affect our profitability and the profitability of our portfolio companies.</w:t>
      </w:r>
    </w:p>
    <w:p>
      <w:pPr>
        <w:spacing w:after="0" w:line="191" w:lineRule="exact"/>
        <w:rPr>
          <w:sz w:val="20"/>
          <w:szCs w:val="20"/>
          <w:color w:val="auto"/>
        </w:rPr>
      </w:pPr>
    </w:p>
    <w:p>
      <w:pPr>
        <w:jc w:val="center"/>
        <w:ind w:right="75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jc w:val="center"/>
        <w:ind w:right="76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880" w:firstLine="445"/>
        <w:spacing w:after="0" w:line="282" w:lineRule="auto"/>
        <w:rPr>
          <w:sz w:val="20"/>
          <w:szCs w:val="20"/>
          <w:color w:val="auto"/>
        </w:rPr>
      </w:pPr>
      <w:r>
        <w:rPr>
          <w:rFonts w:ascii="Times New Roman" w:cs="Times New Roman" w:eastAsia="Times New Roman" w:hAnsi="Times New Roman"/>
          <w:sz w:val="18"/>
          <w:szCs w:val="18"/>
          <w:color w:val="auto"/>
        </w:rPr>
        <w:t>In April 2024, the Company’s Board of Directors declared a quarterly dividend of $0.35 per share to common stockholders of record at the close of business on May 14, 2024, payable on May 21, 2024.</w:t>
      </w:r>
    </w:p>
    <w:p>
      <w:pPr>
        <w:sectPr>
          <w:pgSz w:w="11900" w:h="16838" w:orient="portrait"/>
          <w:cols w:equalWidth="0" w:num="1">
            <w:col w:w="9240"/>
          </w:cols>
          <w:pgMar w:left="1320" w:top="108" w:right="1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9240"/>
          </w:cols>
          <w:pgMar w:left="1320" w:top="108" w:right="1339" w:bottom="0" w:gutter="0" w:footer="0" w:header="0"/>
          <w:type w:val="continuous"/>
        </w:sectPr>
      </w:pPr>
    </w:p>
    <w:bookmarkStart w:id="60" w:name="page61"/>
    <w:bookmarkEnd w:id="60"/>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602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16115" cy="92602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w:t>
      </w:r>
    </w:p>
    <w:p>
      <w:pPr>
        <w:spacing w:after="0" w:line="229"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Our key financial measures and operating metrics are discussed in the following pages. Additional information regarding U.S. GAAP measures and our other significant accounting policies can be found in Note 2, Summary of Significant Accounting Policies, to the condensed consolidated financial statements included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Revenues primarily consist of Fund management fees, Incentive fees, Investment income (including Performance allocations, realized and unrealized gains of our investments in our funds and other principal investments), as well as Interest and other income.</w:t>
      </w:r>
    </w:p>
    <w:p>
      <w:pPr>
        <w:spacing w:after="0" w:line="174"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Fund management fees</w:t>
      </w:r>
      <w:r>
        <w:rPr>
          <w:rFonts w:ascii="Times New Roman" w:cs="Times New Roman" w:eastAsia="Times New Roman" w:hAnsi="Times New Roman"/>
          <w:sz w:val="18"/>
          <w:szCs w:val="18"/>
          <w:color w:val="auto"/>
        </w:rPr>
        <w:t>. Fund management fees include management fees and transaction and portfolio advisory fees.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 management fees for advisory services we provide to funds in which we hold a general partner interest or to funds or certain portfolio companies with which we have an investment advisory or investment management agreement. These fees are largely from either traditional closed-end, long-dated funds, which are highly predictable and stable, or Perpetual Capital products as defined below. Management fees also include catch-up management fees, which are episodic in nature and represent management fees charged to fund investors in subsequent closings of a fund which apply to the time period between the fee initiation date and the subsequent closing date. We also earn management fees on our CLOs and other structured products.</w:t>
      </w:r>
    </w:p>
    <w:p>
      <w:pPr>
        <w:spacing w:after="0" w:line="185" w:lineRule="exact"/>
        <w:rPr>
          <w:sz w:val="20"/>
          <w:szCs w:val="20"/>
          <w:color w:val="auto"/>
        </w:rPr>
      </w:pPr>
    </w:p>
    <w:p>
      <w:pPr>
        <w:ind w:right="18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Transaction and portfolio advisory fees</w:t>
      </w:r>
      <w:r>
        <w:rPr>
          <w:rFonts w:ascii="Times New Roman" w:cs="Times New Roman" w:eastAsia="Times New Roman" w:hAnsi="Times New Roman"/>
          <w:sz w:val="18"/>
          <w:szCs w:val="18"/>
          <w:color w:val="auto"/>
        </w:rPr>
        <w:t>. Transaction and portfolio advisory fees generally include capital markets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by Carlyle Global Capital Markets in connection with activities related to the underwriting, issuance and placement of debt and equity securities, and loan syndication for our portfolio companies and third-party clients, which are generally not subject to rebate offsets as described below with respect to our most recent vintages (but are subject to the rebate offsets set forth below for older funds). Underwriting fees include gains, losses and fees arising from securities offerings in which we participate in the underwriter syndicate.</w:t>
      </w:r>
    </w:p>
    <w:p>
      <w:pPr>
        <w:spacing w:after="0" w:line="184"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Transaction and portfolio advisory fees also include fees we receive for the transaction and portfolio advisory services we provide to our portfolio companies. When covered by separate contractual agreements, we recognize transaction and portfolio advisory fees for these services when the performance obligation has been satisfied and collection is reasonably assured. We are generally required to offset our fund management fees by the transaction and advisory fees earned, which we refer to as “rebate offsets.”</w:t>
      </w:r>
    </w:p>
    <w:p>
      <w:pPr>
        <w:spacing w:after="0" w:line="183"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The recognition of portfolio advisory fees, transactions fees, and capital markets fees can be volatile as they are primarily generated by investment activity within our funds, and therefore are impacted by our investment pace.</w:t>
      </w:r>
    </w:p>
    <w:p>
      <w:pPr>
        <w:spacing w:after="0" w:line="160"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Incentive fees</w:t>
      </w:r>
      <w:r>
        <w:rPr>
          <w:rFonts w:ascii="Times New Roman" w:cs="Times New Roman" w:eastAsia="Times New Roman" w:hAnsi="Times New Roman"/>
          <w:sz w:val="18"/>
          <w:szCs w:val="18"/>
          <w:color w:val="auto"/>
        </w:rPr>
        <w:t>. Incentive fees consist of performance-based incentive arrangements pursuant to management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from certain of our Global Credit funds, when the return on assets under management exceeds certain benchmark returns or other performance targets. In such arrangements, incentive fees are recognized when the performance benchmark has been achieved.</w:t>
      </w:r>
    </w:p>
    <w:p>
      <w:pPr>
        <w:spacing w:after="0" w:line="180" w:lineRule="exact"/>
        <w:rPr>
          <w:sz w:val="20"/>
          <w:szCs w:val="20"/>
          <w:color w:val="auto"/>
        </w:rPr>
      </w:pPr>
    </w:p>
    <w:p>
      <w:pPr>
        <w:ind w:right="30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Investment income (loss)</w:t>
      </w:r>
      <w:r>
        <w:rPr>
          <w:rFonts w:ascii="Times New Roman" w:cs="Times New Roman" w:eastAsia="Times New Roman" w:hAnsi="Times New Roman"/>
          <w:sz w:val="18"/>
          <w:szCs w:val="18"/>
          <w:color w:val="auto"/>
        </w:rPr>
        <w:t>. Investment income (loss) consists of our performance allocations as well as the realized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unrealized gains and losses resulting from our equity method investments and other principal investments.</w:t>
      </w:r>
    </w:p>
    <w:p>
      <w:pPr>
        <w:spacing w:after="0" w:line="160"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Performance allocations consist principally of the performance-based capital allocation from fund limited partners to us, commonly referred to as carried interest, from certain of our investment funds, which we refer to as the “carry funds.” Carried interest revenue is recognized by Carlyle upon appreciation of the valuation of our funds’ investments above certain return hurdles as set forth in each respective partnership agreement and is based on the amount that would be due to us pursuant to the fund partnership agreement at each period end as if the funds were liquidated at such date. Accordingly, the amount of carried interest recognized as performance allocations reflects our share of the fair value gains and losses of the associated funds’ underlying investments measured at their then-current fair values relative to the fair values as of the end of the prior period. As a result, the performance allocations earned in an applicable reporting period are not indicative of any future period, as fair values are based on conditions prevalent as of the reporting date. Refer to “—Trends Affecting our Business” for further discussion.</w:t>
      </w:r>
    </w:p>
    <w:p>
      <w:pPr>
        <w:spacing w:after="0" w:line="194"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For any given period, performance allocations revenue on our statement of operations may include reversals of previously recognized performance allocations due to a decrease in the value of a particular fund that results in a decrease of cumulative performance allocations earned to date. Since fund return hurdles are cumulative, previously recognized performance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1173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16115" cy="117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allocations also may be reversed in a period of appreciation that is lower than the particular fund’s hurdle rate. Additionally, unrealized performance allocations reverse when performance allocations are realized, and unrealized performance allocations can be negative if the amount of realized performance allocations exceed total performance allocations generated in the period. The timing and receipt of realized performance allocations varies with the lifecycle of our carry funds and there is often a difference between the time we start accruing performance allocations and realization. The timing of performance allocations</w:t>
      </w:r>
    </w:p>
    <w:p>
      <w:pPr>
        <w:sectPr>
          <w:pgSz w:w="11900" w:h="16934" w:orient="portrait"/>
          <w:cols w:equalWidth="0" w:num="1">
            <w:col w:w="9240"/>
          </w:cols>
          <w:pgMar w:left="1320" w:top="661" w:right="1339" w:bottom="0" w:gutter="0" w:footer="0" w:header="0"/>
        </w:sectPr>
      </w:pPr>
    </w:p>
    <w:bookmarkStart w:id="61" w:name="page62"/>
    <w:bookmarkEnd w:id="61"/>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realizations from our Global Investment Solutions, Carlyle Aviation, and Abingworth funds is typically later than in our other carry funds based on the terms of such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-287655</wp:posOffset>
            </wp:positionV>
            <wp:extent cx="7016115" cy="7888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16115" cy="7888605"/>
                    </a:xfrm>
                    <a:prstGeom prst="rect">
                      <a:avLst/>
                    </a:prstGeom>
                    <a:noFill/>
                  </pic:spPr>
                </pic:pic>
              </a:graphicData>
            </a:graphic>
          </wp:anchor>
        </w:drawing>
      </w:r>
    </w:p>
    <w:p>
      <w:pPr>
        <w:spacing w:after="0" w:line="142"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Under our arrangements with the historical owners and management teams of AlpInvest and Abingworth, the amount of carried interest to which we are entitled varies. In some cases, we are entitled to 15% of the carried interest in respect of commitments from the historical owners of AlpInvest for the period between 2011 and 2020. In certain instances, carried interest associated with the AlpInvest fund vehicles is subject to entity level income taxes in the Netherlands. Additionally, in connection with the acquisition of Abingworth, we are entitled to 15% of carried interest generated from certain Abingworth funds.</w:t>
      </w:r>
    </w:p>
    <w:p>
      <w:pPr>
        <w:spacing w:after="0" w:line="187" w:lineRule="exact"/>
        <w:rPr>
          <w:sz w:val="20"/>
          <w:szCs w:val="20"/>
          <w:color w:val="auto"/>
        </w:rPr>
      </w:pPr>
    </w:p>
    <w:p>
      <w:pPr>
        <w:jc w:val="both"/>
        <w:ind w:right="340" w:firstLine="445"/>
        <w:spacing w:after="0" w:line="266" w:lineRule="auto"/>
        <w:rPr>
          <w:sz w:val="20"/>
          <w:szCs w:val="20"/>
          <w:color w:val="auto"/>
        </w:rPr>
      </w:pPr>
      <w:r>
        <w:rPr>
          <w:rFonts w:ascii="Times New Roman" w:cs="Times New Roman" w:eastAsia="Times New Roman" w:hAnsi="Times New Roman"/>
          <w:sz w:val="18"/>
          <w:szCs w:val="18"/>
          <w:color w:val="auto"/>
        </w:rPr>
        <w:t>Realized carried interest may be clawed back or given back to the fund if the fund’s investment values decline below certain return hurdles, which vary from fund to fund. This amount is known as the “giveback obligation.” In all cases, each investment fund is considered separately in evaluating carried interest and potential giveback obligations.</w:t>
      </w:r>
    </w:p>
    <w:p>
      <w:pPr>
        <w:spacing w:after="0" w:line="176"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Accrued performance allocations and accrued giveback obligations at a point in time assume a hypothetical liquidation of the funds’ investments at their then current fair values. Each investment fund is considered separately in evaluating carried interest and potential giveback obligations. These assets and liabilities will continue to fluctuate in accordance with the fair values of the funds’ investments until they are realized. The Company uses “net accrued performance revenues” to refer to the aggregation of the accrued performance allocations and incentive fees net of (i) accrued giveback obligations, (ii) accrued performance allocations and incentive fee related compensation, (iii) performance allocations and incentive fee related tax obligations, and (iv) accrued performance allocations and incentive fees attributable to non-controlling interests. Net accrued performance revenues excludes any net accrued performance allocations and incentive fees that have been realized but will be collected in subsequent periods, as well as net accrued performance revenues which are presented as fee related performance revenues when realized in our non-GAAP financial measures.</w:t>
      </w:r>
    </w:p>
    <w:p>
      <w:pPr>
        <w:spacing w:after="0" w:line="194" w:lineRule="exact"/>
        <w:rPr>
          <w:sz w:val="20"/>
          <w:szCs w:val="20"/>
          <w:color w:val="auto"/>
        </w:rPr>
      </w:pPr>
    </w:p>
    <w:p>
      <w:pPr>
        <w:ind w:right="80" w:firstLine="445"/>
        <w:spacing w:after="0" w:line="253" w:lineRule="auto"/>
        <w:rPr>
          <w:sz w:val="20"/>
          <w:szCs w:val="20"/>
          <w:color w:val="auto"/>
        </w:rPr>
      </w:pPr>
      <w:r>
        <w:rPr>
          <w:rFonts w:ascii="Times New Roman" w:cs="Times New Roman" w:eastAsia="Times New Roman" w:hAnsi="Times New Roman"/>
          <w:sz w:val="18"/>
          <w:szCs w:val="18"/>
          <w:color w:val="auto"/>
        </w:rPr>
        <w:t>In addition, realized performance allocations may be reversed in future periods to the extent that such amounts become subject to a giveback obligation. The aggregate amount of giveback obligations realized since Carlyle’s inception totaled $242.4 million, $160.8 million of which was related to various Legacy Energy Funds. Given that current and former senior Carlyle professionals and other limited partners of the Carlyle Holdings partnerships are responsible for paying the majority of the realized giveback obligation, only $72.3 million of the $242.4 million aggregate giveback obligation realized since inception was attributable to Carlyle. The realization of giveback obligations for the Company’s portion of such obligations reduces Distributable Earnings in the period realized. Further, each individual who holds equity interests in carried interest generated by our funds and is a recipient of realized carried interest typically signs a guarantee agreement or partnership agreement that personally obligates such person to return his/her pro rata share of any amounts of realized carried interest previously distributed that are later clawed back. Accordingly, carried interest as performance allocation compensation is subject to return to the Company in the event a giveback obligation is funded. Generally, the actual giveback liability, if any, does not become due until the end of a fund’s life.</w:t>
      </w:r>
    </w:p>
    <w:p>
      <w:pPr>
        <w:spacing w:after="0" w:line="190"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In addition, in our discussion of our non-GAAP results, we use the term “realized net performance revenues” to refer to realized performance allocations and incentive fees from our funds, net of the portion allocated to our investment professionals, and other employees and certain tax expenses associated with carried interest attributable to certain partners and employees, which are reflected as realized performance allocations and incentive fees related compensation expense. See “—Non-GAAP Financial Measures” and “—Segment Analysis” for the amount of realized net performance revenues recognized each period and related discussion.</w:t>
      </w:r>
    </w:p>
    <w:p>
      <w:pPr>
        <w:spacing w:after="0" w:line="187"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Investment income also represents the realized and unrealized gains and losses on our principal investments, including our investments in Carlyle funds that are not consolidated, and our strategic investments in NGP as described below, as well as any interest and other income. Realized principal investment income (loss) is recorded when we redeem all or a portion of our investment or when we receive or are due cash income, such as dividends or distributions. A realized principal investment loss is also recorded when an investment is deemed to be worthless. Unrealized principal investment income (loss) results from changes in the fair value of the underlying investment, as well as the reversal of previously recognized unrealized gains (losses) at the time an investment is realized.</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25450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16115" cy="2545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We account for our investments in NGP under the equity method of accounting. Our investments in NGP include the equity interests in NGP Management Company, L.L.C. (“NGP Management”) and the general partners of certain carry funds advised by NGP. These interests entitle us to an allocation of income equal to 55.0% of the management fee related revenues of NGP Management, which serves as the investment advisor to certain NGP funds as well as 47.5% (40% or 42.75% in the case of certain funds) of the performance allocations that NGP receives from the NGP Carry Funds. We record investment income (loss) for our equity income allocation from NGP management fee related revenues and also record our share of any allocated expenses from NGP Management, expenses associated with the compensatory elements of the strategic investment. We also record our equity income allocation from NGP performance allocations in principal investment income (loss) from equity method investments rather than performance allocations in our consolidated statements of operations. We do not control or manage NGP. Moreover, we do not operate NGP’s business, have representation on NGP’s board or serve as an investment advisor to any investment fund sponsored by NGP, nor do we direct the operations of any of NGP portfolio companies. While we have consent rights over certain major actions by NGP outside of the ordinary course of NGP’s business (including, for example, consent rights over items such as amendments to the organizational documents of the entity in which we are invested, changes to the management fee streams earned by NGP under its fund agreements, or the incurrence of certain debt by NGP and other similar items), we have no voting rights or consent rights on any NGP investment committee that selects investments</w:t>
      </w:r>
    </w:p>
    <w:p>
      <w:pPr>
        <w:sectPr>
          <w:pgSz w:w="11900" w:h="16906" w:orient="portrait"/>
          <w:cols w:equalWidth="0" w:num="1">
            <w:col w:w="9200"/>
          </w:cols>
          <w:pgMar w:left="1320" w:top="108" w:right="1379" w:bottom="0" w:gutter="0" w:footer="0" w:header="0"/>
        </w:sectPr>
      </w:pPr>
    </w:p>
    <w:bookmarkStart w:id="62" w:name="page63"/>
    <w:bookmarkEnd w:id="62"/>
    <w:p>
      <w:pPr>
        <w:spacing w:after="0" w:line="10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 be made by NGP funds. For further information regarding our strategic investments in NGP, refer to Note 4, Investments, to the condensed consolidated financial statements included in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-287655</wp:posOffset>
            </wp:positionV>
            <wp:extent cx="7016115" cy="6517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16115" cy="6517005"/>
                    </a:xfrm>
                    <a:prstGeom prst="rect">
                      <a:avLst/>
                    </a:prstGeom>
                    <a:noFill/>
                  </pic:spPr>
                </pic:pic>
              </a:graphicData>
            </a:graphic>
          </wp:anchor>
        </w:drawing>
      </w:r>
    </w:p>
    <w:p>
      <w:pPr>
        <w:spacing w:after="0" w:line="140" w:lineRule="exact"/>
        <w:rPr>
          <w:sz w:val="20"/>
          <w:szCs w:val="20"/>
          <w:color w:val="auto"/>
        </w:rPr>
      </w:pPr>
    </w:p>
    <w:p>
      <w:pPr>
        <w:ind w:right="40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Interest and other income</w:t>
      </w:r>
      <w:r>
        <w:rPr>
          <w:rFonts w:ascii="Times New Roman" w:cs="Times New Roman" w:eastAsia="Times New Roman" w:hAnsi="Times New Roman"/>
          <w:sz w:val="18"/>
          <w:szCs w:val="18"/>
          <w:color w:val="auto"/>
        </w:rPr>
        <w:t>. Interest and other income primarily represents reimbursement of certain costs incurred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our funds as well as interest income that we earn such as from our cash and money market accounts and other investments, including CLO senior and subordinated notes.</w:t>
      </w:r>
    </w:p>
    <w:p>
      <w:pPr>
        <w:spacing w:after="0" w:line="173" w:lineRule="exact"/>
        <w:rPr>
          <w:sz w:val="20"/>
          <w:szCs w:val="20"/>
          <w:color w:val="auto"/>
        </w:rPr>
      </w:pPr>
    </w:p>
    <w:p>
      <w:pPr>
        <w:ind w:right="160"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Interest and other income of Consolidated Funds</w:t>
      </w:r>
      <w:r>
        <w:rPr>
          <w:rFonts w:ascii="Times New Roman" w:cs="Times New Roman" w:eastAsia="Times New Roman" w:hAnsi="Times New Roman"/>
          <w:sz w:val="18"/>
          <w:szCs w:val="18"/>
          <w:color w:val="auto"/>
        </w:rPr>
        <w:t>. Interest and other income of Consolidated Funds primarily represents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interest earned on CLO assets.</w:t>
      </w:r>
    </w:p>
    <w:p>
      <w:pPr>
        <w:spacing w:after="0" w:line="158" w:lineRule="exact"/>
        <w:rPr>
          <w:sz w:val="20"/>
          <w:szCs w:val="20"/>
          <w:color w:val="auto"/>
        </w:rPr>
      </w:pPr>
    </w:p>
    <w:p>
      <w:pPr>
        <w:ind w:right="180"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Net investment income (loss) of Consolidated Funds</w:t>
      </w:r>
      <w:r>
        <w:rPr>
          <w:rFonts w:ascii="Times New Roman" w:cs="Times New Roman" w:eastAsia="Times New Roman" w:hAnsi="Times New Roman"/>
          <w:sz w:val="18"/>
          <w:szCs w:val="18"/>
          <w:color w:val="auto"/>
        </w:rPr>
        <w:t>. Net investment income (loss) of Consolidated Funds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the change in the difference in fair value between the assets and the liabilities of the Consolidated Funds. Income (loss) indicates that the fair value of the assets of the Consolidated Funds appreciated more (less), or depreciated less (more), than the fair value of the liabilities of the Consolidated Funds. Income or loss is not necessarily indicative of the investment performance of the Consolidated Funds and does not impact the management or incentive fees received by Carlyle for its management of the Consolidated Funds. The portion of the net investment income (losses) of Consolidated Funds attributable to the limited partner investors is allocated to non-controlling interests. Therefore, income or loss is not expected to have a material impact on the revenues or profitability of the Company. Moreover, although the assets of the Consolidated Funds are consolidated onto our balance sheet pursuant to U.S. GAAP, ultimately we do not have recourse to such assets and such liabilities are generally non-recourse to us. Therefore, income or loss from the Consolidated Funds generally does not impact the assets available to our common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ind w:right="44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 Compensation includes salaries, bonuses, equity-based compensation, and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arrangements. Bonuses are accrued over the service period to which they relate.</w:t>
      </w:r>
    </w:p>
    <w:p>
      <w:pPr>
        <w:spacing w:after="0" w:line="160"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We recognize as compensation expense the portion of performance allocations and incentive fees that are due to our employees, senior Carlyle professionals, advisors, and operating executives in a manner consistent with how we recognize the performance allocations and incentive fee revenue. These amounts are accounted for as compensation expense in conjunction with the related performance allocations and incentive fee revenue and, until paid, are recognized as a component of the accrued compensation and benefits liability. Compensation in respect of performance allocations and incentive fees is paid when the related performance allocations and incentive fees are realized, and not when such performance allocations and incentive fees are accrued. The funds do not have a uniform allocation of performance allocations and incentive fees to our employees, senior Carlyle professionals, advisors, and operating executives. However, subsequent to the updates made to our compensation strategy effective December 31, 2023, we generally allocate a range of 60% to 70% of performance allocations and incentive fees to our employees. As a result, we expect that the portion of performance allocations and incentive fees paid as compensation will increase and cash-based compensation and benefits will decrease in 2024 compared to the prior period.</w:t>
      </w:r>
    </w:p>
    <w:p>
      <w:pPr>
        <w:spacing w:after="0" w:line="192" w:lineRule="exact"/>
        <w:rPr>
          <w:sz w:val="20"/>
          <w:szCs w:val="20"/>
          <w:color w:val="auto"/>
        </w:rPr>
      </w:pPr>
    </w:p>
    <w:p>
      <w:pPr>
        <w:ind w:right="120" w:firstLine="445"/>
        <w:spacing w:after="0" w:line="281" w:lineRule="auto"/>
        <w:rPr>
          <w:sz w:val="20"/>
          <w:szCs w:val="20"/>
          <w:color w:val="auto"/>
        </w:rPr>
      </w:pPr>
      <w:r>
        <w:rPr>
          <w:rFonts w:ascii="Times New Roman" w:cs="Times New Roman" w:eastAsia="Times New Roman" w:hAnsi="Times New Roman"/>
          <w:sz w:val="17"/>
          <w:szCs w:val="17"/>
          <w:color w:val="auto"/>
        </w:rPr>
        <w:t>In addition, we have implemented various equity-based compensation arrangements that require senior Carlyle professionals and other employees to provide services over a service period of generally one year to four years in order to vest in the applicable equity interests, which under U.S. GAAP will result in compensation charges over current and future periods. In certain of our equity-based compensation arrangements, vesting is based on the achievement of certain performance targets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39166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16115" cy="3916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or market conditions (see Note 14, Equity-Based Compensation). Compensation charges associated with all equity-based compensation grants are excluded from Fee Related Earnings and Distributable Earnings.</w:t>
      </w:r>
    </w:p>
    <w:p>
      <w:pPr>
        <w:spacing w:after="0" w:line="162"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We may hire additional individuals and overall compensation levels may correspondingly increase, which could result in an increase in compensation and benefits expense. As a result of prior acquisitions, we have charges associated with contingent consideration taking the form of earn-outs and profit participation, some of which are reflected as compensation expense.</w:t>
      </w:r>
    </w:p>
    <w:p>
      <w:pPr>
        <w:spacing w:after="0" w:line="174"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General, administrative and other expenses</w:t>
      </w:r>
      <w:r>
        <w:rPr>
          <w:rFonts w:ascii="Times New Roman" w:cs="Times New Roman" w:eastAsia="Times New Roman" w:hAnsi="Times New Roman"/>
          <w:sz w:val="18"/>
          <w:szCs w:val="18"/>
          <w:color w:val="auto"/>
        </w:rPr>
        <w:t>. General, administrative and other expenses include occupancy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expenses and other expenses, which consist principally of professional fees, including those related to our global regulatory compliance program, external costs of fundraising, travel and related expenses, communications and information services, depreciation and amortization (including intangible asset amortization and impairment), bad debt expense, and foreign currency transactions. We expect that general, administrative and other expenses will vary due to infrequently occurring or unusual items, such as impairment of intangible assets or lease right-of-use assets and expenses or insurance recoveries associated with litigation and contingencies. Also, in periods of significant fundraising, to the extent that we use third parties to assist in our fundraising efforts, our general, administrative and other expenses may increase accordingly. Similarly, our general, administrative and other expenses may increase as a result of professional and other fees incurred as part of due diligence related to strategic acquisitions and new product development. Additionally, we anticipate that general, administrative and other expenses will fluctuate from period to period due to the impact of foreign exchange transactions.</w:t>
      </w:r>
    </w:p>
    <w:p>
      <w:pPr>
        <w:spacing w:after="0" w:line="192" w:lineRule="exact"/>
        <w:rPr>
          <w:sz w:val="20"/>
          <w:szCs w:val="20"/>
          <w:color w:val="auto"/>
        </w:rPr>
      </w:pPr>
    </w:p>
    <w:p>
      <w:pPr>
        <w:ind w:right="16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Interest and other expenses of Consolidated Funds</w:t>
      </w:r>
      <w:r>
        <w:rPr>
          <w:rFonts w:ascii="Times New Roman" w:cs="Times New Roman" w:eastAsia="Times New Roman" w:hAnsi="Times New Roman"/>
          <w:sz w:val="18"/>
          <w:szCs w:val="18"/>
          <w:color w:val="auto"/>
        </w:rPr>
        <w:t>. Interest and other expenses of Consolidated Funds consist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interest expense related primarily to our CLO loans, professional fees and other third-party expenses.</w:t>
      </w:r>
    </w:p>
    <w:p>
      <w:pPr>
        <w:spacing w:after="0" w:line="158" w:lineRule="exact"/>
        <w:rPr>
          <w:sz w:val="20"/>
          <w:szCs w:val="20"/>
          <w:color w:val="auto"/>
        </w:rPr>
      </w:pPr>
    </w:p>
    <w:p>
      <w:pPr>
        <w:ind w:right="220" w:firstLine="445"/>
        <w:spacing w:after="0" w:line="290" w:lineRule="auto"/>
        <w:rPr>
          <w:sz w:val="20"/>
          <w:szCs w:val="20"/>
          <w:color w:val="auto"/>
        </w:rPr>
      </w:pP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Income taxes are accounted for using the asset and liability method of accounting. Under this method,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deferred tax assets and liabilities are recognized for the expected future tax consequences of differences between the carrying amounts of assets and liabilities and their respective tax basis, using currently enacted tax rates. The effect on deferred tax</w:t>
      </w:r>
    </w:p>
    <w:p>
      <w:pPr>
        <w:sectPr>
          <w:pgSz w:w="11900" w:h="16945" w:orient="portrait"/>
          <w:cols w:equalWidth="0" w:num="1">
            <w:col w:w="9240"/>
          </w:cols>
          <w:pgMar w:left="1320" w:top="108" w:right="1339" w:bottom="0" w:gutter="0" w:footer="0" w:header="0"/>
        </w:sectPr>
      </w:pPr>
    </w:p>
    <w:bookmarkStart w:id="63" w:name="page64"/>
    <w:bookmarkEnd w:id="63"/>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assets and liabilities of a change in tax rates is recognized in income in the period in which the change is enacted. Deferred tax assets are reduced by a valuation allowance when it is more likely than not that some or all of the deferred tax assets will not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-415925</wp:posOffset>
            </wp:positionV>
            <wp:extent cx="7016115" cy="51454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16115" cy="5145405"/>
                    </a:xfrm>
                    <a:prstGeom prst="rect">
                      <a:avLst/>
                    </a:prstGeom>
                    <a:noFill/>
                  </pic:spPr>
                </pic:pic>
              </a:graphicData>
            </a:graphic>
          </wp:anchor>
        </w:drawing>
      </w:r>
    </w:p>
    <w:p>
      <w:pPr>
        <w:spacing w:after="0" w:line="154" w:lineRule="exact"/>
        <w:rPr>
          <w:sz w:val="20"/>
          <w:szCs w:val="20"/>
          <w:color w:val="auto"/>
        </w:rPr>
      </w:pPr>
    </w:p>
    <w:p>
      <w:pPr>
        <w:jc w:val="both"/>
        <w:ind w:right="620" w:firstLine="445"/>
        <w:spacing w:after="0" w:line="315" w:lineRule="auto"/>
        <w:rPr>
          <w:sz w:val="20"/>
          <w:szCs w:val="20"/>
          <w:color w:val="auto"/>
        </w:rPr>
      </w:pPr>
      <w:r>
        <w:rPr>
          <w:rFonts w:ascii="Times New Roman" w:cs="Times New Roman" w:eastAsia="Times New Roman" w:hAnsi="Times New Roman"/>
          <w:sz w:val="17"/>
          <w:szCs w:val="17"/>
          <w:i w:val="1"/>
          <w:iCs w:val="1"/>
          <w:color w:val="auto"/>
        </w:rPr>
        <w:t>Non-controlling Interests in Consolidated Entities</w:t>
      </w:r>
      <w:r>
        <w:rPr>
          <w:rFonts w:ascii="Times New Roman" w:cs="Times New Roman" w:eastAsia="Times New Roman" w:hAnsi="Times New Roman"/>
          <w:sz w:val="17"/>
          <w:szCs w:val="17"/>
          <w:color w:val="auto"/>
        </w:rPr>
        <w:t>. Non-controlling interests in consolidated entities represent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component of equity in consolidated entities not held by us. These interests are adjusted for general partner allocations.</w:t>
      </w:r>
    </w:p>
    <w:p>
      <w:pPr>
        <w:spacing w:after="0" w:line="135"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Earnings Per Common Share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We compute earnings per common share in accordance with ASC 260,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auto"/>
          <w:highlight w:val="white"/>
        </w:rPr>
        <w:t>Earnings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auto"/>
          <w:highlight w:val="white"/>
        </w:rPr>
        <w:t>Share</w:t>
      </w:r>
      <w:r>
        <w:rPr>
          <w:rFonts w:ascii="Times New Roman" w:cs="Times New Roman" w:eastAsia="Times New Roman" w:hAnsi="Times New Roman"/>
          <w:sz w:val="18"/>
          <w:szCs w:val="18"/>
          <w:color w:val="auto"/>
          <w:highlight w:val="white"/>
        </w:rPr>
        <w:t>. Basic earnings per common share is calculated by dividing net income (loss) attributable to the common shares of the</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color w:val="auto"/>
          <w:highlight w:val="white"/>
        </w:rPr>
        <w:t>Company by the weighted average number of common shares outstanding for the period. Diluted earnings per common share reflects the assumed conversion of all dilutive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7" w:lineRule="exact"/>
        <w:rPr>
          <w:sz w:val="20"/>
          <w:szCs w:val="20"/>
          <w:color w:val="auto"/>
        </w:rPr>
      </w:pPr>
    </w:p>
    <w:p>
      <w:pPr>
        <w:ind w:right="40" w:firstLine="450"/>
        <w:spacing w:after="0" w:line="256" w:lineRule="auto"/>
        <w:rPr>
          <w:sz w:val="20"/>
          <w:szCs w:val="20"/>
          <w:color w:val="auto"/>
        </w:rPr>
      </w:pPr>
      <w:r>
        <w:rPr>
          <w:rFonts w:ascii="Times New Roman" w:cs="Times New Roman" w:eastAsia="Times New Roman" w:hAnsi="Times New Roman"/>
          <w:sz w:val="18"/>
          <w:szCs w:val="18"/>
          <w:i w:val="1"/>
          <w:iCs w:val="1"/>
          <w:color w:val="auto"/>
        </w:rPr>
        <w:t>Distributable Earnings</w:t>
      </w:r>
      <w:r>
        <w:rPr>
          <w:rFonts w:ascii="Times New Roman" w:cs="Times New Roman" w:eastAsia="Times New Roman" w:hAnsi="Times New Roman"/>
          <w:sz w:val="18"/>
          <w:szCs w:val="18"/>
          <w:color w:val="auto"/>
        </w:rPr>
        <w:t>. Distributable Earnings, or “DE,” is a key performance benchmark used in our industry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regularly by management in making resource deployment and compensation decisions, and in assessing the performance of our three segments. We also use DE in our budgeting, forecasting, and the overall management of our segments. We believe that reporting DE is helpful to understanding our business and that investors should review the same supplemental financial measure that management uses to analyze our segment performance. DE is intended to show the amount of net realized earnings without the effects of consolidation of the Consolidated Funds. DE is derived from our segment reported results and is an additional measure to assess performance.</w:t>
      </w:r>
    </w:p>
    <w:p>
      <w:pPr>
        <w:spacing w:after="0" w:line="185" w:lineRule="exact"/>
        <w:rPr>
          <w:sz w:val="20"/>
          <w:szCs w:val="20"/>
          <w:color w:val="auto"/>
        </w:rPr>
      </w:pPr>
    </w:p>
    <w:p>
      <w:pPr>
        <w:ind w:right="40" w:firstLine="450"/>
        <w:spacing w:after="0" w:line="269" w:lineRule="auto"/>
        <w:rPr>
          <w:sz w:val="20"/>
          <w:szCs w:val="20"/>
          <w:color w:val="auto"/>
        </w:rPr>
      </w:pPr>
      <w:r>
        <w:rPr>
          <w:rFonts w:ascii="Times New Roman" w:cs="Times New Roman" w:eastAsia="Times New Roman" w:hAnsi="Times New Roman"/>
          <w:sz w:val="17"/>
          <w:szCs w:val="17"/>
          <w:color w:val="auto"/>
        </w:rPr>
        <w:t>Distributable Earnings differs from income (loss) before provision for income taxes computed in accordance with U.S. GAAP in that it includes certain tax expenses associated with certain foreign performance revenues (comprised of performance allocations and incentive fees), and does not include unrealized performance allocations and related compensation expense, unrealized principal investment income, equity-based compensation expense, net income (loss) attributable to non-Carlyle interest in consolidated entities, or charges (credits) related to Carlyle corporate actions and non-recurring items that affect period-to-period comparability and are not reflective of the Company’s operational performance. Charges (credits) related to Carlyle corporate actions and non-recurring items include: charges associated with acquisitions, dispositions, or strategic investments, changes in the tax receivable agreement liability, amortization and any impairment charges associated with acquired intangible assets, transaction costs associated with acquisitions and dispositions, charges associated with earn-outs and contingent consideration including gains and losses associated with the estimated fair value of contingent consideration issued in conjunction with acquisitions or strategic investments, impairment charges associated with lease right-of-use assets, gains and losses from the retirement of debt, charges associated with contract terminations and employee severance, and certain</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52882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16115" cy="5288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general, administrative and other expenses when the timing of any future payment is uncertain, and non-recurring items that affect period-to-period comparability and are not reflective of the Company’s operating performance. We believe the inclusion or exclusion of these items provides investors with a meaningful indication of our core operating performance. This measure supplements and should be considered in addition to and not in lieu of the results of operations discussed further under “— Consolidated Results of Operations” prepared in accordance with U.S. GAAP.</w:t>
      </w:r>
    </w:p>
    <w:p>
      <w:pPr>
        <w:spacing w:after="0" w:line="181" w:lineRule="exact"/>
        <w:rPr>
          <w:sz w:val="20"/>
          <w:szCs w:val="20"/>
          <w:color w:val="auto"/>
        </w:rPr>
      </w:pPr>
    </w:p>
    <w:p>
      <w:pPr>
        <w:ind w:right="200" w:firstLine="450"/>
        <w:spacing w:after="0" w:line="256" w:lineRule="auto"/>
        <w:rPr>
          <w:sz w:val="20"/>
          <w:szCs w:val="20"/>
          <w:color w:val="auto"/>
        </w:rPr>
      </w:pPr>
      <w:r>
        <w:rPr>
          <w:rFonts w:ascii="Times New Roman" w:cs="Times New Roman" w:eastAsia="Times New Roman" w:hAnsi="Times New Roman"/>
          <w:sz w:val="18"/>
          <w:szCs w:val="18"/>
          <w:i w:val="1"/>
          <w:iCs w:val="1"/>
          <w:color w:val="auto"/>
        </w:rPr>
        <w:t>Fee Related Earnings</w:t>
      </w:r>
      <w:r>
        <w:rPr>
          <w:rFonts w:ascii="Times New Roman" w:cs="Times New Roman" w:eastAsia="Times New Roman" w:hAnsi="Times New Roman"/>
          <w:sz w:val="18"/>
          <w:szCs w:val="18"/>
          <w:color w:val="auto"/>
        </w:rPr>
        <w:t>. Fee Related Earnings, or “FRE,” is a component of DE and is used to assess the ability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to cover base compensation and operating expenses from total fee revenues. FRE adjusts DE to exclude net realized performance revenues, realized principal investment income from investments in Carlyle funds, and net interest (interest income less interest expense). Fee Related Earnings includes fee related performance revenues and related compensation expense, which is generally approximately 45% of fee related performance revenues. Fee related performance revenues represent the realized portion of performance revenues that are measured and received on a recurring basis, are not dependent on realization events, and which have no risk of giveback.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Metrics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monitor certain operating metrics that are common to the asset management industry.</w:t>
      </w:r>
    </w:p>
    <w:p>
      <w:pPr>
        <w:spacing w:after="0" w:line="223" w:lineRule="exact"/>
        <w:rPr>
          <w:sz w:val="20"/>
          <w:szCs w:val="20"/>
          <w:color w:val="auto"/>
        </w:rPr>
      </w:pPr>
    </w:p>
    <w:p>
      <w:pPr>
        <w:jc w:val="both"/>
        <w:ind w:right="10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Fee-earning Assets under Management. </w:t>
      </w:r>
      <w:r>
        <w:rPr>
          <w:rFonts w:ascii="Times New Roman" w:cs="Times New Roman" w:eastAsia="Times New Roman" w:hAnsi="Times New Roman"/>
          <w:sz w:val="18"/>
          <w:szCs w:val="18"/>
          <w:color w:val="auto"/>
        </w:rPr>
        <w:t>Fee-earning assets under management or Fee-earning AUM refers to the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manage or advise from which we derive recurring fund management fees. Our Fee-earning AUM is generally based on one of the following, once fees have been activated:</w:t>
      </w:r>
    </w:p>
    <w:p>
      <w:pPr>
        <w:spacing w:after="0" w:line="175" w:lineRule="exact"/>
        <w:rPr>
          <w:sz w:val="20"/>
          <w:szCs w:val="20"/>
          <w:color w:val="auto"/>
        </w:rPr>
      </w:pPr>
    </w:p>
    <w:p>
      <w:pPr>
        <w:jc w:val="both"/>
        <w:ind w:left="980" w:right="20" w:hanging="325"/>
        <w:spacing w:after="0" w:line="26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limited partner capital commitments, generally for carry funds where the original investment period has not expired and for AlpInvest carry funds during the commitment fee period (see “Fee-earning AUM based on capital commitments” in the table below for the amount of this component at each period);</w:t>
      </w:r>
    </w:p>
    <w:p>
      <w:pPr>
        <w:spacing w:after="0" w:line="67" w:lineRule="exact"/>
        <w:rPr>
          <w:rFonts w:ascii="Times New Roman" w:cs="Times New Roman" w:eastAsia="Times New Roman" w:hAnsi="Times New Roman"/>
          <w:sz w:val="18"/>
          <w:szCs w:val="18"/>
          <w:color w:val="auto"/>
        </w:rPr>
      </w:pPr>
    </w:p>
    <w:p>
      <w:pPr>
        <w:ind w:left="980" w:hanging="325"/>
        <w:spacing w:after="0" w:line="261"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amount of limited partner invested capital at cost, generally for carry funds and certain co-investment vehicles where the original investment period has expired and one of our business development companies (see “Fee-earning AUM based on invested capital” in the table below for the amount of this component at each period);</w:t>
      </w:r>
    </w:p>
    <w:p>
      <w:pPr>
        <w:spacing w:after="0" w:line="71" w:lineRule="exact"/>
        <w:rPr>
          <w:rFonts w:ascii="Times New Roman" w:cs="Times New Roman" w:eastAsia="Times New Roman" w:hAnsi="Times New Roman"/>
          <w:sz w:val="18"/>
          <w:szCs w:val="18"/>
          <w:color w:val="auto"/>
        </w:rPr>
      </w:pPr>
    </w:p>
    <w:p>
      <w:pPr>
        <w:ind w:left="980" w:right="20" w:hanging="325"/>
        <w:spacing w:after="0" w:line="26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aggregate fee-earning collateral balance at par of our CLOs and other securitization vehicles, as defined in the fund indentures (pre-2020 CLO vintages are generally exclusive of equities and defaulted positions) as of the quarterly cut-off date;</w:t>
      </w:r>
    </w:p>
    <w:p>
      <w:pPr>
        <w:spacing w:after="0" w:line="67"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external investor portion of the net asset value of certain carry funds (see “Fee-earning AUM based on net</w:t>
      </w:r>
    </w:p>
    <w:p>
      <w:pPr>
        <w:sectPr>
          <w:pgSz w:w="11900" w:h="16838" w:orient="portrait"/>
          <w:cols w:equalWidth="0" w:num="1">
            <w:col w:w="9240"/>
          </w:cols>
          <w:pgMar w:left="1320" w:top="108" w:right="1339" w:bottom="0" w:gutter="0" w:footer="0" w:header="0"/>
        </w:sectPr>
      </w:pPr>
    </w:p>
    <w:bookmarkStart w:id="64" w:name="page65"/>
    <w:bookmarkEnd w:id="64"/>
    <w:p>
      <w:pPr>
        <w:ind w:left="980"/>
        <w:spacing w:after="0"/>
        <w:rPr>
          <w:sz w:val="20"/>
          <w:szCs w:val="20"/>
          <w:color w:val="auto"/>
        </w:rPr>
      </w:pPr>
      <w:r>
        <w:rPr>
          <w:rFonts w:ascii="Times New Roman" w:cs="Times New Roman" w:eastAsia="Times New Roman" w:hAnsi="Times New Roman"/>
          <w:sz w:val="18"/>
          <w:szCs w:val="18"/>
          <w:color w:val="auto"/>
        </w:rPr>
        <w:t>asset value” in the table below for the amount of this component at each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-110490</wp:posOffset>
            </wp:positionV>
            <wp:extent cx="7016115" cy="37738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16115" cy="3773805"/>
                    </a:xfrm>
                    <a:prstGeom prst="rect">
                      <a:avLst/>
                    </a:prstGeom>
                    <a:noFill/>
                  </pic:spPr>
                </pic:pic>
              </a:graphicData>
            </a:graphic>
          </wp:anchor>
        </w:drawing>
      </w:r>
    </w:p>
    <w:p>
      <w:pPr>
        <w:spacing w:after="0" w:line="8" w:lineRule="exact"/>
        <w:rPr>
          <w:sz w:val="20"/>
          <w:szCs w:val="20"/>
          <w:color w:val="auto"/>
        </w:rPr>
      </w:pPr>
    </w:p>
    <w:p>
      <w:pPr>
        <w:ind w:left="980" w:right="200" w:hanging="325"/>
        <w:spacing w:after="0" w:line="260"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Fortitude’s general account assets invested under the strategic advisory services agreement (see “Fee-earning AUM based on fair value and other” in the table below);</w:t>
      </w:r>
    </w:p>
    <w:p>
      <w:pPr>
        <w:spacing w:after="0" w:line="73" w:lineRule="exact"/>
        <w:rPr>
          <w:rFonts w:ascii="Times New Roman" w:cs="Times New Roman" w:eastAsia="Times New Roman" w:hAnsi="Times New Roman"/>
          <w:sz w:val="18"/>
          <w:szCs w:val="18"/>
          <w:color w:val="auto"/>
        </w:rPr>
      </w:pPr>
    </w:p>
    <w:p>
      <w:pPr>
        <w:ind w:left="980" w:right="120" w:hanging="325"/>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assets (including assets acquired with leverage), excluding cash and cash equivalents, of one of our business development companies and certain carry funds (included in “Fee-earning AUM based on lower of cost or fair value and other” in the table below); and</w:t>
      </w:r>
    </w:p>
    <w:p>
      <w:pPr>
        <w:spacing w:after="0" w:line="67" w:lineRule="exact"/>
        <w:rPr>
          <w:rFonts w:ascii="Times New Roman" w:cs="Times New Roman" w:eastAsia="Times New Roman" w:hAnsi="Times New Roman"/>
          <w:sz w:val="18"/>
          <w:szCs w:val="18"/>
          <w:color w:val="auto"/>
        </w:rPr>
      </w:pPr>
    </w:p>
    <w:p>
      <w:pPr>
        <w:ind w:left="980" w:right="160" w:hanging="325"/>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lower of cost or fair value of invested capital, generally for AlpInvest carry funds where the commitment fee period has expired and certain carry funds where the investment period has expired, (included in “Fee-earning AUM based on lower of cost or fair value and other”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66598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16115" cy="665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chart below presents Fee-earning AUM by segment at each period, in billions.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details Fee-earning AUM by its respective components at each period.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1100" w:type="dxa"/>
            <w:vAlign w:val="bottom"/>
            <w:tcBorders>
              <w:bottom w:val="single" w:sz="8" w:color="auto"/>
            </w:tcBorders>
          </w:tcPr>
          <w:p>
            <w:pPr>
              <w:spacing w:after="0"/>
              <w:rPr>
                <w:sz w:val="17"/>
                <w:szCs w:val="17"/>
                <w:color w:val="auto"/>
              </w:rPr>
            </w:pPr>
          </w:p>
        </w:tc>
      </w:tr>
      <w:tr>
        <w:trPr>
          <w:trHeight w:val="236"/>
        </w:trPr>
        <w:tc>
          <w:tcPr>
            <w:tcW w:w="556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7"/>
        </w:trPr>
        <w:tc>
          <w:tcPr>
            <w:tcW w:w="55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Consolidated Results</w:t>
            </w:r>
          </w:p>
        </w:tc>
        <w:tc>
          <w:tcPr>
            <w:tcW w:w="110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100" w:type="dxa"/>
            <w:vAlign w:val="bottom"/>
          </w:tcPr>
          <w:p>
            <w:pPr>
              <w:spacing w:after="0"/>
              <w:rPr>
                <w:sz w:val="20"/>
                <w:szCs w:val="20"/>
                <w:color w:val="auto"/>
              </w:rPr>
            </w:pPr>
          </w:p>
        </w:tc>
      </w:tr>
      <w:tr>
        <w:trPr>
          <w:trHeight w:val="256"/>
        </w:trPr>
        <w:tc>
          <w:tcPr>
            <w:tcW w:w="5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Components of Fee-earning AUM</w:t>
            </w:r>
          </w:p>
        </w:tc>
        <w:tc>
          <w:tcPr>
            <w:tcW w:w="1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70"/>
        </w:trPr>
        <w:tc>
          <w:tcPr>
            <w:tcW w:w="5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Fee-earning AUM based on capital commitments</w:t>
            </w:r>
          </w:p>
        </w:tc>
        <w:tc>
          <w:tcPr>
            <w:tcW w:w="110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72,095</w:t>
            </w:r>
          </w:p>
        </w:tc>
        <w:tc>
          <w:tcPr>
            <w:tcW w:w="60" w:type="dxa"/>
            <w:vAlign w:val="bottom"/>
          </w:tcPr>
          <w:p>
            <w:pPr>
              <w:spacing w:after="0"/>
              <w:rPr>
                <w:sz w:val="23"/>
                <w:szCs w:val="23"/>
                <w:color w:val="auto"/>
              </w:rPr>
            </w:pPr>
          </w:p>
        </w:tc>
        <w:tc>
          <w:tcPr>
            <w:tcW w:w="70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81,854</w:t>
            </w:r>
          </w:p>
        </w:tc>
      </w:tr>
      <w:tr>
        <w:trPr>
          <w:trHeight w:val="270"/>
        </w:trPr>
        <w:tc>
          <w:tcPr>
            <w:tcW w:w="5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Fee-earning AUM based on invested capital</w:t>
            </w:r>
          </w:p>
        </w:tc>
        <w:tc>
          <w:tcPr>
            <w:tcW w:w="1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68,662</w:t>
            </w:r>
          </w:p>
        </w:tc>
        <w:tc>
          <w:tcPr>
            <w:tcW w:w="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61,233</w:t>
            </w:r>
          </w:p>
        </w:tc>
      </w:tr>
      <w:tr>
        <w:trPr>
          <w:trHeight w:val="270"/>
        </w:trPr>
        <w:tc>
          <w:tcPr>
            <w:tcW w:w="5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Fee-earning AUM based on collateral balances, at par</w:t>
            </w:r>
          </w:p>
        </w:tc>
        <w:tc>
          <w:tcPr>
            <w:tcW w:w="1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48,072</w:t>
            </w: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46,268</w:t>
            </w:r>
          </w:p>
        </w:tc>
      </w:tr>
      <w:tr>
        <w:trPr>
          <w:trHeight w:val="270"/>
        </w:trPr>
        <w:tc>
          <w:tcPr>
            <w:tcW w:w="5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Fee-earning AUM based on net asset value</w:t>
            </w:r>
          </w:p>
        </w:tc>
        <w:tc>
          <w:tcPr>
            <w:tcW w:w="1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20,137</w:t>
            </w:r>
          </w:p>
        </w:tc>
        <w:tc>
          <w:tcPr>
            <w:tcW w:w="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12,410</w:t>
            </w:r>
          </w:p>
        </w:tc>
      </w:tr>
      <w:tr>
        <w:trPr>
          <w:trHeight w:val="270"/>
        </w:trPr>
        <w:tc>
          <w:tcPr>
            <w:tcW w:w="55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Fee-earning AUM based on fair value and other</w:t>
            </w:r>
          </w:p>
        </w:tc>
        <w:tc>
          <w:tcPr>
            <w:tcW w:w="11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95,259</w:t>
            </w:r>
          </w:p>
        </w:tc>
        <w:tc>
          <w:tcPr>
            <w:tcW w:w="6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69,593</w:t>
            </w:r>
          </w:p>
        </w:tc>
      </w:tr>
      <w:tr>
        <w:trPr>
          <w:trHeight w:val="234"/>
        </w:trPr>
        <w:tc>
          <w:tcPr>
            <w:tcW w:w="5560" w:type="dxa"/>
            <w:vAlign w:val="bottom"/>
            <w:tcBorders>
              <w:bottom w:val="single" w:sz="8" w:color="CCEEFF"/>
            </w:tcBorders>
            <w:shd w:val="clear" w:color="auto" w:fill="CCEEFF"/>
          </w:tcPr>
          <w:p>
            <w:pPr>
              <w:ind w:left="60"/>
              <w:spacing w:after="0" w:line="210" w:lineRule="exact"/>
              <w:rPr>
                <w:sz w:val="20"/>
                <w:szCs w:val="20"/>
                <w:color w:val="auto"/>
              </w:rPr>
            </w:pPr>
            <w:r>
              <w:rPr>
                <w:rFonts w:ascii="Times New Roman" w:cs="Times New Roman" w:eastAsia="Times New Roman" w:hAnsi="Times New Roman"/>
                <w:sz w:val="16"/>
                <w:szCs w:val="16"/>
                <w:b w:val="1"/>
                <w:bCs w:val="1"/>
                <w:color w:val="auto"/>
              </w:rPr>
              <w:t>Balance, End of Period</w:t>
            </w:r>
            <w:r>
              <w:rPr>
                <w:rFonts w:ascii="Times New Roman" w:cs="Times New Roman" w:eastAsia="Times New Roman" w:hAnsi="Times New Roman"/>
                <w:sz w:val="21"/>
                <w:szCs w:val="21"/>
                <w:b w:val="1"/>
                <w:bCs w:val="1"/>
                <w:color w:val="auto"/>
                <w:vertAlign w:val="superscript"/>
              </w:rPr>
              <w:t>(1)</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304,225</w:t>
            </w:r>
          </w:p>
        </w:tc>
        <w:tc>
          <w:tcPr>
            <w:tcW w:w="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271,358</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right="120" w:hanging="333"/>
        <w:spacing w:after="0" w:line="280"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Ending balances as of March 31, 2024 and 2023 exclude $15.3 billion and $13.4 billion, respectively, of pending Fee-earning AUM for which fees have not yet been activated.</w:t>
      </w:r>
    </w:p>
    <w:p>
      <w:pPr>
        <w:sectPr>
          <w:pgSz w:w="11900" w:h="16838" w:orient="portrait"/>
          <w:cols w:equalWidth="0" w:num="1">
            <w:col w:w="9220"/>
          </w:cols>
          <w:pgMar w:left="1320" w:top="108" w:right="1359" w:bottom="0" w:gutter="0" w:footer="0" w:header="0"/>
        </w:sectPr>
      </w:pP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table below provides the period to period rollforward of Fee-earning AUM.</w:t>
      </w:r>
    </w:p>
    <w:p>
      <w:pPr>
        <w:sectPr>
          <w:pgSz w:w="11900" w:h="16838" w:orient="portrait"/>
          <w:cols w:equalWidth="0" w:num="1">
            <w:col w:w="9220"/>
          </w:cols>
          <w:pgMar w:left="1320" w:top="108" w:right="1359" w:bottom="0" w:gutter="0" w:footer="0" w:header="0"/>
          <w:type w:val="continuous"/>
        </w:sectPr>
      </w:pPr>
    </w:p>
    <w:bookmarkStart w:id="65" w:name="page66"/>
    <w:bookmarkEnd w:id="65"/>
    <w:tbl>
      <w:tblPr>
        <w:tblLayout w:type="fixed"/>
        <w:tblInd w:w="40" w:type="dxa"/>
        <w:tblCellMar>
          <w:top w:w="0" w:type="dxa"/>
          <w:left w:w="0" w:type="dxa"/>
          <w:bottom w:w="0" w:type="dxa"/>
          <w:right w:w="0" w:type="dxa"/>
        </w:tblCellMar>
      </w:tblPr>
      <w:tr>
        <w:trPr>
          <w:trHeight w:val="205"/>
        </w:trPr>
        <w:tc>
          <w:tcPr>
            <w:tcW w:w="5560" w:type="dxa"/>
            <w:vAlign w:val="bottom"/>
          </w:tcPr>
          <w:p>
            <w:pPr>
              <w:spacing w:after="0"/>
              <w:rPr>
                <w:sz w:val="17"/>
                <w:szCs w:val="17"/>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r>
      <w:tr>
        <w:trPr>
          <w:trHeight w:val="250"/>
        </w:trPr>
        <w:tc>
          <w:tcPr>
            <w:tcW w:w="556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21"/>
                <w:szCs w:val="21"/>
                <w:color w:val="auto"/>
              </w:rPr>
            </w:pPr>
          </w:p>
        </w:tc>
      </w:tr>
      <w:tr>
        <w:trPr>
          <w:trHeight w:val="237"/>
        </w:trPr>
        <w:tc>
          <w:tcPr>
            <w:tcW w:w="55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Consolidated Results</w:t>
            </w:r>
          </w:p>
        </w:tc>
        <w:tc>
          <w:tcPr>
            <w:tcW w:w="1080" w:type="dxa"/>
            <w:vAlign w:val="bottom"/>
          </w:tcPr>
          <w:p>
            <w:pPr>
              <w:spacing w:after="0"/>
              <w:rPr>
                <w:sz w:val="20"/>
                <w:szCs w:val="20"/>
                <w:color w:val="auto"/>
              </w:rPr>
            </w:pPr>
          </w:p>
        </w:tc>
        <w:tc>
          <w:tcPr>
            <w:tcW w:w="188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640" w:type="dxa"/>
            <w:vAlign w:val="bottom"/>
          </w:tcPr>
          <w:p>
            <w:pPr>
              <w:spacing w:after="0"/>
              <w:rPr>
                <w:sz w:val="20"/>
                <w:szCs w:val="20"/>
                <w:color w:val="auto"/>
              </w:rPr>
            </w:pPr>
          </w:p>
        </w:tc>
      </w:tr>
      <w:tr>
        <w:trPr>
          <w:trHeight w:val="257"/>
        </w:trPr>
        <w:tc>
          <w:tcPr>
            <w:tcW w:w="5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Fee-earning AUM Rollforward</w:t>
            </w:r>
          </w:p>
        </w:tc>
        <w:tc>
          <w:tcPr>
            <w:tcW w:w="10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270"/>
        </w:trPr>
        <w:tc>
          <w:tcPr>
            <w:tcW w:w="5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08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307,418</w:t>
            </w:r>
          </w:p>
        </w:tc>
        <w:tc>
          <w:tcPr>
            <w:tcW w:w="80" w:type="dxa"/>
            <w:vAlign w:val="bottom"/>
          </w:tcPr>
          <w:p>
            <w:pPr>
              <w:spacing w:after="0"/>
              <w:rPr>
                <w:sz w:val="23"/>
                <w:szCs w:val="23"/>
                <w:color w:val="auto"/>
              </w:rPr>
            </w:pPr>
          </w:p>
        </w:tc>
        <w:tc>
          <w:tcPr>
            <w:tcW w:w="112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266,577</w:t>
            </w:r>
          </w:p>
        </w:tc>
      </w:tr>
      <w:tr>
        <w:trPr>
          <w:trHeight w:val="270"/>
        </w:trPr>
        <w:tc>
          <w:tcPr>
            <w:tcW w:w="5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Inflows</w:t>
            </w:r>
            <w:r>
              <w:rPr>
                <w:rFonts w:ascii="Times New Roman" w:cs="Times New Roman" w:eastAsia="Times New Roman" w:hAnsi="Times New Roman"/>
                <w:sz w:val="21"/>
                <w:szCs w:val="21"/>
                <w:color w:val="auto"/>
                <w:vertAlign w:val="superscript"/>
              </w:rPr>
              <w:t>(1)</w:t>
            </w:r>
          </w:p>
        </w:tc>
        <w:tc>
          <w:tcPr>
            <w:tcW w:w="10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5,664</w:t>
            </w:r>
          </w:p>
        </w:tc>
        <w:tc>
          <w:tcPr>
            <w:tcW w:w="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6,278</w:t>
            </w:r>
          </w:p>
        </w:tc>
      </w:tr>
      <w:tr>
        <w:trPr>
          <w:trHeight w:val="270"/>
        </w:trPr>
        <w:tc>
          <w:tcPr>
            <w:tcW w:w="5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Outflows (including realizations)</w:t>
            </w:r>
            <w:r>
              <w:rPr>
                <w:rFonts w:ascii="Times New Roman" w:cs="Times New Roman" w:eastAsia="Times New Roman" w:hAnsi="Times New Roman"/>
                <w:sz w:val="21"/>
                <w:szCs w:val="21"/>
                <w:color w:val="auto"/>
                <w:vertAlign w:val="superscript"/>
              </w:rPr>
              <w:t>(2)</w:t>
            </w:r>
          </w:p>
        </w:tc>
        <w:tc>
          <w:tcPr>
            <w:tcW w:w="10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(6,311)</w:t>
            </w: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(2,853)</w:t>
            </w:r>
          </w:p>
        </w:tc>
      </w:tr>
      <w:tr>
        <w:trPr>
          <w:trHeight w:val="270"/>
        </w:trPr>
        <w:tc>
          <w:tcPr>
            <w:tcW w:w="5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Market Activity &amp; Other</w:t>
            </w:r>
            <w:r>
              <w:rPr>
                <w:rFonts w:ascii="Times New Roman" w:cs="Times New Roman" w:eastAsia="Times New Roman" w:hAnsi="Times New Roman"/>
                <w:sz w:val="21"/>
                <w:szCs w:val="21"/>
                <w:color w:val="auto"/>
                <w:vertAlign w:val="superscript"/>
              </w:rPr>
              <w:t>(3)</w:t>
            </w:r>
          </w:p>
        </w:tc>
        <w:tc>
          <w:tcPr>
            <w:tcW w:w="10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r>
      <w:tr>
        <w:trPr>
          <w:trHeight w:val="270"/>
        </w:trPr>
        <w:tc>
          <w:tcPr>
            <w:tcW w:w="55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Foreign Exchange</w:t>
            </w:r>
            <w:r>
              <w:rPr>
                <w:rFonts w:ascii="Times New Roman" w:cs="Times New Roman" w:eastAsia="Times New Roman" w:hAnsi="Times New Roman"/>
                <w:sz w:val="21"/>
                <w:szCs w:val="21"/>
                <w:color w:val="auto"/>
                <w:vertAlign w:val="superscript"/>
              </w:rPr>
              <w:t>(4)</w:t>
            </w:r>
          </w:p>
        </w:tc>
        <w:tc>
          <w:tcPr>
            <w:tcW w:w="10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8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w:t>
            </w:r>
          </w:p>
        </w:tc>
      </w:tr>
      <w:tr>
        <w:trPr>
          <w:trHeight w:val="234"/>
        </w:trPr>
        <w:tc>
          <w:tcPr>
            <w:tcW w:w="55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304,225</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271,358</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4022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16115" cy="240220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80314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16115" cy="803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4" w:lineRule="exact"/>
        <w:rPr>
          <w:sz w:val="20"/>
          <w:szCs w:val="20"/>
          <w:color w:val="auto"/>
        </w:rPr>
      </w:pPr>
    </w:p>
    <w:p>
      <w:pPr>
        <w:ind w:left="340" w:right="20" w:hanging="333"/>
        <w:spacing w:after="0" w:line="260" w:lineRule="auto"/>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Inflows represents limited partner capital raised by our carry funds or separately managed accounts for which management fees based on commitments were activated during the period, the fee-earning commitments invested in vehicles for which management fees are based on invested capital, the fee-earning collateral balance of new CLO issuances, closed reinsurance transactions at Fortitude, as well as gross subscriptions in our vehicles for which management fees are based on net asset value. Inflows exclude fundraising amounts during the period for which fees have not yet been activated, which are referenced as Pending Fee-earning AUM. Inflows for the three months ended March 31, 2023 include $2.4 billion of Fee-earning AUM related to closed reinsurance transactions at Fortitude.</w:t>
      </w:r>
    </w:p>
    <w:p>
      <w:pPr>
        <w:spacing w:after="0" w:line="73" w:lineRule="exact"/>
        <w:rPr>
          <w:rFonts w:ascii="Times New Roman" w:cs="Times New Roman" w:eastAsia="Times New Roman" w:hAnsi="Times New Roman"/>
          <w:sz w:val="16"/>
          <w:szCs w:val="16"/>
          <w:color w:val="auto"/>
        </w:rPr>
      </w:pPr>
    </w:p>
    <w:p>
      <w:pPr>
        <w:ind w:left="340" w:right="20" w:hanging="333"/>
        <w:spacing w:after="0" w:line="263" w:lineRule="auto"/>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Outflows represents the impact of realizations from vehicles with management fees based on remaining invested capital at cost or fair value, changes in basis for funds where the investment period, weighted-average investment period or commitment fee period has expired during the period, reductions for funds that are no longer calling for fees, gross redemptions in our open-end funds, and outflows from our liquid credit products. Distributions for funds earning management fees based on commitments during the period do not affect Fee-earning AUM.</w:t>
      </w:r>
    </w:p>
    <w:p>
      <w:pPr>
        <w:spacing w:after="0" w:line="71" w:lineRule="exact"/>
        <w:rPr>
          <w:rFonts w:ascii="Times New Roman" w:cs="Times New Roman" w:eastAsia="Times New Roman" w:hAnsi="Times New Roman"/>
          <w:sz w:val="16"/>
          <w:szCs w:val="16"/>
          <w:color w:val="auto"/>
        </w:rPr>
      </w:pPr>
    </w:p>
    <w:p>
      <w:pPr>
        <w:jc w:val="both"/>
        <w:ind w:left="340" w:hanging="333"/>
        <w:spacing w:after="0" w:line="272" w:lineRule="auto"/>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Activity &amp; Other represents realized and unrealized gains (losses) on portfolio investments in our carry funds based on the lower of cost or fair value and net asset value, activity of funds with fees based on gross asset value, and changes in the fair value of Fortitude’s general account assets covered by the strategic advisory services agreement.</w:t>
      </w:r>
    </w:p>
    <w:p>
      <w:pPr>
        <w:spacing w:after="0" w:line="76" w:lineRule="exact"/>
        <w:rPr>
          <w:rFonts w:ascii="Times New Roman" w:cs="Times New Roman" w:eastAsia="Times New Roman" w:hAnsi="Times New Roman"/>
          <w:sz w:val="16"/>
          <w:szCs w:val="16"/>
          <w:color w:val="auto"/>
        </w:rPr>
      </w:pPr>
    </w:p>
    <w:p>
      <w:pPr>
        <w:ind w:left="340" w:right="160" w:hanging="333"/>
        <w:spacing w:after="0" w:line="263" w:lineRule="auto"/>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87"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Refer to “—Segment Analysis” for a detailed discussion by segment of the activity affecting Fee-earning AUM for each of the periods presented by segment.</w:t>
      </w:r>
    </w:p>
    <w:p>
      <w:pPr>
        <w:spacing w:after="0" w:line="160" w:lineRule="exact"/>
        <w:rPr>
          <w:sz w:val="20"/>
          <w:szCs w:val="20"/>
          <w:color w:val="auto"/>
        </w:rPr>
      </w:pPr>
    </w:p>
    <w:p>
      <w:pPr>
        <w:ind w:right="3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Assets under Management</w:t>
      </w:r>
      <w:r>
        <w:rPr>
          <w:rFonts w:ascii="Times New Roman" w:cs="Times New Roman" w:eastAsia="Times New Roman" w:hAnsi="Times New Roman"/>
          <w:sz w:val="18"/>
          <w:szCs w:val="18"/>
          <w:color w:val="auto"/>
        </w:rPr>
        <w:t>. Assets under management or “AUM” refers to the assets we manage or advise. Our AUM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equals the sum of the following:</w:t>
      </w:r>
    </w:p>
    <w:p>
      <w:pPr>
        <w:spacing w:after="0" w:line="160" w:lineRule="exact"/>
        <w:rPr>
          <w:sz w:val="20"/>
          <w:szCs w:val="20"/>
          <w:color w:val="auto"/>
        </w:rPr>
      </w:pPr>
    </w:p>
    <w:p>
      <w:pPr>
        <w:jc w:val="both"/>
        <w:ind w:left="580" w:right="80" w:hanging="330"/>
        <w:spacing w:after="0" w:line="261" w:lineRule="auto"/>
        <w:tabs>
          <w:tab w:leader="none" w:pos="59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fair value of our carry funds and related co-investment vehicles, and separately managed accounts, plus the capital that Carlyle is entitled to call from investors in those funds and vehicles (including Carlyle commitments to those funds and vehicles and those of senior Carlyle professionals and employees) pursuant to the terms of their capital commitments to those funds and vehicles;</w:t>
      </w:r>
    </w:p>
    <w:p>
      <w:pPr>
        <w:spacing w:after="0" w:line="71" w:lineRule="exact"/>
        <w:rPr>
          <w:rFonts w:ascii="Times New Roman" w:cs="Times New Roman" w:eastAsia="Times New Roman" w:hAnsi="Times New Roman"/>
          <w:sz w:val="18"/>
          <w:szCs w:val="18"/>
          <w:color w:val="auto"/>
        </w:rPr>
      </w:pPr>
    </w:p>
    <w:p>
      <w:pPr>
        <w:ind w:left="580" w:right="220" w:hanging="330"/>
        <w:spacing w:after="0" w:line="282" w:lineRule="auto"/>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aggregate collateral balance and principal cash at par or aggregate principal amount of the notes of our CLOs and other structured products (inclusive of all positions);</w:t>
      </w:r>
    </w:p>
    <w:p>
      <w:pPr>
        <w:spacing w:after="0" w:line="53" w:lineRule="exact"/>
        <w:rPr>
          <w:rFonts w:ascii="Times New Roman" w:cs="Times New Roman" w:eastAsia="Times New Roman" w:hAnsi="Times New Roman"/>
          <w:sz w:val="18"/>
          <w:szCs w:val="18"/>
          <w:color w:val="auto"/>
        </w:rPr>
      </w:pPr>
    </w:p>
    <w:p>
      <w:pPr>
        <w:ind w:left="580" w:hanging="330"/>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of certain carry funds;</w:t>
      </w:r>
    </w:p>
    <w:p>
      <w:pPr>
        <w:spacing w:after="0" w:line="117" w:lineRule="exact"/>
        <w:rPr>
          <w:rFonts w:ascii="Times New Roman" w:cs="Times New Roman" w:eastAsia="Times New Roman" w:hAnsi="Times New Roman"/>
          <w:sz w:val="18"/>
          <w:szCs w:val="18"/>
          <w:color w:val="auto"/>
        </w:rPr>
      </w:pPr>
    </w:p>
    <w:p>
      <w:pPr>
        <w:ind w:left="580" w:hanging="330"/>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Fortitude’s general account assets invested under the strategic advisory services agreement; and</w:t>
      </w:r>
    </w:p>
    <w:p>
      <w:pPr>
        <w:spacing w:after="0" w:line="117" w:lineRule="exact"/>
        <w:rPr>
          <w:rFonts w:ascii="Times New Roman" w:cs="Times New Roman" w:eastAsia="Times New Roman" w:hAnsi="Times New Roman"/>
          <w:sz w:val="18"/>
          <w:szCs w:val="18"/>
          <w:color w:val="auto"/>
        </w:rPr>
      </w:pPr>
    </w:p>
    <w:p>
      <w:pPr>
        <w:ind w:left="580" w:right="120" w:hanging="330"/>
        <w:spacing w:after="0" w:line="266" w:lineRule="auto"/>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assets (including assets acquired with leverage) of our business development companies, plus the capital that Carlyle is entitled to call from investors in those vehicles pursuant to the terms of their capital commitments to those vehicles.</w:t>
      </w:r>
    </w:p>
    <w:p>
      <w:pPr>
        <w:sectPr>
          <w:pgSz w:w="11900" w:h="16838" w:orient="portrait"/>
          <w:cols w:equalWidth="0" w:num="1">
            <w:col w:w="9220"/>
          </w:cols>
          <w:pgMar w:left="1320" w:top="299" w:right="1359" w:bottom="1440" w:gutter="0" w:footer="0" w:header="0"/>
        </w:sectPr>
      </w:pPr>
    </w:p>
    <w:bookmarkStart w:id="66" w:name="page67"/>
    <w:bookmarkEnd w:id="66"/>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30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16115" cy="1030605"/>
                    </a:xfrm>
                    <a:prstGeom prst="rect">
                      <a:avLst/>
                    </a:prstGeom>
                    <a:noFill/>
                  </pic:spPr>
                </pic:pic>
              </a:graphicData>
            </a:graphic>
          </wp:anchor>
        </w:drawing>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9073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chart below presents Total AUM by segment at each period, in billions.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40" w:firstLine="486"/>
        <w:spacing w:after="0" w:line="256" w:lineRule="auto"/>
        <w:rPr>
          <w:sz w:val="20"/>
          <w:szCs w:val="20"/>
          <w:color w:val="auto"/>
        </w:rPr>
      </w:pPr>
      <w:r>
        <w:rPr>
          <w:rFonts w:ascii="Times New Roman" w:cs="Times New Roman" w:eastAsia="Times New Roman" w:hAnsi="Times New Roman"/>
          <w:sz w:val="18"/>
          <w:szCs w:val="18"/>
          <w:color w:val="auto"/>
        </w:rPr>
        <w:t>We include in our calculation of AUM and Fee-earning AUM the Legacy Energy Funds that we jointly advise with Riverstone and the NGP Energy Funds that are advised by NGP. Our calculation of AUM also includes third-party capital raised for the investment in Fortitude through a Carlyle-affiliated investment fund and from strategic investors who directly invest in Fortitude alongside the fund. The AUM and Fee-earning AUM related to the strategic advisory services agreement with Fortitude is inclusive of the net asset value of investments in Carlyle products. These amounts are also reflected in the AUM and Fee-earning AUM of the strategy in which they are invested.</w:t>
      </w:r>
    </w:p>
    <w:p>
      <w:pPr>
        <w:spacing w:after="0" w:line="18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For most of our carry funds, total AUM includes the fair value of the capital invested, whereas Fee-earning AUM includes the amount of capital commitments or the remaining amount of invested capital, depending on whether the original investment period for the fund has expired. As such, Fee-earning AUM may be greater than total AUM when the aggregate fair value of the remaining investments is less than the cost of those investments.</w:t>
      </w:r>
    </w:p>
    <w:p>
      <w:pPr>
        <w:spacing w:after="0" w:line="180"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Our calculations of AUM and Fee-earning AUM may differ from the calculations of other asset managers. As a result, these measures may not be comparable to similar measures presented by other asset managers. In addition, our calculation of AUM (but not Fee-earning AUM) includes uncalled commitments to, and the fair value of invested capital in, our investment funds from Carlyle and our personnel, regardless of whether such commitments or invested capital are subject to management fees or performance allocations. Our calculations of AUM or Fee-earning AUM are not based on any definition of AUM or Fee-earning AUM that is set forth in the agreements governing the investment funds that we manage or advise.</w:t>
      </w:r>
    </w:p>
    <w:p>
      <w:pPr>
        <w:spacing w:after="0" w:line="187" w:lineRule="exact"/>
        <w:rPr>
          <w:sz w:val="20"/>
          <w:szCs w:val="20"/>
          <w:color w:val="auto"/>
        </w:rPr>
      </w:pPr>
    </w:p>
    <w:p>
      <w:pPr>
        <w:ind w:right="600" w:firstLine="486"/>
        <w:spacing w:after="0" w:line="266" w:lineRule="auto"/>
        <w:rPr>
          <w:sz w:val="20"/>
          <w:szCs w:val="20"/>
          <w:color w:val="auto"/>
        </w:rPr>
      </w:pPr>
      <w:r>
        <w:rPr>
          <w:rFonts w:ascii="Times New Roman" w:cs="Times New Roman" w:eastAsia="Times New Roman" w:hAnsi="Times New Roman"/>
          <w:sz w:val="18"/>
          <w:szCs w:val="18"/>
          <w:color w:val="auto"/>
        </w:rPr>
        <w:t>We generally use Fee-earning AUM as a metric to measure changes in the assets from which we earn recurring management fees. Total AUM tends to be a better measure of our investment and fundraising performance as it reflects investments at fair value plus available capital.</w:t>
      </w:r>
    </w:p>
    <w:p>
      <w:pPr>
        <w:sectPr>
          <w:pgSz w:w="11900" w:h="16838" w:orient="portrait"/>
          <w:cols w:equalWidth="0" w:num="1">
            <w:col w:w="9180"/>
          </w:cols>
          <w:pgMar w:left="1320" w:top="1107" w:right="1399" w:bottom="5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2476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16115" cy="247650"/>
                    </a:xfrm>
                    <a:prstGeom prst="rect">
                      <a:avLst/>
                    </a:prstGeom>
                    <a:noFill/>
                  </pic:spPr>
                </pic:pic>
              </a:graphicData>
            </a:graphic>
          </wp:anchor>
        </w:drawing>
      </w:r>
    </w:p>
    <w:p>
      <w:pPr>
        <w:sectPr>
          <w:pgSz w:w="11900" w:h="16838" w:orient="portrait"/>
          <w:cols w:equalWidth="0" w:num="1">
            <w:col w:w="9180"/>
          </w:cols>
          <w:pgMar w:left="1320" w:top="1107" w:right="1399" w:bottom="542"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-110490</wp:posOffset>
            </wp:positionV>
            <wp:extent cx="7016115" cy="8814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16115" cy="8814435"/>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provides the period to period rollforward of Total AUM.</w:t>
      </w:r>
    </w:p>
    <w:p>
      <w:pPr>
        <w:spacing w:after="0" w:line="208"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3"/>
        </w:trPr>
        <w:tc>
          <w:tcPr>
            <w:tcW w:w="5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50"/>
        </w:trPr>
        <w:tc>
          <w:tcPr>
            <w:tcW w:w="5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 Results</w:t>
            </w:r>
          </w:p>
        </w:tc>
        <w:tc>
          <w:tcPr>
            <w:tcW w:w="140" w:type="dxa"/>
            <w:vAlign w:val="bottom"/>
          </w:tcPr>
          <w:p>
            <w:pPr>
              <w:spacing w:after="0"/>
              <w:rPr>
                <w:sz w:val="21"/>
                <w:szCs w:val="21"/>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(Dollars in millions)</w:t>
            </w:r>
          </w:p>
        </w:tc>
      </w:tr>
      <w:tr>
        <w:trPr>
          <w:trHeight w:val="270"/>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AUM Rollforward</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70"/>
        </w:trPr>
        <w:tc>
          <w:tcPr>
            <w:tcW w:w="5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425,994</w:t>
            </w:r>
          </w:p>
        </w:tc>
      </w:tr>
      <w:tr>
        <w:trPr>
          <w:trHeight w:val="270"/>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Inflows</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5,334</w:t>
            </w:r>
          </w:p>
        </w:tc>
      </w:tr>
      <w:tr>
        <w:trPr>
          <w:trHeight w:val="270"/>
        </w:trPr>
        <w:tc>
          <w:tcPr>
            <w:tcW w:w="5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Outflows (including realizations)</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(7,569)</w:t>
            </w:r>
          </w:p>
        </w:tc>
      </w:tr>
      <w:tr>
        <w:trPr>
          <w:trHeight w:val="270"/>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Market Activity &amp; Other</w:t>
            </w:r>
            <w:r>
              <w:rPr>
                <w:rFonts w:ascii="Times New Roman" w:cs="Times New Roman" w:eastAsia="Times New Roman" w:hAnsi="Times New Roman"/>
                <w:sz w:val="21"/>
                <w:szCs w:val="21"/>
                <w:color w:val="auto"/>
                <w:vertAlign w:val="superscript"/>
              </w:rPr>
              <w:t>(3)</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3,720</w:t>
            </w:r>
          </w:p>
        </w:tc>
      </w:tr>
      <w:tr>
        <w:trPr>
          <w:trHeight w:val="270"/>
        </w:trPr>
        <w:tc>
          <w:tcPr>
            <w:tcW w:w="5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Foreign Exchange</w:t>
            </w:r>
            <w:r>
              <w:rPr>
                <w:rFonts w:ascii="Times New Roman" w:cs="Times New Roman" w:eastAsia="Times New Roman" w:hAnsi="Times New Roman"/>
                <w:sz w:val="21"/>
                <w:szCs w:val="21"/>
                <w:color w:val="auto"/>
                <w:vertAlign w:val="superscript"/>
              </w:rPr>
              <w:t>(4)</w:t>
            </w:r>
          </w:p>
        </w:tc>
        <w:tc>
          <w:tcPr>
            <w:tcW w:w="1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(2,014)</w:t>
            </w:r>
          </w:p>
        </w:tc>
      </w:tr>
      <w:tr>
        <w:trPr>
          <w:trHeight w:val="248"/>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425,465</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340" w:right="60" w:hanging="333"/>
        <w:spacing w:after="0" w:line="263" w:lineRule="auto"/>
        <w:tabs>
          <w:tab w:leader="none" w:pos="3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Inflows reflects the impact of gross fundraising and closed reinsurance transactions at Fortitude during the period. For funds or vehicles denominated in foreign currencies, this reflects translation at the average quarterly rate, while the separately reported Fundraising metric is translated at the spot rate for each individual closing.</w:t>
      </w:r>
    </w:p>
    <w:p>
      <w:pPr>
        <w:spacing w:after="0" w:line="83" w:lineRule="exact"/>
        <w:rPr>
          <w:rFonts w:ascii="Times New Roman" w:cs="Times New Roman" w:eastAsia="Times New Roman" w:hAnsi="Times New Roman"/>
          <w:sz w:val="16"/>
          <w:szCs w:val="16"/>
          <w:color w:val="auto"/>
        </w:rPr>
      </w:pPr>
    </w:p>
    <w:p>
      <w:pPr>
        <w:ind w:left="340" w:right="60" w:hanging="333"/>
        <w:spacing w:after="0" w:line="272" w:lineRule="auto"/>
        <w:tabs>
          <w:tab w:leader="none" w:pos="3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Outflows includes distributions net of recallable or recyclable amounts in our carry funds, related co-investment vehicles, and separately managed accounts, gross redemptions in our open-end funds, outflows from our liquid credit products, and the expiration of available capital.</w:t>
      </w:r>
    </w:p>
    <w:p>
      <w:pPr>
        <w:spacing w:after="0" w:line="62" w:lineRule="exact"/>
        <w:rPr>
          <w:rFonts w:ascii="Times New Roman" w:cs="Times New Roman" w:eastAsia="Times New Roman" w:hAnsi="Times New Roman"/>
          <w:sz w:val="16"/>
          <w:szCs w:val="16"/>
          <w:color w:val="auto"/>
        </w:rPr>
      </w:pPr>
    </w:p>
    <w:p>
      <w:pPr>
        <w:ind w:left="340" w:hanging="333"/>
        <w:spacing w:after="0" w:line="263" w:lineRule="auto"/>
        <w:tabs>
          <w:tab w:leader="none" w:pos="3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Activity &amp; Other generally represents realized and unrealized gains (losses) on portfolio investments in our carry funds and related co-investment vehicles, and separately managed accounts, as well as the net impact of fees, expenses and non-investment income, change in gross asset value for our business development companies, changes in the fair value of Fortitude’s general account assets covered by the strategic advisory services agreement, and other changes in AUM.</w:t>
      </w:r>
    </w:p>
    <w:p>
      <w:pPr>
        <w:spacing w:after="0" w:line="84" w:lineRule="exact"/>
        <w:rPr>
          <w:rFonts w:ascii="Times New Roman" w:cs="Times New Roman" w:eastAsia="Times New Roman" w:hAnsi="Times New Roman"/>
          <w:sz w:val="16"/>
          <w:szCs w:val="16"/>
          <w:color w:val="auto"/>
        </w:rPr>
      </w:pPr>
    </w:p>
    <w:p>
      <w:pPr>
        <w:ind w:left="340" w:right="180" w:hanging="333"/>
        <w:spacing w:after="0" w:line="263" w:lineRule="auto"/>
        <w:tabs>
          <w:tab w:leader="none" w:pos="3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87"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Please refer to “—Segment Analysis” for a detailed discussion by segment of the activity affecting Total AUM for each of the periods presented.</w:t>
      </w:r>
    </w:p>
    <w:p>
      <w:pPr>
        <w:spacing w:after="0" w:line="160"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Available Capital</w:t>
      </w:r>
      <w:r>
        <w:rPr>
          <w:rFonts w:ascii="Times New Roman" w:cs="Times New Roman" w:eastAsia="Times New Roman" w:hAnsi="Times New Roman"/>
          <w:sz w:val="18"/>
          <w:szCs w:val="18"/>
          <w:color w:val="auto"/>
        </w:rPr>
        <w:t>. “Available Capital” refers to the amount of capital commitments available to be called for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reduced for equity invested that is funded via a fund credit facility and expected to be called from investors at a later date, plus any additional assets/liabilities at the fund level other than active investments. Amounts previously called may be added back to available capital following certain distributions. “Expired Available Capital” occurs when a fund has passed the investment and follow-on periods and can no longer invest capital into new or existing deals. Any remaining Available Capital, typically a result of either recycled distributions or specific reserves established for the follow-on period that are not drawn, can only be called for fees and expenses and is therefore removed from the Total AUM calculation.</w:t>
      </w:r>
    </w:p>
    <w:p>
      <w:pPr>
        <w:spacing w:after="0" w:line="183"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Perpetual Capital</w:t>
      </w:r>
      <w:r>
        <w:rPr>
          <w:rFonts w:ascii="Times New Roman" w:cs="Times New Roman" w:eastAsia="Times New Roman" w:hAnsi="Times New Roman"/>
          <w:sz w:val="18"/>
          <w:szCs w:val="18"/>
          <w:color w:val="auto"/>
        </w:rPr>
        <w:t>. “Perpetual Capital” refers to the assets we manage or advise which have an indefinite term and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there is no immediate requirement to return capital to investors upon the realization of investments made with such capital, except as required by applicable law. Perpetual Capital may be materially reduced or terminated under certain conditions, including reductions from changes in valuations and payments to investors, including through elections by investors to redeem their investments, dividend payments, and other payment obligations, as well as the termination of or failure to renew the respective investment advisory agreements. Perpetual Capital includes: (a) assets managed under the strategic advisory services agreement with Fortitude, (b) our Core Plus real estate fund, (c) our business development companies and certain other direct lending products, (d) our Interval Fund (“CTAC”) and (e) our closed-end tender offer fund Carlyle AlpInvest Private Markets Fund (“CAPM”). As of March 31, 2024, our total AUM and Fee-earning AUM included $93.1 billion and $89.6 billion, respectively, of Perpetual Capital.</w:t>
      </w:r>
    </w:p>
    <w:p>
      <w:pPr>
        <w:spacing w:after="0" w:line="18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Performance Fee Eligible AUM</w:t>
      </w:r>
      <w:r>
        <w:rPr>
          <w:rFonts w:ascii="Times New Roman" w:cs="Times New Roman" w:eastAsia="Times New Roman" w:hAnsi="Times New Roman"/>
          <w:sz w:val="18"/>
          <w:szCs w:val="18"/>
          <w:color w:val="auto"/>
        </w:rPr>
        <w:t>. “Performance Fee Eligible AUM” represents the AUM of funds for which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receive performance allocations, inclusive of the fair value of investments in those funds (which we refer to as “Performance Fee Eligible Fair Value”) and their Available Capital. Performance Fee Eligible Fair Value is “Performance Fee-Generating” when the associated fund has achieved the specified investment returns required under the terms of the fund’s agreement and is accruing performance revenue as of the quarter-end reporting date. Funds whose performance allocations are treated as fee related performance allocations are excluded from these metrics. As of March 31, 2024, our total AUM included $217.5 billion of Performance Fee Eligible AUM.</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16192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16115" cy="161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Consolidation of Certain Carlyle Funds</w:t>
      </w:r>
    </w:p>
    <w:p>
      <w:pPr>
        <w:spacing w:after="0" w:line="22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Company consolidates all entities that it controls either through a majority voting interest or as the primary beneficiary of variable interest entities. The entities we consolidate are referred to collectively as the Consolidated Funds in our condensed consolidated financial statements. As of March 31, 2024, our Consolidated Funds represent approximately 2% of our AUM; 1% of our management fees for the three months ended March 31, 2024; and 9% of our total investment income or loss on an unconsolidated basis for the three months ended March 31, 2024.</w:t>
      </w:r>
    </w:p>
    <w:p>
      <w:pPr>
        <w:sectPr>
          <w:pgSz w:w="11900" w:h="16838" w:orient="portrait"/>
          <w:cols w:equalWidth="0" w:num="1">
            <w:col w:w="9240"/>
          </w:cols>
          <w:pgMar w:left="1320" w:top="108" w:right="1339" w:bottom="0" w:gutter="0" w:footer="0" w:header="0"/>
        </w:sectPr>
      </w:pPr>
    </w:p>
    <w:bookmarkStart w:id="68" w:name="page69"/>
    <w:bookmarkEnd w:id="68"/>
    <w:p>
      <w:pPr>
        <w:spacing w:after="0" w:line="6" w:lineRule="exact"/>
        <w:rPr>
          <w:sz w:val="20"/>
          <w:szCs w:val="20"/>
          <w:color w:val="auto"/>
        </w:rPr>
      </w:pPr>
    </w:p>
    <w:p>
      <w:pPr>
        <w:ind w:right="220" w:firstLine="445"/>
        <w:spacing w:after="0" w:line="243" w:lineRule="auto"/>
        <w:rPr>
          <w:sz w:val="20"/>
          <w:szCs w:val="20"/>
          <w:color w:val="auto"/>
        </w:rPr>
      </w:pPr>
      <w:r>
        <w:rPr>
          <w:rFonts w:ascii="Times New Roman" w:cs="Times New Roman" w:eastAsia="Times New Roman" w:hAnsi="Times New Roman"/>
          <w:sz w:val="17"/>
          <w:szCs w:val="17"/>
          <w:color w:val="auto"/>
        </w:rPr>
        <w:t>We are not required under the consolidation guidance to consolidate in our financial statements most of the investment funds we advise. However, we consolidate certain CLOs and certain other funds that we advise. As of March 31, 2024,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-230505</wp:posOffset>
            </wp:positionV>
            <wp:extent cx="7016115" cy="74428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16115" cy="7442835"/>
                    </a:xfrm>
                    <a:prstGeom prst="rect">
                      <a:avLst/>
                    </a:prstGeom>
                    <a:noFill/>
                  </pic:spPr>
                </pic:pic>
              </a:graphicData>
            </a:graphic>
          </wp:anchor>
        </w:drawing>
      </w:r>
    </w:p>
    <w:p>
      <w:pPr>
        <w:spacing w:after="0" w:line="255" w:lineRule="auto"/>
        <w:rPr>
          <w:sz w:val="20"/>
          <w:szCs w:val="20"/>
          <w:color w:val="auto"/>
        </w:rPr>
      </w:pPr>
      <w:r>
        <w:rPr>
          <w:rFonts w:ascii="Times New Roman" w:cs="Times New Roman" w:eastAsia="Times New Roman" w:hAnsi="Times New Roman"/>
          <w:sz w:val="18"/>
          <w:szCs w:val="18"/>
          <w:color w:val="auto"/>
        </w:rPr>
        <w:t>assets and liabilities of the Consolidated Funds were primarily related to our consolidated CLOs which held approximately $7.1 billion of total assets of the Consolidated Funds. The assets and liabilities of the Consolidated Funds are generally held within separate legal entities and, as a result, the liabilities of the Consolidated Funds are non-recourse to us.</w:t>
      </w:r>
    </w:p>
    <w:p>
      <w:pPr>
        <w:spacing w:after="0" w:line="186"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Generally, the consolidation of the Consolidated Funds has a gross-up effect on our assets, liabilities and cash flows but has no net effect on the net income attributable to the Company and equity. The majority of the net economic ownership interests of the Consolidated Funds are reflected as non-controlling interests in consolidated entities in the consolidated financial statements.</w:t>
      </w:r>
    </w:p>
    <w:p>
      <w:pPr>
        <w:spacing w:after="0" w:line="180"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Consolidated Funds are not the same entities in all periods presented. The Consolidated Funds in future periods may change due to changes in fund terms, formation of new funds, and terminations of funds. Because only a small portion of our funds are consolidated, the performance of the Consolidated Funds is not necessarily consistent with or representative of the combined performance trends of all of our funds.</w:t>
      </w:r>
    </w:p>
    <w:p>
      <w:pPr>
        <w:spacing w:after="0" w:line="180" w:lineRule="exact"/>
        <w:rPr>
          <w:sz w:val="20"/>
          <w:szCs w:val="20"/>
          <w:color w:val="auto"/>
        </w:rPr>
      </w:pPr>
    </w:p>
    <w:p>
      <w:pPr>
        <w:jc w:val="both"/>
        <w:ind w:right="460" w:firstLine="445"/>
        <w:spacing w:after="0" w:line="266" w:lineRule="auto"/>
        <w:rPr>
          <w:sz w:val="20"/>
          <w:szCs w:val="20"/>
          <w:color w:val="auto"/>
        </w:rPr>
      </w:pPr>
      <w:r>
        <w:rPr>
          <w:rFonts w:ascii="Times New Roman" w:cs="Times New Roman" w:eastAsia="Times New Roman" w:hAnsi="Times New Roman"/>
          <w:sz w:val="18"/>
          <w:szCs w:val="18"/>
          <w:color w:val="auto"/>
        </w:rPr>
        <w:t>For further information on our consolidation policy and the consolidation of certain funds, see Note 2, Summary of Significant Accounting Policies, to the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29908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16115" cy="299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The following table and discussion sets forth information regarding our condensed consolidated results of operations for the three months ended March 31, 2024 and 2023. The condensed consolidated financial statements have been prepared on substantially the same basis for all historical periods presented; however, the consolidated funds are not the same entities in all periods shown due to changes in fund terms and the creation and termination of funds. As further described above, the consolidation of these funds primarily has the impact of increasing interest and other income of Consolidated Funds, interest and other expenses of Consolidated Funds, and net investment income (losses) of Consolidated Funds in the year that the fund is initially consolidated. The consolidation of these funds had no effect on net income attributable to the Company for the periods presented.</w:t>
      </w: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5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60" w:type="dxa"/>
            <w:vAlign w:val="bottom"/>
            <w:gridSpan w:val="3"/>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160" w:type="dxa"/>
            <w:vAlign w:val="bottom"/>
            <w:gridSpan w:val="2"/>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Pr>
          <w:p>
            <w:pPr>
              <w:spacing w:after="0"/>
              <w:rPr>
                <w:sz w:val="19"/>
                <w:szCs w:val="19"/>
                <w:color w:val="auto"/>
              </w:rPr>
            </w:pPr>
          </w:p>
        </w:tc>
        <w:tc>
          <w:tcPr>
            <w:tcW w:w="7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340" w:type="dxa"/>
            <w:vAlign w:val="bottom"/>
          </w:tcPr>
          <w:p>
            <w:pPr>
              <w:spacing w:after="0"/>
              <w:rPr>
                <w:sz w:val="19"/>
                <w:szCs w:val="19"/>
                <w:color w:val="auto"/>
              </w:rPr>
            </w:pPr>
          </w:p>
        </w:tc>
        <w:tc>
          <w:tcPr>
            <w:tcW w:w="6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(Dollars in millions)</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Fund management fees</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523.6</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500.8</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22.8</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Incentive fees</w:t>
            </w:r>
          </w:p>
        </w:tc>
        <w:tc>
          <w:tcPr>
            <w:tcW w:w="222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26.2</w:t>
            </w:r>
          </w:p>
        </w:tc>
        <w:tc>
          <w:tcPr>
            <w:tcW w:w="36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19.8</w:t>
            </w:r>
          </w:p>
        </w:tc>
        <w:tc>
          <w:tcPr>
            <w:tcW w:w="340" w:type="dxa"/>
            <w:vAlign w:val="bottom"/>
          </w:tcPr>
          <w:p>
            <w:pPr>
              <w:spacing w:after="0"/>
              <w:rPr>
                <w:sz w:val="18"/>
                <w:szCs w:val="18"/>
                <w:color w:val="auto"/>
              </w:rPr>
            </w:pPr>
          </w:p>
        </w:tc>
        <w:tc>
          <w:tcPr>
            <w:tcW w:w="6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6.4</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bl>
    <w:p>
      <w:pPr>
        <w:sectPr>
          <w:pgSz w:w="11900" w:h="16845" w:orient="portrait"/>
          <w:cols w:equalWidth="0" w:num="1">
            <w:col w:w="9200"/>
          </w:cols>
          <w:pgMar w:left="1320" w:top="108" w:right="1379" w:bottom="0" w:gutter="0" w:footer="0" w:header="0"/>
        </w:sectPr>
      </w:pPr>
    </w:p>
    <w:bookmarkStart w:id="69" w:name="page70"/>
    <w:bookmarkEnd w:id="69"/>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 income (loss)</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Performance allocations</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33"/>
        </w:trPr>
        <w:tc>
          <w:tcPr>
            <w:tcW w:w="560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Principal investment income (loss)</w:t>
            </w: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6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73.1</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61.4</w:t>
            </w:r>
          </w:p>
        </w:tc>
        <w:tc>
          <w:tcPr>
            <w:tcW w:w="8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41"/>
        </w:trPr>
        <w:tc>
          <w:tcPr>
            <w:tcW w:w="5600" w:type="dxa"/>
            <w:vAlign w:val="bottom"/>
            <w:vMerge w:val="restart"/>
          </w:tcPr>
          <w:p>
            <w:pPr>
              <w:ind w:left="700"/>
              <w:spacing w:after="0"/>
              <w:rPr>
                <w:sz w:val="20"/>
                <w:szCs w:val="20"/>
                <w:color w:val="auto"/>
              </w:rPr>
            </w:pPr>
            <w:r>
              <w:rPr>
                <w:rFonts w:ascii="Times New Roman" w:cs="Times New Roman" w:eastAsia="Times New Roman" w:hAnsi="Times New Roman"/>
                <w:sz w:val="16"/>
                <w:szCs w:val="16"/>
                <w:color w:val="auto"/>
              </w:rPr>
              <w:t>Total investment income (loss)</w:t>
            </w: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 and other income</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13"/>
        </w:trPr>
        <w:tc>
          <w:tcPr>
            <w:tcW w:w="5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 and other income of Consolidated Funds</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688.4</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859.0</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4"/>
        </w:trPr>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9"/>
        </w:trPr>
        <w:tc>
          <w:tcPr>
            <w:tcW w:w="5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0" w:type="dxa"/>
            <w:vAlign w:val="bottom"/>
          </w:tcPr>
          <w:p>
            <w:pPr>
              <w:spacing w:after="0"/>
              <w:rPr>
                <w:sz w:val="1"/>
                <w:szCs w:val="1"/>
                <w:color w:val="auto"/>
              </w:rPr>
            </w:pPr>
          </w:p>
        </w:tc>
      </w:tr>
      <w:tr>
        <w:trPr>
          <w:trHeight w:val="213"/>
        </w:trPr>
        <w:tc>
          <w:tcPr>
            <w:tcW w:w="5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Performance allocations and incentive fee related compensation</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96"/>
        </w:trPr>
        <w:tc>
          <w:tcPr>
            <w:tcW w:w="5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General, administrative and other expenses</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13"/>
        </w:trPr>
        <w:tc>
          <w:tcPr>
            <w:tcW w:w="5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 and other expenses of Consolidated Funds</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non-operating expenses</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3"/>
        </w:trPr>
        <w:tc>
          <w:tcPr>
            <w:tcW w:w="5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expenses</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703.0</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Other income (loss)</w:t>
            </w: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investment income (loss) of Consolidated Funds</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3"/>
        </w:trPr>
        <w:tc>
          <w:tcPr>
            <w:tcW w:w="5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Net income attributable to non-controlling interests in consolidated entities</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199"/>
        </w:trPr>
        <w:tc>
          <w:tcPr>
            <w:tcW w:w="5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income (loss) attributable to The Carlyle Group Inc. Common Stockholders</w:t>
            </w:r>
          </w:p>
        </w:tc>
        <w:tc>
          <w:tcPr>
            <w:tcW w:w="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(35.1)</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-3411220</wp:posOffset>
            </wp:positionV>
            <wp:extent cx="7016115" cy="60712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16115" cy="607123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4362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16115" cy="4362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jc w:val="both"/>
        <w:ind w:right="59"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Fund management fees</w:t>
      </w:r>
      <w:r>
        <w:rPr>
          <w:rFonts w:ascii="Times New Roman" w:cs="Times New Roman" w:eastAsia="Times New Roman" w:hAnsi="Times New Roman"/>
          <w:sz w:val="18"/>
          <w:szCs w:val="18"/>
          <w:color w:val="auto"/>
        </w:rPr>
        <w:t>. Fund management fees increased $22.8 million, or 4.6%,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as compared to the three months ended March 31, 2023, primarily due to the following:</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3"/>
        </w:trPr>
        <w:tc>
          <w:tcPr>
            <w:tcW w:w="5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10"/>
        </w:trPr>
        <w:tc>
          <w:tcPr>
            <w:tcW w:w="5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2024 v. 2023</w:t>
            </w:r>
          </w:p>
        </w:tc>
      </w:tr>
      <w:tr>
        <w:trPr>
          <w:trHeight w:val="209"/>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189"/>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Higher management fees from the commencement of the investment period for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03"/>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certain newly raised funds</w:t>
            </w: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189"/>
        </w:trPr>
        <w:tc>
          <w:tcPr>
            <w:tcW w:w="5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Lower management fees resulting from the change in basis from commitments to</w:t>
            </w:r>
          </w:p>
        </w:tc>
        <w:tc>
          <w:tcPr>
            <w:tcW w:w="1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162"/>
        </w:trPr>
        <w:tc>
          <w:tcPr>
            <w:tcW w:w="546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invested capital and step-downs in rate for certain funds, and the impact of net</w:t>
            </w: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2"/>
        </w:trPr>
        <w:tc>
          <w:tcPr>
            <w:tcW w:w="546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investment activity in funds whose management fees are based on invested capital,</w:t>
            </w: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2"/>
        </w:trPr>
        <w:tc>
          <w:tcPr>
            <w:tcW w:w="546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including the impact of changes in the base under the strategic advisory services</w:t>
            </w: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03"/>
        </w:trPr>
        <w:tc>
          <w:tcPr>
            <w:tcW w:w="5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agreement with Fortitude</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89"/>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Decrease in catch-up management fees from subsequent closes of funds that are in</w:t>
            </w:r>
          </w:p>
        </w:tc>
        <w:tc>
          <w:tcPr>
            <w:tcW w:w="14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3"/>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the fundraising period</w:t>
            </w: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29"/>
        </w:trPr>
        <w:tc>
          <w:tcPr>
            <w:tcW w:w="5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Higher transaction and portfolio advisory fees</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29"/>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 other changes</w:t>
            </w: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83"/>
        </w:trPr>
        <w:tc>
          <w:tcPr>
            <w:tcW w:w="5460" w:type="dxa"/>
            <w:vAlign w:val="bottom"/>
          </w:tcPr>
          <w:p>
            <w:pPr>
              <w:ind w:left="40"/>
              <w:spacing w:after="0" w:line="183" w:lineRule="exact"/>
              <w:rPr>
                <w:sz w:val="20"/>
                <w:szCs w:val="20"/>
                <w:color w:val="auto"/>
              </w:rPr>
            </w:pPr>
            <w:r>
              <w:rPr>
                <w:rFonts w:ascii="Times New Roman" w:cs="Times New Roman" w:eastAsia="Times New Roman" w:hAnsi="Times New Roman"/>
                <w:sz w:val="16"/>
                <w:szCs w:val="16"/>
                <w:color w:val="auto"/>
              </w:rPr>
              <w:t>Total increase in Fund management fees</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22.8</w:t>
            </w:r>
          </w:p>
        </w:tc>
      </w:tr>
      <w:tr>
        <w:trPr>
          <w:trHeight w:val="21"/>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left="260" w:right="139" w:hanging="253"/>
        <w:spacing w:after="0" w:line="271" w:lineRule="auto"/>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increase in Fund management fees does not include our equity income allocation from NGP management fee related revenues. We do not control NGP and account for our strategic investment in NGP as an equity method investment under U.S. GAAP. Therefore, Fund management fees associated with NGP are included in Principal investment income (loss) in our U.S. GAAP results.</w:t>
      </w:r>
    </w:p>
    <w:p>
      <w:pPr>
        <w:spacing w:after="0" w:line="188" w:lineRule="exact"/>
        <w:rPr>
          <w:sz w:val="20"/>
          <w:szCs w:val="20"/>
          <w:color w:val="auto"/>
        </w:rPr>
      </w:pPr>
    </w:p>
    <w:p>
      <w:pPr>
        <w:ind w:right="119" w:firstLine="445"/>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no funds generated over 10% of total management fees. Management fees attributable to Carlyle Partners VIII, L.P. (“CP VIII”), our eighth U.S. buyout fund, were approximately 11% of fund management fees recognized during the three months ended March 31, 2023. No other fund generated over 10% of total management fees in the first quarter of 2023.</w:t>
      </w:r>
    </w:p>
    <w:p>
      <w:pPr>
        <w:sectPr>
          <w:pgSz w:w="11900" w:h="16896" w:orient="portrait"/>
          <w:cols w:equalWidth="0" w:num="1">
            <w:col w:w="9139"/>
          </w:cols>
          <w:pgMar w:left="1320" w:top="104" w:right="1440" w:bottom="0" w:gutter="0" w:footer="0" w:header="0"/>
        </w:sectPr>
      </w:pPr>
    </w:p>
    <w:bookmarkStart w:id="70" w:name="page71"/>
    <w:bookmarkEnd w:id="70"/>
    <w:p>
      <w:pPr>
        <w:ind w:right="559" w:firstLine="445"/>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6996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16115" cy="4699635"/>
                    </a:xfrm>
                    <a:prstGeom prst="rect">
                      <a:avLst/>
                    </a:prstGeom>
                    <a:noFill/>
                  </pic:spPr>
                </pic:pic>
              </a:graphicData>
            </a:graphic>
          </wp:anchor>
        </w:drawing>
        <w:t>Fund management fees include transaction and portfolio advisory fees, net of rebate offsets, of $23.8 million and $13.4 million for the three months ended March 31, 2024 and 2023, respectively.</w:t>
      </w:r>
    </w:p>
    <w:p>
      <w:pPr>
        <w:spacing w:after="0" w:line="160" w:lineRule="exact"/>
        <w:rPr>
          <w:sz w:val="20"/>
          <w:szCs w:val="20"/>
          <w:color w:val="auto"/>
        </w:rPr>
      </w:pPr>
    </w:p>
    <w:p>
      <w:pPr>
        <w:ind w:right="19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Incentive fees</w:t>
      </w:r>
      <w:r>
        <w:rPr>
          <w:rFonts w:ascii="Times New Roman" w:cs="Times New Roman" w:eastAsia="Times New Roman" w:hAnsi="Times New Roman"/>
          <w:sz w:val="18"/>
          <w:szCs w:val="18"/>
          <w:color w:val="auto"/>
        </w:rPr>
        <w:t>. Incentive fees increased $6.4 million for the three months ended March 31, 2024 compared to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increase in incentive fees realized in our Global Credit segment, primarily related to CTAC.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5734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16115" cy="5734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8" w:lineRule="exact"/>
        <w:rPr>
          <w:sz w:val="20"/>
          <w:szCs w:val="20"/>
          <w:color w:val="auto"/>
        </w:rPr>
      </w:pPr>
    </w:p>
    <w:p>
      <w:pPr>
        <w:jc w:val="both"/>
        <w:ind w:right="299"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Investment income (loss)</w:t>
      </w:r>
      <w:r>
        <w:rPr>
          <w:rFonts w:ascii="Times New Roman" w:cs="Times New Roman" w:eastAsia="Times New Roman" w:hAnsi="Times New Roman"/>
          <w:sz w:val="18"/>
          <w:szCs w:val="18"/>
          <w:color w:val="auto"/>
        </w:rPr>
        <w:t>. Investment income (loss) decreased $256.4 million to $(83.9)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2024, as compared to the three months ended March 31, 2023, which included a decrease in Performance allocations of $317.8 million and an increase in Principal investment income of $61.4 million.</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Investment income (loss) are included in the following table:</w:t>
      </w:r>
    </w:p>
    <w:p>
      <w:pPr>
        <w:spacing w:after="0" w:line="194"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1160" w:type="dxa"/>
            <w:vAlign w:val="bottom"/>
            <w:gridSpan w:val="3"/>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92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Performance allocations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(157.0)</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160.8</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Principal investment income:</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income from NGP, which includes performance allocations</w:t>
            </w: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31.4</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16.3</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income (loss) from our carry funds:</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Global Private Equity</w:t>
            </w: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70"/>
        </w:trPr>
        <w:tc>
          <w:tcPr>
            <w:tcW w:w="5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Global Credit</w:t>
            </w:r>
          </w:p>
        </w:tc>
        <w:tc>
          <w:tcPr>
            <w:tcW w:w="200" w:type="dxa"/>
            <w:vAlign w:val="bottom"/>
          </w:tcPr>
          <w:p>
            <w:pPr>
              <w:spacing w:after="0"/>
              <w:rPr>
                <w:sz w:val="23"/>
                <w:szCs w:val="23"/>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Global Investment Solutions</w:t>
            </w: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income (loss) from our CLOs</w:t>
            </w:r>
          </w:p>
        </w:tc>
        <w:tc>
          <w:tcPr>
            <w:tcW w:w="200" w:type="dxa"/>
            <w:vAlign w:val="bottom"/>
          </w:tcPr>
          <w:p>
            <w:pPr>
              <w:spacing w:after="0"/>
              <w:rPr>
                <w:sz w:val="23"/>
                <w:szCs w:val="23"/>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17.9</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income (loss) from Carlyle FRL</w:t>
            </w: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(26.3)</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income (loss) from our other Global Credit products</w:t>
            </w:r>
          </w:p>
        </w:tc>
        <w:tc>
          <w:tcPr>
            <w:tcW w:w="200" w:type="dxa"/>
            <w:vAlign w:val="bottom"/>
          </w:tcPr>
          <w:p>
            <w:pPr>
              <w:spacing w:after="0"/>
              <w:rPr>
                <w:sz w:val="23"/>
                <w:szCs w:val="23"/>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income (loss) on foreign currency hedges</w:t>
            </w: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All other investment income (loss)</w:t>
            </w: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(12.0)</w:t>
            </w:r>
          </w:p>
        </w:tc>
        <w:tc>
          <w:tcPr>
            <w:tcW w:w="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6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Principal investment income</w:t>
            </w: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73.1</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11.7</w:t>
            </w:r>
          </w:p>
        </w:tc>
        <w:tc>
          <w:tcPr>
            <w:tcW w:w="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6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3"/>
        </w:trPr>
        <w:tc>
          <w:tcPr>
            <w:tcW w:w="5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Investment income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(83.9)</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172.5</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w:t>
            </w: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right="119" w:firstLine="648"/>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Performance allocations</w:t>
      </w:r>
      <w:r>
        <w:rPr>
          <w:rFonts w:ascii="Times New Roman" w:cs="Times New Roman" w:eastAsia="Times New Roman" w:hAnsi="Times New Roman"/>
          <w:sz w:val="18"/>
          <w:szCs w:val="18"/>
          <w:color w:val="auto"/>
        </w:rPr>
        <w:t>. Performance allocations by segment for the three months ended March 31,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comprised the following:</w:t>
      </w:r>
    </w:p>
    <w:p>
      <w:pPr>
        <w:spacing w:after="0" w:line="89"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2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40" w:type="dxa"/>
            <w:vAlign w:val="bottom"/>
          </w:tcPr>
          <w:p>
            <w:pPr>
              <w:spacing w:after="0"/>
              <w:rPr>
                <w:sz w:val="15"/>
                <w:szCs w:val="15"/>
                <w:color w:val="auto"/>
              </w:rPr>
            </w:pPr>
          </w:p>
        </w:tc>
        <w:tc>
          <w:tcPr>
            <w:tcW w:w="118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gridSpan w:val="2"/>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jc w:val="right"/>
              <w:ind w:right="3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40" w:type="dxa"/>
            <w:vAlign w:val="bottom"/>
          </w:tcPr>
          <w:p>
            <w:pPr>
              <w:spacing w:after="0"/>
              <w:rPr>
                <w:sz w:val="24"/>
                <w:szCs w:val="24"/>
                <w:color w:val="auto"/>
              </w:rPr>
            </w:pPr>
          </w:p>
        </w:tc>
        <w:tc>
          <w:tcPr>
            <w:tcW w:w="1180" w:type="dxa"/>
            <w:vAlign w:val="bottom"/>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89"/>
        </w:trPr>
        <w:tc>
          <w:tcPr>
            <w:tcW w:w="2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40" w:type="dxa"/>
            <w:vAlign w:val="bottom"/>
            <w:gridSpan w:val="3"/>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rPr>
              <w:t>(Dollars in millions)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Global Private Equity</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7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 $</w:t>
            </w:r>
          </w:p>
        </w:tc>
        <w:tc>
          <w:tcPr>
            <w:tcW w:w="11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(359.7)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ectPr>
          <w:pgSz w:w="11900" w:h="16838" w:orient="portrait"/>
          <w:cols w:equalWidth="0" w:num="1">
            <w:col w:w="9139"/>
          </w:cols>
          <w:pgMar w:left="1320" w:top="297" w:right="1440" w:bottom="0" w:gutter="0" w:footer="0" w:header="0"/>
        </w:sectPr>
      </w:pPr>
    </w:p>
    <w:bookmarkStart w:id="71" w:name="page72"/>
    <w:bookmarkEnd w:id="71"/>
    <w:p>
      <w:pPr>
        <w:spacing w:after="0" w:line="35"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Global Credit</w:t>
            </w:r>
          </w:p>
        </w:tc>
        <w:tc>
          <w:tcPr>
            <w:tcW w:w="360" w:type="dxa"/>
            <w:vAlign w:val="bottom"/>
          </w:tcPr>
          <w:p>
            <w:pPr>
              <w:spacing w:after="0"/>
              <w:rPr>
                <w:sz w:val="17"/>
                <w:szCs w:val="17"/>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65.1</w:t>
            </w:r>
          </w:p>
        </w:tc>
        <w:tc>
          <w:tcPr>
            <w:tcW w:w="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Global Investment Solutions</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141.4</w:t>
            </w: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performance allocations</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60" w:type="dxa"/>
            <w:vAlign w:val="bottom"/>
          </w:tcPr>
          <w:p>
            <w:pPr>
              <w:spacing w:after="0"/>
              <w:rPr>
                <w:sz w:val="20"/>
                <w:szCs w:val="20"/>
                <w:color w:val="auto"/>
              </w:rPr>
            </w:pP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(317.8)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36"/>
        </w:trPr>
        <w:tc>
          <w:tcPr>
            <w:tcW w:w="40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-436245</wp:posOffset>
            </wp:positionV>
            <wp:extent cx="7016115" cy="3328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16115" cy="3328035"/>
                    </a:xfrm>
                    <a:prstGeom prst="rect">
                      <a:avLst/>
                    </a:prstGeom>
                    <a:noFill/>
                  </pic:spPr>
                </pic:pic>
              </a:graphicData>
            </a:graphic>
          </wp:anchor>
        </w:drawing>
      </w:r>
    </w:p>
    <w:p>
      <w:pPr>
        <w:spacing w:after="0" w:line="17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Primary drivers for the decrease in Performance allocations for the three months ended March 31, 2024 compared to the three months ended March 31, 2023 included:</w:t>
      </w:r>
    </w:p>
    <w:p>
      <w:pPr>
        <w:spacing w:after="0" w:line="162" w:lineRule="exact"/>
        <w:rPr>
          <w:sz w:val="20"/>
          <w:szCs w:val="20"/>
          <w:color w:val="auto"/>
        </w:rPr>
      </w:pPr>
    </w:p>
    <w:p>
      <w:pPr>
        <w:ind w:left="1140" w:hanging="323"/>
        <w:spacing w:after="0"/>
        <w:tabs>
          <w:tab w:leader="none" w:pos="1140" w:val="left"/>
        </w:tabs>
        <w:numPr>
          <w:ilvl w:val="0"/>
          <w:numId w:val="4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a decrease of $359.7 million in our Global Private Equity segment, primarily driven by reversals of accrued</w:t>
      </w:r>
    </w:p>
    <w:p>
      <w:pPr>
        <w:spacing w:after="0" w:line="27" w:lineRule="exact"/>
        <w:rPr>
          <w:sz w:val="20"/>
          <w:szCs w:val="20"/>
          <w:color w:val="auto"/>
        </w:rPr>
      </w:pPr>
    </w:p>
    <w:p>
      <w:pPr>
        <w:jc w:val="both"/>
        <w:ind w:left="1140" w:right="260"/>
        <w:spacing w:after="0" w:line="260" w:lineRule="auto"/>
        <w:rPr>
          <w:sz w:val="20"/>
          <w:szCs w:val="20"/>
          <w:color w:val="auto"/>
        </w:rPr>
      </w:pPr>
      <w:r>
        <w:rPr>
          <w:rFonts w:ascii="Times New Roman" w:cs="Times New Roman" w:eastAsia="Times New Roman" w:hAnsi="Times New Roman"/>
          <w:sz w:val="18"/>
          <w:szCs w:val="18"/>
          <w:color w:val="auto"/>
        </w:rPr>
        <w:t>carry in CEP V related to portfolio depreciatio</w:t>
      </w:r>
      <w:r>
        <w:rPr>
          <w:rFonts w:ascii="Times New Roman" w:cs="Times New Roman" w:eastAsia="Times New Roman" w:hAnsi="Times New Roman"/>
          <w:sz w:val="18"/>
          <w:szCs w:val="18"/>
          <w:color w:val="auto"/>
          <w:strike w:val="1"/>
        </w:rPr>
        <w:t>n and the impact of preferred returns, and reversals of accrued</w:t>
      </w:r>
      <w:r>
        <w:rPr>
          <w:rFonts w:ascii="Times New Roman" w:cs="Times New Roman" w:eastAsia="Times New Roman" w:hAnsi="Times New Roman"/>
          <w:sz w:val="18"/>
          <w:szCs w:val="18"/>
          <w:color w:val="auto"/>
        </w:rPr>
        <w:t xml:space="preserve"> carry in CP VII as preferred returns outpaced </w:t>
      </w:r>
      <w:r>
        <w:rPr>
          <w:rFonts w:ascii="Times New Roman" w:cs="Times New Roman" w:eastAsia="Times New Roman" w:hAnsi="Times New Roman"/>
          <w:sz w:val="18"/>
          <w:szCs w:val="18"/>
          <w:color w:val="auto"/>
          <w:strike w:val="1"/>
        </w:rPr>
        <w:t>carry fund port</w:t>
      </w: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color w:val="auto"/>
          <w:strike w:val="1"/>
        </w:rPr>
        <w:t>olio appreciatio</w:t>
      </w:r>
      <w:r>
        <w:rPr>
          <w:rFonts w:ascii="Times New Roman" w:cs="Times New Roman" w:eastAsia="Times New Roman" w:hAnsi="Times New Roman"/>
          <w:sz w:val="18"/>
          <w:szCs w:val="18"/>
          <w:color w:val="auto"/>
        </w:rPr>
        <w:t xml:space="preserve">n; </w:t>
      </w:r>
      <w:r>
        <w:rPr>
          <w:sz w:val="1"/>
          <w:szCs w:val="1"/>
          <w:color w:val="auto"/>
        </w:rPr>
        <w:drawing>
          <wp:inline distT="0" distB="0" distL="0" distR="0">
            <wp:extent cx="685800" cy="3429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0" cy="34290"/>
                    </a:xfrm>
                    <a:prstGeom prst="rect">
                      <a:avLst/>
                    </a:prstGeom>
                    <a:noFill/>
                    <a:ln>
                      <a:noFill/>
                    </a:ln>
                  </pic:spPr>
                </pic:pic>
              </a:graphicData>
            </a:graphic>
          </wp:inline>
        </w:drawing>
      </w:r>
    </w:p>
    <w:p>
      <w:pPr>
        <w:spacing w:after="0" w:line="73" w:lineRule="exact"/>
        <w:rPr>
          <w:sz w:val="20"/>
          <w:szCs w:val="20"/>
          <w:color w:val="auto"/>
        </w:rPr>
      </w:pPr>
    </w:p>
    <w:p>
      <w:pPr>
        <w:ind w:left="1140" w:right="100" w:hanging="323"/>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$31.7 million in our Global Credit segment, primarily driven by carry accruals in cross-platform products, as well as Opportunistic Credit and Aviation funds, related to portfolio appreciation; and</w:t>
      </w:r>
    </w:p>
    <w:p>
      <w:pPr>
        <w:spacing w:after="0" w:line="53" w:lineRule="exact"/>
        <w:rPr>
          <w:rFonts w:ascii="Times New Roman" w:cs="Times New Roman" w:eastAsia="Times New Roman" w:hAnsi="Times New Roman"/>
          <w:sz w:val="18"/>
          <w:szCs w:val="18"/>
          <w:color w:val="auto"/>
        </w:rPr>
      </w:pPr>
    </w:p>
    <w:p>
      <w:pPr>
        <w:ind w:left="1140" w:right="440" w:hanging="323"/>
        <w:spacing w:after="0" w:line="282" w:lineRule="auto"/>
        <w:tabs>
          <w:tab w:leader="none" w:pos="1140" w:val="left"/>
        </w:tabs>
        <w:numPr>
          <w:ilvl w:val="0"/>
          <w:numId w:val="4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an increase of $10.2 million in our Global Investment Solutions segment, primarily driven by higher carry accruals related to appreciation in our secondaries and co-investment strategies.</w:t>
      </w:r>
    </w:p>
    <w:p>
      <w:pPr>
        <w:spacing w:after="0" w:line="162"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See “—Trends Affecting Our Business” for further discussion the macroeconomic, geopolitical and industry landscape and our investment activity.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71056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16115" cy="710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8"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Principal investment income</w:t>
      </w:r>
      <w:r>
        <w:rPr>
          <w:rFonts w:ascii="Times New Roman" w:cs="Times New Roman" w:eastAsia="Times New Roman" w:hAnsi="Times New Roman"/>
          <w:sz w:val="18"/>
          <w:szCs w:val="18"/>
          <w:color w:val="auto"/>
        </w:rPr>
        <w:t>. The increase in Principal investment income for the three months ended March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compared to the three months ended March 31, 2023 was primarily due to a decrease in investment loss from our investment in Carlyle FRL, which reflects the unrealized impacts of market exposure at Fortitude, an increase in investment income related to various Global Credit carry funds and other products, including our BDCs, and an increase in investment income related to our equity method investment in the general partners of certain carry funds advised by NGP, driven by portfolio appreciation related to NGP XI and NGP XII. In addition, All other investment income in the three months ended March 31, 2023 includes an unrealized investment loss of $13.3 million associated with the remeasurement of a corporate investment in equity securities, which was previously carried at cost, resulting from an observable price change pursuant to ASC 321, </w:t>
      </w:r>
      <w:r>
        <w:rPr>
          <w:rFonts w:ascii="Times New Roman" w:cs="Times New Roman" w:eastAsia="Times New Roman" w:hAnsi="Times New Roman"/>
          <w:sz w:val="18"/>
          <w:szCs w:val="18"/>
          <w:i w:val="1"/>
          <w:iCs w:val="1"/>
          <w:color w:val="auto"/>
        </w:rPr>
        <w:t>Investments–Equity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100" w:firstLine="445"/>
        <w:spacing w:after="0" w:line="290" w:lineRule="auto"/>
        <w:rPr>
          <w:sz w:val="20"/>
          <w:szCs w:val="20"/>
          <w:color w:val="auto"/>
        </w:rPr>
      </w:pPr>
      <w:r>
        <w:rPr>
          <w:rFonts w:ascii="Times New Roman" w:cs="Times New Roman" w:eastAsia="Times New Roman" w:hAnsi="Times New Roman"/>
          <w:sz w:val="17"/>
          <w:szCs w:val="17"/>
          <w:i w:val="1"/>
          <w:iCs w:val="1"/>
          <w:color w:val="auto"/>
        </w:rPr>
        <w:t>Interest and other income</w:t>
      </w:r>
      <w:r>
        <w:rPr>
          <w:rFonts w:ascii="Times New Roman" w:cs="Times New Roman" w:eastAsia="Times New Roman" w:hAnsi="Times New Roman"/>
          <w:sz w:val="17"/>
          <w:szCs w:val="17"/>
          <w:color w:val="auto"/>
        </w:rPr>
        <w:t>. Interest and other income increased $13.6 million for the three months ended March 31, 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compared to the three months ended March 31, 2023, primarily as a result of an increase in the reimbursement of certain costs incurred on behalf of Carlyle funds as well as interest income from investments in CLO notes and higher yields on cash.</w:t>
      </w:r>
    </w:p>
    <w:p>
      <w:pPr>
        <w:spacing w:after="0" w:line="155"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Interest and other income of Consolidated Funds</w:t>
      </w:r>
      <w:r>
        <w:rPr>
          <w:rFonts w:ascii="Times New Roman" w:cs="Times New Roman" w:eastAsia="Times New Roman" w:hAnsi="Times New Roman"/>
          <w:sz w:val="18"/>
          <w:szCs w:val="18"/>
          <w:color w:val="auto"/>
        </w:rPr>
        <w:t>. Interest and other income of Consolidated Funds increased $43.0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2024 as compared to the three months ended March 31, 2023, driven primarily by an increase in interest income from consolidated CLOs. Our CLOs generate interest income primarily from investments in bonds and loans, inclusive of amortization of discounts, and generate other income from consent and amendment fees. Substantially all interest and other income of the CLOs and other consolidated funds together with interest expense of our CLOs and net investment gains (losses) of Consolidated Funds is attributable to the related funds’ limited partners or CLO investors. Accordingly, such amounts have no material impact on net income attributable to the Company.</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 Total compensation and benefits decreased $162.9 million for the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2024, as compared to the three months ended March 31, 2023, driven by a decrease in Performance allocations and incentive fee related compensation of $178.5 million and a decrease in cash-based compensation and benefits of $38.3 million, partially offset by an increase in equity-based compensation of $53.9 million.</w:t>
      </w:r>
    </w:p>
    <w:p>
      <w:pPr>
        <w:spacing w:after="0" w:line="180" w:lineRule="exact"/>
        <w:rPr>
          <w:sz w:val="20"/>
          <w:szCs w:val="20"/>
          <w:color w:val="auto"/>
        </w:rPr>
      </w:pPr>
    </w:p>
    <w:p>
      <w:pPr>
        <w:ind w:firstLine="486"/>
        <w:spacing w:after="0" w:line="277" w:lineRule="auto"/>
        <w:rPr>
          <w:sz w:val="20"/>
          <w:szCs w:val="20"/>
          <w:color w:val="auto"/>
        </w:rPr>
      </w:pPr>
      <w:r>
        <w:rPr>
          <w:rFonts w:ascii="Times New Roman" w:cs="Times New Roman" w:eastAsia="Times New Roman" w:hAnsi="Times New Roman"/>
          <w:sz w:val="17"/>
          <w:szCs w:val="17"/>
          <w:i w:val="1"/>
          <w:iCs w:val="1"/>
          <w:u w:val="single" w:color="auto"/>
          <w:color w:val="auto"/>
        </w:rPr>
        <w:t>Performance allocations and incentive fee related compensation</w:t>
      </w:r>
      <w:r>
        <w:rPr>
          <w:rFonts w:ascii="Times New Roman" w:cs="Times New Roman" w:eastAsia="Times New Roman" w:hAnsi="Times New Roman"/>
          <w:sz w:val="17"/>
          <w:szCs w:val="17"/>
          <w:color w:val="auto"/>
        </w:rPr>
        <w:t>. The decrease in Performance allocations and incentive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fee related compensation expense was primarily driven by the impact of reversals during the three months ended March 31, 2024 of Performance allocations, on which the related compensation is based. Additionally, the reversal of Performance allocations and incentive fee related compensation in 2024 reflects the increase in the proportion of our Performance allocations used to compensate our personnel as part of an update to our compensation program, which was effective December 31, 2023.</w:t>
      </w:r>
    </w:p>
    <w:p>
      <w:pPr>
        <w:spacing w:after="0" w:line="168" w:lineRule="exact"/>
        <w:rPr>
          <w:sz w:val="20"/>
          <w:szCs w:val="20"/>
          <w:color w:val="auto"/>
        </w:rPr>
      </w:pPr>
    </w:p>
    <w:p>
      <w:pPr>
        <w:ind w:right="100" w:firstLine="445"/>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Cash-based compensation and benefits</w:t>
      </w:r>
      <w:r>
        <w:rPr>
          <w:rFonts w:ascii="Times New Roman" w:cs="Times New Roman" w:eastAsia="Times New Roman" w:hAnsi="Times New Roman"/>
          <w:sz w:val="18"/>
          <w:szCs w:val="18"/>
          <w:color w:val="auto"/>
        </w:rPr>
        <w:t>. The decrease in Cash-based compensation and benefits was primarily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updates to our compensation program under which we pay a greater portion of compensation from performance allocations.</w:t>
      </w:r>
    </w:p>
    <w:p>
      <w:pPr>
        <w:spacing w:after="0" w:line="158" w:lineRule="exact"/>
        <w:rPr>
          <w:sz w:val="20"/>
          <w:szCs w:val="20"/>
          <w:color w:val="auto"/>
        </w:rPr>
      </w:pPr>
    </w:p>
    <w:p>
      <w:pPr>
        <w:ind w:right="140" w:firstLine="445"/>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Equity-based compensation</w:t>
      </w:r>
      <w:r>
        <w:rPr>
          <w:rFonts w:ascii="Times New Roman" w:cs="Times New Roman" w:eastAsia="Times New Roman" w:hAnsi="Times New Roman"/>
          <w:sz w:val="18"/>
          <w:szCs w:val="18"/>
          <w:color w:val="auto"/>
        </w:rPr>
        <w:t>. The increase in Equity-based compensation was driven by an increase in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granted. In February 2024, we granted 18.1 million restricted stock units, including 13.2 million restricted stock units granted to certain Carlyle professionals which are subject to vesting based on the achievement of stock price performance conditions over a service period of three years. In February 2023, we granted a total of 9.9 million restricted stock units to our personnel, including certain senior Carlyle professionals and other key personnel, as well as an aggregate 6.8 million of time-and performance-based inducement equity awards in connection with the appointment of our chief executive officer.</w:t>
      </w:r>
    </w:p>
    <w:p>
      <w:pPr>
        <w:spacing w:after="0" w:line="182" w:lineRule="exact"/>
        <w:rPr>
          <w:sz w:val="20"/>
          <w:szCs w:val="20"/>
          <w:color w:val="auto"/>
        </w:rPr>
      </w:pPr>
    </w:p>
    <w:p>
      <w:pPr>
        <w:ind w:right="14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General, administrative and other expenses</w:t>
      </w:r>
      <w:r>
        <w:rPr>
          <w:rFonts w:ascii="Times New Roman" w:cs="Times New Roman" w:eastAsia="Times New Roman" w:hAnsi="Times New Roman"/>
          <w:sz w:val="18"/>
          <w:szCs w:val="18"/>
          <w:color w:val="auto"/>
        </w:rPr>
        <w:t>. General, administrative and other expenses decreased $11.5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2024 as compared to the three months ended March 31, 2023, driven by a decrease in foreign translation adjustments of $12.2 million, reflecting a foreign exchange gain for the three months ended March 31, 2024</w:t>
      </w:r>
    </w:p>
    <w:p>
      <w:pPr>
        <w:sectPr>
          <w:pgSz w:w="11900" w:h="16873" w:orient="portrait"/>
          <w:cols w:equalWidth="0" w:num="1">
            <w:col w:w="9220"/>
          </w:cols>
          <w:pgMar w:left="1320" w:top="81" w:right="1359" w:bottom="0" w:gutter="0" w:footer="0" w:header="0"/>
        </w:sectPr>
      </w:pPr>
    </w:p>
    <w:bookmarkStart w:id="72" w:name="page73"/>
    <w:bookmarkEnd w:id="72"/>
    <w:p>
      <w:pPr>
        <w:ind w:right="20"/>
        <w:spacing w:after="0" w:line="229" w:lineRule="auto"/>
        <w:rPr>
          <w:sz w:val="20"/>
          <w:szCs w:val="20"/>
          <w:color w:val="auto"/>
        </w:rPr>
      </w:pPr>
      <w:r>
        <w:rPr>
          <w:rFonts w:ascii="Times New Roman" w:cs="Times New Roman" w:eastAsia="Times New Roman" w:hAnsi="Times New Roman"/>
          <w:sz w:val="18"/>
          <w:szCs w:val="18"/>
          <w:color w:val="auto"/>
        </w:rPr>
        <w:t>compared to a foreign exchange loss for the three months ended March 31, 2023 related to the movement in the Euro relative to the U.S. dollar, a decrease in expenses for funds in fundraising, and the benefit of lower value-added tax expense in Asia 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-229870</wp:posOffset>
            </wp:positionV>
            <wp:extent cx="7016115" cy="1956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16115" cy="1956435"/>
                    </a:xfrm>
                    <a:prstGeom prst="rect">
                      <a:avLst/>
                    </a:prstGeom>
                    <a:noFill/>
                  </pic:spPr>
                </pic:pic>
              </a:graphicData>
            </a:graphic>
          </wp:anchor>
        </w:drawing>
      </w:r>
    </w:p>
    <w:p>
      <w:pPr>
        <w:ind w:right="360"/>
        <w:spacing w:after="0" w:line="255" w:lineRule="auto"/>
        <w:rPr>
          <w:sz w:val="20"/>
          <w:szCs w:val="20"/>
          <w:color w:val="auto"/>
        </w:rPr>
      </w:pPr>
      <w:r>
        <w:rPr>
          <w:rFonts w:ascii="Times New Roman" w:cs="Times New Roman" w:eastAsia="Times New Roman" w:hAnsi="Times New Roman"/>
          <w:sz w:val="18"/>
          <w:szCs w:val="18"/>
          <w:color w:val="auto"/>
        </w:rPr>
        <w:t>the three months ended March 31, 2024, partially offset by an increase in liabilities for litigation-related contingencies, regulatory examination and inquiries, and other matters during the three months ended March 31, 2024. We expect general, administrative and other expenses to increase in subsequent quarters.</w:t>
      </w:r>
    </w:p>
    <w:p>
      <w:pPr>
        <w:spacing w:after="0" w:line="184" w:lineRule="exact"/>
        <w:rPr>
          <w:sz w:val="20"/>
          <w:szCs w:val="20"/>
          <w:color w:val="auto"/>
        </w:rPr>
      </w:pPr>
    </w:p>
    <w:p>
      <w:pPr>
        <w:ind w:right="80" w:firstLine="445"/>
        <w:spacing w:after="0" w:line="277" w:lineRule="auto"/>
        <w:rPr>
          <w:sz w:val="20"/>
          <w:szCs w:val="20"/>
          <w:color w:val="auto"/>
        </w:rPr>
      </w:pPr>
      <w:r>
        <w:rPr>
          <w:rFonts w:ascii="Times New Roman" w:cs="Times New Roman" w:eastAsia="Times New Roman" w:hAnsi="Times New Roman"/>
          <w:sz w:val="17"/>
          <w:szCs w:val="17"/>
          <w:i w:val="1"/>
          <w:iCs w:val="1"/>
          <w:color w:val="auto"/>
        </w:rPr>
        <w:t>Interest and other expenses of Consolidated Funds</w:t>
      </w:r>
      <w:r>
        <w:rPr>
          <w:rFonts w:ascii="Times New Roman" w:cs="Times New Roman" w:eastAsia="Times New Roman" w:hAnsi="Times New Roman"/>
          <w:sz w:val="17"/>
          <w:szCs w:val="17"/>
          <w:color w:val="auto"/>
        </w:rPr>
        <w:t>. Interest and other expenses of Consolidated Funds increased $30.9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for the three months ended March 31, 2024 as compared to the three months ended March 31, 2023, primarily due to higher interest expense on the consolidated CLOs. The CLOs incur interest expense on their loans payable and incur other expenses consisting of trustee fees, rating agency fees and professional fees. Substantially all interest and other income of our CLOs together with interest expense of our CLOs and net investment gains (losses) of Consolidated Funds is attributable to the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84772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16115" cy="847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related funds’ limited partners or CLO investors. Accordingly, such amounts have no material impact on net income attributable to the Company.</w:t>
      </w:r>
    </w:p>
    <w:p>
      <w:pPr>
        <w:spacing w:after="0" w:line="160" w:lineRule="exact"/>
        <w:rPr>
          <w:sz w:val="20"/>
          <w:szCs w:val="20"/>
          <w:color w:val="auto"/>
        </w:rPr>
      </w:pPr>
    </w:p>
    <w:p>
      <w:pPr>
        <w:ind w:right="36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Net investment income (loss) of Consolidated Funds</w:t>
      </w:r>
      <w:r>
        <w:rPr>
          <w:rFonts w:ascii="Times New Roman" w:cs="Times New Roman" w:eastAsia="Times New Roman" w:hAnsi="Times New Roman"/>
          <w:sz w:val="18"/>
          <w:szCs w:val="18"/>
          <w:color w:val="auto"/>
        </w:rPr>
        <w:t>. The table below summarizes the components of Net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(loss) of Consolidated Funds, including our consolidated CLOs and certain other funds:</w:t>
      </w:r>
    </w:p>
    <w:p>
      <w:pPr>
        <w:spacing w:after="0" w:line="237"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960" w:type="dxa"/>
            <w:vAlign w:val="bottom"/>
            <w:gridSpan w:val="4"/>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9"/>
        </w:trPr>
        <w:tc>
          <w:tcPr>
            <w:tcW w:w="4020" w:type="dxa"/>
            <w:vAlign w:val="bottom"/>
          </w:tcPr>
          <w:p>
            <w:pPr>
              <w:spacing w:after="0"/>
              <w:rPr>
                <w:sz w:val="18"/>
                <w:szCs w:val="18"/>
                <w:color w:val="auto"/>
              </w:rPr>
            </w:pPr>
          </w:p>
        </w:tc>
        <w:tc>
          <w:tcPr>
            <w:tcW w:w="1960" w:type="dxa"/>
            <w:vAlign w:val="bottom"/>
            <w:gridSpan w:val="4"/>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Realized losses</w:t>
            </w:r>
          </w:p>
        </w:tc>
        <w:tc>
          <w:tcPr>
            <w:tcW w:w="76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70"/>
        </w:trPr>
        <w:tc>
          <w:tcPr>
            <w:tcW w:w="40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Net change in unrealized gains</w:t>
            </w:r>
          </w:p>
        </w:tc>
        <w:tc>
          <w:tcPr>
            <w:tcW w:w="7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103.9</w:t>
            </w:r>
          </w:p>
        </w:tc>
        <w:tc>
          <w:tcPr>
            <w:tcW w:w="8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50"/>
        </w:trPr>
        <w:tc>
          <w:tcPr>
            <w:tcW w:w="4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gains (losses)</w:t>
            </w:r>
          </w:p>
        </w:tc>
        <w:tc>
          <w:tcPr>
            <w:tcW w:w="7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70"/>
        </w:trPr>
        <w:tc>
          <w:tcPr>
            <w:tcW w:w="40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Losses from liabilities of CLOs</w:t>
            </w:r>
          </w:p>
        </w:tc>
        <w:tc>
          <w:tcPr>
            <w:tcW w:w="7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8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(141.4)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net investment income (loss) of Consolidated Funds</w:t>
            </w:r>
          </w:p>
        </w:tc>
        <w:tc>
          <w:tcPr>
            <w:tcW w:w="76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right="2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The Company’s provision for income taxes was $21.9 million and $34.3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2024 and 2023, respectively. The Company’s effective tax rate was approximately 18% and 21% for the three months ended March 31, 2024 and 2023, respectively. The effective tax rate for each of the three months ended March 31, 2024 and 2023 primarily comprises the 21% U.S. federal corporate income tax rate and the impact of U.S. state and foreign income taxes and disallowed executive compensation, partially offset by non-controlling interest and equity-based compensation deductions.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2024 and December 31, 2023, the Company had federal, state, local and foreign taxes payable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$101.4 million and $46.9 million, respectively, which is recorded as a component of accounts payable, accrued expenses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on the accompanying condensed consolidated balance sheets.</w:t>
      </w:r>
    </w:p>
    <w:p>
      <w:pPr>
        <w:spacing w:after="0" w:line="205" w:lineRule="exact"/>
        <w:rPr>
          <w:sz w:val="20"/>
          <w:szCs w:val="20"/>
          <w:color w:val="auto"/>
        </w:rPr>
      </w:pPr>
    </w:p>
    <w:p>
      <w:pPr>
        <w:ind w:right="16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Net income attributable to non-controlling interests in consolidated entities</w:t>
      </w:r>
      <w:r>
        <w:rPr>
          <w:rFonts w:ascii="Times New Roman" w:cs="Times New Roman" w:eastAsia="Times New Roman" w:hAnsi="Times New Roman"/>
          <w:sz w:val="18"/>
          <w:szCs w:val="18"/>
          <w:color w:val="auto"/>
        </w:rPr>
        <w:t>. Net income attributable to non-controlling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in consolidated entities was $33.2 million for the three months ended March 31, 2024 as compared to net income of $24.6 million for the three months ended March 31, 2023. These amounts are primarily attributable to the net earnings of the Consolidated Funds for each period, which are substantially all allocated to the related fund’s limited partners or CLO investors, as well as net earnings from our Insurance Solutions business and certain other products that are allocated to certain third party investors. These amounts also reflect the net income attributable to non-controlling interests in carried interest, giveback obligations, and cash held for carried interest distributions. The net income (loss) of our Consolidated Funds, after eliminations, was $12.7 million and $17.2 million for the three months ended March 31, 2024 and 2023,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The following tables set forth information in the format used by management when making resource deployment decisions and in assessing performance of our segments. These Non-GAAP financial measures are presented for the three months ended March 31, 2024 and 2023. Our Non-GAAP financial measures exclude the effects of unrealized performance allocations net of related compensation expense, unrealized principal investment income, consolidated funds, acquisition and disposition-related items including amortization and any impairment charges of acquired intangible assets and contingent consideration taking the form of earn-outs, impairment charges associated with lease right-of-use assets, charges associated with equity-based compensation, changes in the tax receivable agreement liability, corporate actions and infrequently occurring or unusual events.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our total segment DE and FRE for the three months ended March 31, 2024 and 2023.</w:t>
      </w:r>
    </w:p>
    <w:p>
      <w:pPr>
        <w:sectPr>
          <w:pgSz w:w="11900" w:h="16838" w:orient="portrait"/>
          <w:cols w:equalWidth="0" w:num="1">
            <w:col w:w="9240"/>
          </w:cols>
          <w:pgMar w:left="1320" w:top="108" w:right="1339" w:bottom="1440" w:gutter="0" w:footer="0" w:header="0"/>
        </w:sectPr>
      </w:pPr>
    </w:p>
    <w:bookmarkStart w:id="73" w:name="page74"/>
    <w:bookmarkEnd w:id="73"/>
    <w:p>
      <w:pPr>
        <w:jc w:val="center"/>
        <w:ind w:right="-1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848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16115" cy="584835"/>
                    </a:xfrm>
                    <a:prstGeom prst="rect">
                      <a:avLst/>
                    </a:prstGeom>
                    <a:noFill/>
                  </pic:spPr>
                </pic:pic>
              </a:graphicData>
            </a:graphic>
          </wp:anchor>
        </w:drawing>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90735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8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3" w:lineRule="exact"/>
        <w:rPr>
          <w:sz w:val="20"/>
          <w:szCs w:val="20"/>
          <w:color w:val="auto"/>
        </w:rPr>
      </w:pPr>
    </w:p>
    <w:tbl>
      <w:tblPr>
        <w:tblLayout w:type="fixed"/>
        <w:tblInd w:w="1280" w:type="dxa"/>
        <w:tblCellMar>
          <w:top w:w="0" w:type="dxa"/>
          <w:left w:w="0" w:type="dxa"/>
          <w:bottom w:w="0" w:type="dxa"/>
          <w:right w:w="0" w:type="dxa"/>
        </w:tblCellMar>
      </w:tblPr>
      <w:tr>
        <w:trPr>
          <w:trHeight w:val="205"/>
        </w:trPr>
        <w:tc>
          <w:tcPr>
            <w:tcW w:w="4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4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6"/>
        </w:trPr>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Segment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1,023.0</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754.2</w:t>
            </w:r>
          </w:p>
        </w:tc>
      </w:tr>
      <w:tr>
        <w:trPr>
          <w:trHeight w:val="257"/>
        </w:trPr>
        <w:tc>
          <w:tcPr>
            <w:tcW w:w="4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 Segment Expenses</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591.7</w:t>
            </w: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482.6</w:t>
            </w:r>
          </w:p>
        </w:tc>
      </w:tr>
      <w:tr>
        <w:trPr>
          <w:trHeight w:val="234"/>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 Distributable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431.3</w:t>
            </w: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271.6</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 Realized Net Performance Revenues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r>
      <w:tr>
        <w:trPr>
          <w:trHeight w:val="25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Realized Principal Investment Income</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57"/>
        </w:trPr>
        <w:tc>
          <w:tcPr>
            <w:tcW w:w="4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 Net Interest</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35"/>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 Fee Related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266.3</w:t>
            </w: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total segment revenues for the three months ended March 31, 2024 and 2023.</w:t>
      </w:r>
    </w:p>
    <w:p>
      <w:pPr>
        <w:spacing w:after="0" w:line="307"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8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3" w:lineRule="exact"/>
        <w:rPr>
          <w:sz w:val="20"/>
          <w:szCs w:val="20"/>
          <w:color w:val="auto"/>
        </w:rPr>
      </w:pPr>
    </w:p>
    <w:tbl>
      <w:tblPr>
        <w:tblLayout w:type="fixed"/>
        <w:tblInd w:w="1280" w:type="dxa"/>
        <w:tblCellMar>
          <w:top w:w="0" w:type="dxa"/>
          <w:left w:w="0" w:type="dxa"/>
          <w:bottom w:w="0" w:type="dxa"/>
          <w:right w:w="0" w:type="dxa"/>
        </w:tblCellMar>
      </w:tblPr>
      <w:tr>
        <w:trPr>
          <w:trHeight w:val="205"/>
        </w:trPr>
        <w:tc>
          <w:tcPr>
            <w:tcW w:w="4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4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6"/>
        </w:trPr>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Segment Revenues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57"/>
        </w:trPr>
        <w:tc>
          <w:tcPr>
            <w:tcW w:w="4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Fund level fee revenues</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56"/>
        </w:trPr>
        <w:tc>
          <w:tcPr>
            <w:tcW w:w="48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Fund management fees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515.6</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w:t>
            </w:r>
          </w:p>
        </w:tc>
      </w:tr>
      <w:tr>
        <w:trPr>
          <w:trHeight w:val="257"/>
        </w:trPr>
        <w:tc>
          <w:tcPr>
            <w:tcW w:w="48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Portfolio advisory and transaction fees, net and other</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56"/>
        </w:trPr>
        <w:tc>
          <w:tcPr>
            <w:tcW w:w="48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Fee related performance revenues</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237"/>
        </w:trPr>
        <w:tc>
          <w:tcPr>
            <w:tcW w:w="48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Total fund level fee revenues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551.4</w:t>
            </w:r>
          </w:p>
        </w:tc>
      </w:tr>
      <w:tr>
        <w:trPr>
          <w:trHeight w:val="257"/>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Realized performance revenues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397.8</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w:t>
            </w:r>
          </w:p>
        </w:tc>
      </w:tr>
      <w:tr>
        <w:trPr>
          <w:trHeight w:val="256"/>
        </w:trPr>
        <w:tc>
          <w:tcPr>
            <w:tcW w:w="4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Realized principal investment income</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57"/>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09"/>
        </w:trPr>
        <w:tc>
          <w:tcPr>
            <w:tcW w:w="4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Segment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1,023.0</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754.2</w:t>
            </w:r>
          </w:p>
        </w:tc>
      </w:tr>
      <w:tr>
        <w:trPr>
          <w:trHeight w:val="21"/>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total segment expenses for the three months ended March 31, 2024 and 2023.</w:t>
      </w:r>
    </w:p>
    <w:p>
      <w:pPr>
        <w:spacing w:after="0" w:line="320"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8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3" w:lineRule="exact"/>
        <w:rPr>
          <w:sz w:val="20"/>
          <w:szCs w:val="20"/>
          <w:color w:val="auto"/>
        </w:rPr>
      </w:pPr>
    </w:p>
    <w:tbl>
      <w:tblPr>
        <w:tblLayout w:type="fixed"/>
        <w:tblInd w:w="1280" w:type="dxa"/>
        <w:tblCellMar>
          <w:top w:w="0" w:type="dxa"/>
          <w:left w:w="0" w:type="dxa"/>
          <w:bottom w:w="0" w:type="dxa"/>
          <w:right w:w="0" w:type="dxa"/>
        </w:tblCellMar>
      </w:tblPr>
      <w:tr>
        <w:trPr>
          <w:trHeight w:val="191"/>
        </w:trPr>
        <w:tc>
          <w:tcPr>
            <w:tcW w:w="4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4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Segment Expenses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57"/>
        </w:trPr>
        <w:tc>
          <w:tcPr>
            <w:tcW w:w="4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56"/>
        </w:trPr>
        <w:tc>
          <w:tcPr>
            <w:tcW w:w="48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w:t>
            </w:r>
          </w:p>
        </w:tc>
      </w:tr>
      <w:tr>
        <w:trPr>
          <w:trHeight w:val="257"/>
        </w:trPr>
        <w:tc>
          <w:tcPr>
            <w:tcW w:w="482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6"/>
                <w:szCs w:val="16"/>
                <w:color w:val="auto"/>
              </w:rPr>
              <w:t>Realized performance revenue related compensation</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w:t>
            </w:r>
          </w:p>
        </w:tc>
      </w:tr>
      <w:tr>
        <w:trPr>
          <w:trHeight w:val="236"/>
        </w:trPr>
        <w:tc>
          <w:tcPr>
            <w:tcW w:w="48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w:t>
            </w:r>
          </w:p>
        </w:tc>
      </w:tr>
      <w:tr>
        <w:trPr>
          <w:trHeight w:val="257"/>
        </w:trPr>
        <w:tc>
          <w:tcPr>
            <w:tcW w:w="4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administrative, and other indirect expenses</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r>
      <w:tr>
        <w:trPr>
          <w:trHeight w:val="256"/>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56"/>
        </w:trPr>
        <w:tc>
          <w:tcPr>
            <w:tcW w:w="4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w:t>
            </w:r>
          </w:p>
        </w:tc>
      </w:tr>
      <w:tr>
        <w:trPr>
          <w:trHeight w:val="234"/>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Segment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591.7</w:t>
            </w: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6934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16115" cy="69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Income (loss) before provision for income taxes is the U.S. GAAP financial measure most comparable to Distributable</w:t>
      </w:r>
    </w:p>
    <w:p>
      <w:pPr>
        <w:sectPr>
          <w:pgSz w:w="11900" w:h="16838" w:orient="portrait"/>
          <w:cols w:equalWidth="0" w:num="1">
            <w:col w:w="9139"/>
          </w:cols>
          <w:pgMar w:left="1320" w:top="405" w:right="1440" w:bottom="0" w:gutter="0" w:footer="0" w:header="0"/>
        </w:sectPr>
      </w:pPr>
    </w:p>
    <w:bookmarkStart w:id="74" w:name="page75"/>
    <w:bookmarkEnd w:id="74"/>
    <w:p>
      <w:pPr>
        <w:spacing w:after="0" w:line="20" w:lineRule="exact"/>
        <w:rPr>
          <w:sz w:val="20"/>
          <w:szCs w:val="20"/>
          <w:color w:val="auto"/>
        </w:rPr>
      </w:pPr>
    </w:p>
    <w:p>
      <w:pPr>
        <w:spacing w:after="0" w:line="198" w:lineRule="auto"/>
        <w:rPr>
          <w:sz w:val="20"/>
          <w:szCs w:val="20"/>
          <w:color w:val="auto"/>
        </w:rPr>
      </w:pPr>
      <w:r>
        <w:rPr>
          <w:rFonts w:ascii="Times New Roman" w:cs="Times New Roman" w:eastAsia="Times New Roman" w:hAnsi="Times New Roman"/>
          <w:sz w:val="18"/>
          <w:szCs w:val="18"/>
          <w:color w:val="auto"/>
        </w:rPr>
        <w:t>Earnings and Fee Related Earnings. The following table is a reconciliation of income (loss) before provision for income taxes to Distributable Earnings and to Fee Related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-196215</wp:posOffset>
            </wp:positionV>
            <wp:extent cx="7016115" cy="83686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16115" cy="8368665"/>
                    </a:xfrm>
                    <a:prstGeom prst="rect">
                      <a:avLst/>
                    </a:prstGeom>
                    <a:noFill/>
                  </pic:spPr>
                </pic:pic>
              </a:graphicData>
            </a:graphic>
          </wp:anchor>
        </w:drawing>
      </w:r>
    </w:p>
    <w:p>
      <w:pPr>
        <w:spacing w:after="0" w:line="233"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56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6" w:lineRule="exact"/>
        <w:rPr>
          <w:sz w:val="20"/>
          <w:szCs w:val="20"/>
          <w:color w:val="auto"/>
        </w:rPr>
      </w:pPr>
    </w:p>
    <w:tbl>
      <w:tblPr>
        <w:tblLayout w:type="fixed"/>
        <w:tblInd w:w="900" w:type="dxa"/>
        <w:tblCellMar>
          <w:top w:w="0" w:type="dxa"/>
          <w:left w:w="0" w:type="dxa"/>
          <w:bottom w:w="0" w:type="dxa"/>
          <w:right w:w="0" w:type="dxa"/>
        </w:tblCellMar>
      </w:tblPr>
      <w:tr>
        <w:trPr>
          <w:trHeight w:val="205"/>
        </w:trPr>
        <w:tc>
          <w:tcPr>
            <w:tcW w:w="5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9"/>
        </w:trPr>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Income (loss) before provision for 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159.6</w:t>
            </w:r>
          </w:p>
        </w:tc>
        <w:tc>
          <w:tcPr>
            <w:tcW w:w="0" w:type="dxa"/>
            <w:vAlign w:val="bottom"/>
          </w:tcPr>
          <w:p>
            <w:pPr>
              <w:spacing w:after="0"/>
              <w:rPr>
                <w:sz w:val="1"/>
                <w:szCs w:val="1"/>
                <w:color w:val="auto"/>
              </w:rPr>
            </w:pPr>
          </w:p>
        </w:tc>
      </w:tr>
      <w:tr>
        <w:trPr>
          <w:trHeight w:val="230"/>
        </w:trPr>
        <w:tc>
          <w:tcPr>
            <w:tcW w:w="5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unrealized performance and fee related performance revenues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29"/>
        </w:trPr>
        <w:tc>
          <w:tcPr>
            <w:tcW w:w="5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Unrealized principal investment (income) loss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6"/>
                <w:szCs w:val="16"/>
                <w:color w:val="auto"/>
              </w:rPr>
              <w:t>Equity-based compensation</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189"/>
        </w:trPr>
        <w:tc>
          <w:tcPr>
            <w:tcW w:w="5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or disposition-related charges, including amortization of intangibles</w:t>
            </w:r>
          </w:p>
        </w:tc>
        <w:tc>
          <w:tcPr>
            <w:tcW w:w="18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03"/>
        </w:trPr>
        <w:tc>
          <w:tcPr>
            <w:tcW w:w="5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and impairment</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Tax expense associated with certain foreign performance revenues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29"/>
        </w:trPr>
        <w:tc>
          <w:tcPr>
            <w:tcW w:w="5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 in consolidated entities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adjustments</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9"/>
        </w:trPr>
        <w:tc>
          <w:tcPr>
            <w:tcW w:w="56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Distributable Earnings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431.3</w:t>
            </w:r>
          </w:p>
        </w:tc>
        <w:tc>
          <w:tcPr>
            <w:tcW w:w="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271.6</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6"/>
                <w:szCs w:val="16"/>
                <w:color w:val="auto"/>
              </w:rPr>
              <w:t>(-) Realized net performance revenues, net of related compensation</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0" w:type="dxa"/>
            <w:vAlign w:val="bottom"/>
          </w:tcPr>
          <w:p>
            <w:pPr>
              <w:spacing w:after="0"/>
              <w:rPr>
                <w:sz w:val="1"/>
                <w:szCs w:val="1"/>
                <w:color w:val="auto"/>
              </w:rPr>
            </w:pPr>
          </w:p>
        </w:tc>
      </w:tr>
      <w:tr>
        <w:trPr>
          <w:trHeight w:val="230"/>
        </w:trPr>
        <w:tc>
          <w:tcPr>
            <w:tcW w:w="5680" w:type="dxa"/>
            <w:vAlign w:val="bottom"/>
          </w:tcPr>
          <w:p>
            <w:pPr>
              <w:ind w:left="360"/>
              <w:spacing w:after="0" w:line="230" w:lineRule="exact"/>
              <w:rPr>
                <w:sz w:val="20"/>
                <w:szCs w:val="20"/>
                <w:color w:val="auto"/>
              </w:rPr>
            </w:pPr>
            <w:r>
              <w:rPr>
                <w:rFonts w:ascii="Times New Roman" w:cs="Times New Roman" w:eastAsia="Times New Roman" w:hAnsi="Times New Roman"/>
                <w:sz w:val="16"/>
                <w:szCs w:val="16"/>
                <w:color w:val="auto"/>
              </w:rPr>
              <w:t>(-) Realized principal investment income</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Net interest</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183"/>
        </w:trPr>
        <w:tc>
          <w:tcPr>
            <w:tcW w:w="5680" w:type="dxa"/>
            <w:vAlign w:val="bottom"/>
          </w:tcPr>
          <w:p>
            <w:pPr>
              <w:ind w:left="80"/>
              <w:spacing w:after="0" w:line="183" w:lineRule="exact"/>
              <w:rPr>
                <w:sz w:val="20"/>
                <w:szCs w:val="20"/>
                <w:color w:val="auto"/>
              </w:rPr>
            </w:pPr>
            <w:r>
              <w:rPr>
                <w:rFonts w:ascii="Times New Roman" w:cs="Times New Roman" w:eastAsia="Times New Roman" w:hAnsi="Times New Roman"/>
                <w:sz w:val="16"/>
                <w:szCs w:val="16"/>
                <w:b w:val="1"/>
                <w:bCs w:val="1"/>
                <w:color w:val="auto"/>
              </w:rPr>
              <w:t>(=) Fee Related Earnings</w:t>
            </w:r>
          </w:p>
        </w:tc>
        <w:tc>
          <w:tcPr>
            <w:tcW w:w="1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266.3</w:t>
            </w:r>
          </w:p>
        </w:tc>
        <w:tc>
          <w:tcPr>
            <w:tcW w:w="60" w:type="dxa"/>
            <w:vAlign w:val="bottom"/>
          </w:tcPr>
          <w:p>
            <w:pPr>
              <w:spacing w:after="0"/>
              <w:rPr>
                <w:sz w:val="15"/>
                <w:szCs w:val="15"/>
                <w:color w:val="auto"/>
              </w:rPr>
            </w:pPr>
          </w:p>
        </w:tc>
        <w:tc>
          <w:tcPr>
            <w:tcW w:w="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193.4</w:t>
            </w: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right="260" w:hanging="333"/>
        <w:spacing w:after="0" w:line="316" w:lineRule="auto"/>
        <w:tabs>
          <w:tab w:leader="none" w:pos="3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Equity-based compensation for the three months ended March 31, 2024 and 2023 includes amounts presented in principal investment income and general, administrative and other expenses in our U.S. GAAP statement of operations.</w:t>
      </w:r>
    </w:p>
    <w:p>
      <w:pPr>
        <w:spacing w:after="0" w:line="55" w:lineRule="exact"/>
        <w:rPr>
          <w:rFonts w:ascii="Times New Roman" w:cs="Times New Roman" w:eastAsia="Times New Roman" w:hAnsi="Times New Roman"/>
          <w:sz w:val="16"/>
          <w:szCs w:val="16"/>
          <w:color w:val="auto"/>
        </w:rPr>
      </w:pPr>
    </w:p>
    <w:p>
      <w:pPr>
        <w:ind w:left="280" w:hanging="273"/>
        <w:spacing w:after="0"/>
        <w:tabs>
          <w:tab w:leader="none" w:pos="2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reconciliation to most directly comparable U.S. GAAP measure below:</w:t>
      </w:r>
    </w:p>
    <w:p>
      <w:pPr>
        <w:spacing w:after="0" w:line="20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p>
      <w:pPr>
        <w:sectPr>
          <w:pgSz w:w="11900" w:h="16858" w:orient="portrait"/>
          <w:cols w:equalWidth="0" w:num="1">
            <w:col w:w="9240"/>
          </w:cols>
          <w:pgMar w:left="1320" w:top="108" w:right="1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Performance revenues</w:t>
      </w:r>
    </w:p>
    <w:p>
      <w:pPr>
        <w:spacing w:after="0" w:line="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Performance revenues related compensation expense</w:t>
      </w:r>
    </w:p>
    <w:p>
      <w:pPr>
        <w:spacing w:after="0" w:line="7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Net performance revenues</w:t>
      </w:r>
    </w:p>
    <w:p>
      <w:pPr>
        <w:spacing w:after="0" w:line="2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Principal investment income (loss)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6"/>
          <w:szCs w:val="16"/>
          <w:b w:val="1"/>
          <w:bCs w:val="1"/>
          <w:color w:val="auto"/>
        </w:rPr>
        <w:t>Total</w:t>
      </w:r>
    </w:p>
    <w:p>
      <w:pPr>
        <w:ind w:left="260"/>
        <w:spacing w:after="0" w:line="189" w:lineRule="auto"/>
        <w:tabs>
          <w:tab w:leader="none" w:pos="2420" w:val="left"/>
        </w:tabs>
        <w:rPr>
          <w:sz w:val="20"/>
          <w:szCs w:val="20"/>
          <w:color w:val="auto"/>
        </w:rPr>
      </w:pPr>
      <w:r>
        <w:rPr>
          <w:rFonts w:ascii="Times New Roman" w:cs="Times New Roman" w:eastAsia="Times New Roman" w:hAnsi="Times New Roman"/>
          <w:sz w:val="16"/>
          <w:szCs w:val="16"/>
          <w:b w:val="1"/>
          <w:bCs w:val="1"/>
          <w:color w:val="auto"/>
        </w:rPr>
        <w:t>Carlyle</w:t>
      </w:r>
      <w:r>
        <w:rPr>
          <w:sz w:val="20"/>
          <w:szCs w:val="20"/>
          <w:color w:val="auto"/>
        </w:rPr>
        <w:tab/>
      </w:r>
      <w:r>
        <w:rPr>
          <w:rFonts w:ascii="Times New Roman" w:cs="Times New Roman" w:eastAsia="Times New Roman" w:hAnsi="Times New Roman"/>
          <w:sz w:val="16"/>
          <w:szCs w:val="16"/>
          <w:b w:val="1"/>
          <w:bCs w:val="1"/>
          <w:color w:val="auto"/>
        </w:rPr>
        <w:t>Reportable</w:t>
      </w:r>
    </w:p>
    <w:p>
      <w:pPr>
        <w:ind w:left="60"/>
        <w:spacing w:after="0"/>
        <w:tabs>
          <w:tab w:leader="none" w:pos="1160" w:val="left"/>
          <w:tab w:leader="none" w:pos="2480" w:val="left"/>
        </w:tabs>
        <w:rPr>
          <w:sz w:val="20"/>
          <w:szCs w:val="20"/>
          <w:color w:val="auto"/>
        </w:rPr>
      </w:pPr>
      <w:r>
        <w:rPr>
          <w:rFonts w:ascii="Times New Roman" w:cs="Times New Roman" w:eastAsia="Times New Roman" w:hAnsi="Times New Roman"/>
          <w:sz w:val="16"/>
          <w:szCs w:val="16"/>
          <w:b w:val="1"/>
          <w:bCs w:val="1"/>
          <w:color w:val="auto"/>
        </w:rPr>
        <w:t>Consolidated</w:t>
        <w:tab/>
        <w:t>Adjustments</w:t>
      </w:r>
      <w:r>
        <w:rPr>
          <w:rFonts w:ascii="Times New Roman" w:cs="Times New Roman" w:eastAsia="Times New Roman" w:hAnsi="Times New Roman"/>
          <w:sz w:val="21"/>
          <w:szCs w:val="21"/>
          <w:b w:val="1"/>
          <w:bCs w:val="1"/>
          <w:color w:val="auto"/>
          <w:vertAlign w:val="superscript"/>
        </w:rPr>
        <w:t>(3)</w:t>
      </w:r>
      <w:r>
        <w:rPr>
          <w:sz w:val="20"/>
          <w:szCs w:val="20"/>
          <w:color w:val="auto"/>
        </w:rPr>
        <w:tab/>
      </w:r>
      <w:r>
        <w:rPr>
          <w:rFonts w:ascii="Times New Roman" w:cs="Times New Roman" w:eastAsia="Times New Roman" w:hAnsi="Times New Roman"/>
          <w:sz w:val="16"/>
          <w:szCs w:val="16"/>
          <w:b w:val="1"/>
          <w:bCs w:val="1"/>
          <w:color w:val="auto"/>
        </w:rPr>
        <w:t>Segments</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(Dollars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8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554.8</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397.8</w:t>
            </w:r>
          </w:p>
        </w:tc>
      </w:tr>
      <w:tr>
        <w:trPr>
          <w:trHeight w:val="249"/>
        </w:trPr>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328.6</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255.8</w:t>
            </w:r>
          </w:p>
        </w:tc>
      </w:tr>
      <w:tr>
        <w:trPr>
          <w:trHeight w:val="244"/>
        </w:trPr>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80" w:type="dxa"/>
            <w:vAlign w:val="bottom"/>
          </w:tcPr>
          <w:p>
            <w:pPr>
              <w:spacing w:after="0"/>
              <w:rPr>
                <w:sz w:val="21"/>
                <w:szCs w:val="21"/>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8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w:t>
            </w:r>
          </w:p>
        </w:tc>
      </w:tr>
      <w:tr>
        <w:trPr>
          <w:trHeight w:val="405"/>
        </w:trPr>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80" w:type="dxa"/>
            <w:vAlign w:val="bottom"/>
          </w:tcPr>
          <w:p>
            <w:pPr>
              <w:spacing w:after="0"/>
              <w:rPr>
                <w:sz w:val="24"/>
                <w:szCs w:val="24"/>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r>
    </w:tbl>
    <w:p>
      <w:pPr>
        <w:spacing w:after="0" w:line="328" w:lineRule="exact"/>
        <w:rPr>
          <w:sz w:val="20"/>
          <w:szCs w:val="20"/>
          <w:color w:val="auto"/>
        </w:rPr>
      </w:pPr>
    </w:p>
    <w:p>
      <w:pPr>
        <w:jc w:val="right"/>
        <w:ind w:left="360" w:right="740"/>
        <w:spacing w:after="0" w:line="286" w:lineRule="auto"/>
        <w:rPr>
          <w:sz w:val="20"/>
          <w:szCs w:val="20"/>
          <w:color w:val="auto"/>
        </w:rPr>
      </w:pPr>
      <w:r>
        <w:rPr>
          <w:rFonts w:ascii="Times New Roman" w:cs="Times New Roman" w:eastAsia="Times New Roman" w:hAnsi="Times New Roman"/>
          <w:sz w:val="16"/>
          <w:szCs w:val="16"/>
          <w:b w:val="1"/>
          <w:bCs w:val="1"/>
          <w:color w:val="auto"/>
        </w:rPr>
        <w:t>Three Months Ended March 31, 2023 Total</w:t>
      </w:r>
    </w:p>
    <w:p>
      <w:pPr>
        <w:ind w:left="260"/>
        <w:spacing w:after="0" w:line="189" w:lineRule="auto"/>
        <w:tabs>
          <w:tab w:leader="none" w:pos="2420" w:val="left"/>
        </w:tabs>
        <w:rPr>
          <w:sz w:val="20"/>
          <w:szCs w:val="20"/>
          <w:color w:val="auto"/>
        </w:rPr>
      </w:pPr>
      <w:r>
        <w:rPr>
          <w:rFonts w:ascii="Times New Roman" w:cs="Times New Roman" w:eastAsia="Times New Roman" w:hAnsi="Times New Roman"/>
          <w:sz w:val="16"/>
          <w:szCs w:val="16"/>
          <w:b w:val="1"/>
          <w:bCs w:val="1"/>
          <w:color w:val="auto"/>
        </w:rPr>
        <w:t>Carlyle</w:t>
      </w:r>
      <w:r>
        <w:rPr>
          <w:sz w:val="20"/>
          <w:szCs w:val="20"/>
          <w:color w:val="auto"/>
        </w:rPr>
        <w:tab/>
      </w:r>
      <w:r>
        <w:rPr>
          <w:rFonts w:ascii="Times New Roman" w:cs="Times New Roman" w:eastAsia="Times New Roman" w:hAnsi="Times New Roman"/>
          <w:sz w:val="16"/>
          <w:szCs w:val="16"/>
          <w:b w:val="1"/>
          <w:bCs w:val="1"/>
          <w:color w:val="auto"/>
        </w:rPr>
        <w:t>Reportable</w:t>
      </w:r>
    </w:p>
    <w:p>
      <w:pPr>
        <w:ind w:left="60"/>
        <w:spacing w:after="0"/>
        <w:tabs>
          <w:tab w:leader="none" w:pos="1160" w:val="left"/>
          <w:tab w:leader="none" w:pos="2480" w:val="left"/>
        </w:tabs>
        <w:rPr>
          <w:sz w:val="20"/>
          <w:szCs w:val="20"/>
          <w:color w:val="auto"/>
        </w:rPr>
      </w:pPr>
      <w:r>
        <w:rPr>
          <w:rFonts w:ascii="Times New Roman" w:cs="Times New Roman" w:eastAsia="Times New Roman" w:hAnsi="Times New Roman"/>
          <w:sz w:val="16"/>
          <w:szCs w:val="16"/>
          <w:b w:val="1"/>
          <w:bCs w:val="1"/>
          <w:color w:val="auto"/>
        </w:rPr>
        <w:t>Consolidated</w:t>
        <w:tab/>
        <w:t>Adjustments</w:t>
      </w:r>
      <w:r>
        <w:rPr>
          <w:rFonts w:ascii="Times New Roman" w:cs="Times New Roman" w:eastAsia="Times New Roman" w:hAnsi="Times New Roman"/>
          <w:sz w:val="21"/>
          <w:szCs w:val="21"/>
          <w:b w:val="1"/>
          <w:bCs w:val="1"/>
          <w:color w:val="auto"/>
          <w:vertAlign w:val="superscript"/>
        </w:rPr>
        <w:t>(3)</w:t>
      </w:r>
      <w:r>
        <w:rPr>
          <w:sz w:val="20"/>
          <w:szCs w:val="20"/>
          <w:color w:val="auto"/>
        </w:rPr>
        <w:tab/>
      </w:r>
      <w:r>
        <w:rPr>
          <w:rFonts w:ascii="Times New Roman" w:cs="Times New Roman" w:eastAsia="Times New Roman" w:hAnsi="Times New Roman"/>
          <w:sz w:val="16"/>
          <w:szCs w:val="16"/>
          <w:b w:val="1"/>
          <w:bCs w:val="1"/>
          <w:color w:val="auto"/>
        </w:rPr>
        <w:t>Segments</w:t>
      </w:r>
    </w:p>
    <w:p>
      <w:pPr>
        <w:spacing w:after="0" w:line="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(Dollars in millions)</w:t>
      </w:r>
    </w:p>
    <w:p>
      <w:pPr>
        <w:spacing w:after="0" w:line="21" w:lineRule="exact"/>
        <w:rPr>
          <w:sz w:val="20"/>
          <w:szCs w:val="20"/>
          <w:color w:val="auto"/>
        </w:rPr>
      </w:pPr>
    </w:p>
    <w:p>
      <w:pPr>
        <w:sectPr>
          <w:pgSz w:w="11900" w:h="16858" w:orient="portrait"/>
          <w:cols w:equalWidth="0" w:num="2">
            <w:col w:w="4780" w:space="720"/>
            <w:col w:w="3740"/>
          </w:cols>
          <w:pgMar w:left="1320" w:top="108" w:right="1339" w:bottom="0" w:gutter="0" w:footer="0" w:header="0"/>
          <w:type w:val="continuous"/>
        </w:sectPr>
      </w:pPr>
    </w:p>
    <w:tbl>
      <w:tblPr>
        <w:tblLayout w:type="fixed"/>
        <w:tblInd w:w="820" w:type="dxa"/>
        <w:tblCellMar>
          <w:top w:w="0" w:type="dxa"/>
          <w:left w:w="0" w:type="dxa"/>
          <w:bottom w:w="0" w:type="dxa"/>
          <w:right w:w="0" w:type="dxa"/>
        </w:tblCellMar>
      </w:tblPr>
      <w:tr>
        <w:trPr>
          <w:trHeight w:val="237"/>
        </w:trPr>
        <w:tc>
          <w:tcPr>
            <w:tcW w:w="4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Performance revenues</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w:t>
            </w:r>
          </w:p>
        </w:tc>
      </w:tr>
      <w:tr>
        <w:trPr>
          <w:trHeight w:val="256"/>
        </w:trPr>
        <w:tc>
          <w:tcPr>
            <w:tcW w:w="46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Performance revenues related compensation expense</w:t>
            </w: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w:t>
            </w:r>
          </w:p>
        </w:tc>
      </w:tr>
      <w:tr>
        <w:trPr>
          <w:trHeight w:val="237"/>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performance revenues</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r>
      <w:tr>
        <w:trPr>
          <w:trHeight w:val="413"/>
        </w:trPr>
        <w:tc>
          <w:tcPr>
            <w:tcW w:w="4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Principal investment income (loss)</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24"/>
                <w:szCs w:val="24"/>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r>
    </w:tbl>
    <w:p>
      <w:pPr>
        <w:spacing w:after="0" w:line="168" w:lineRule="exact"/>
        <w:rPr>
          <w:sz w:val="20"/>
          <w:szCs w:val="20"/>
          <w:color w:val="auto"/>
        </w:rPr>
      </w:pPr>
    </w:p>
    <w:p>
      <w:pPr>
        <w:ind w:left="340" w:right="120" w:hanging="333"/>
        <w:spacing w:after="0" w:line="256" w:lineRule="auto"/>
        <w:tabs>
          <w:tab w:leader="none" w:pos="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to performance revenues and principal investment income (loss) relate to (i) unrealized performance allocations net of related compensation expense and unrealized principal investment income, which are excluded from our Non-GAAP results, (ii) amounts earned from the Consolidated Funds, which were eliminated in the U.S. GAAP consolidation but were included in the Non-GAAP results, (iii) amounts attributable to non-controlling interests in consolidated entities, which were excluded from the Non-GAAP results, (iv) the reclassification of NGP performance revenues, which are included in investment income in the U.S. GAAP financial statements, (v) the reclassification of fee related performance revenues, which are included in fund level fee revenues in the segment results, and (vi) the reclassification of tax expenses associated with certain foreign performance revenues. Adjustments to principal investment income (loss) also include the reclassification of earnings for the investment in NGP Management and its affiliates to the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20650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16115" cy="206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4" w:lineRule="exact"/>
        <w:rPr>
          <w:sz w:val="20"/>
          <w:szCs w:val="20"/>
          <w:color w:val="auto"/>
        </w:rPr>
      </w:pPr>
    </w:p>
    <w:p>
      <w:pPr>
        <w:ind w:left="340" w:right="720"/>
        <w:spacing w:after="0" w:line="280" w:lineRule="auto"/>
        <w:rPr>
          <w:sz w:val="20"/>
          <w:szCs w:val="20"/>
          <w:color w:val="auto"/>
        </w:rPr>
      </w:pPr>
      <w:r>
        <w:rPr>
          <w:rFonts w:ascii="Times New Roman" w:cs="Times New Roman" w:eastAsia="Times New Roman" w:hAnsi="Times New Roman"/>
          <w:sz w:val="16"/>
          <w:szCs w:val="16"/>
          <w:color w:val="auto"/>
        </w:rPr>
        <w:t>appropriate operating captions for the Non-GAAP results, and the exclusion of charges associated with the investment in NGP Management and its affiliates that are excluded from the Non-GAAP results.</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Distributable Earnings for our reportable segments are as follows:</w:t>
      </w:r>
    </w:p>
    <w:p>
      <w:pPr>
        <w:spacing w:after="0" w:line="212" w:lineRule="exact"/>
        <w:rPr>
          <w:sz w:val="20"/>
          <w:szCs w:val="20"/>
          <w:color w:val="auto"/>
        </w:rPr>
      </w:pPr>
    </w:p>
    <w:p>
      <w:pPr>
        <w:jc w:val="center"/>
        <w:ind w:left="34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34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3" w:lineRule="exact"/>
        <w:rPr>
          <w:sz w:val="20"/>
          <w:szCs w:val="20"/>
          <w:color w:val="auto"/>
        </w:rPr>
      </w:pPr>
    </w:p>
    <w:tbl>
      <w:tblPr>
        <w:tblLayout w:type="fixed"/>
        <w:tblInd w:w="1920" w:type="dxa"/>
        <w:tblCellMar>
          <w:top w:w="0" w:type="dxa"/>
          <w:left w:w="0" w:type="dxa"/>
          <w:bottom w:w="0" w:type="dxa"/>
          <w:right w:w="0" w:type="dxa"/>
        </w:tblCellMar>
      </w:tblPr>
      <w:tr>
        <w:trPr>
          <w:trHeight w:val="212"/>
        </w:trPr>
        <w:tc>
          <w:tcPr>
            <w:tcW w:w="2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6"/>
        </w:trPr>
        <w:tc>
          <w:tcPr>
            <w:tcW w:w="24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6"/>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Global Private Equity</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313.1</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w:t>
            </w:r>
          </w:p>
        </w:tc>
      </w:tr>
      <w:tr>
        <w:trPr>
          <w:trHeight w:val="256"/>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Global Credit</w:t>
            </w:r>
          </w:p>
        </w:tc>
        <w:tc>
          <w:tcPr>
            <w:tcW w:w="1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2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r>
    </w:tbl>
    <w:p>
      <w:pPr>
        <w:sectPr>
          <w:pgSz w:w="11900" w:h="16858" w:orient="portrait"/>
          <w:cols w:equalWidth="0" w:num="1">
            <w:col w:w="9240"/>
          </w:cols>
          <w:pgMar w:left="1320" w:top="108" w:right="1339" w:bottom="0" w:gutter="0" w:footer="0" w:header="0"/>
          <w:type w:val="continuous"/>
        </w:sectPr>
      </w:pPr>
    </w:p>
    <w:bookmarkStart w:id="75" w:name="page76"/>
    <w:bookmarkEnd w:id="75"/>
    <w:p>
      <w:pPr>
        <w:spacing w:after="0" w:line="1" w:lineRule="exact"/>
        <w:rPr>
          <w:sz w:val="20"/>
          <w:szCs w:val="20"/>
          <w:color w:val="auto"/>
        </w:rPr>
      </w:pPr>
    </w:p>
    <w:tbl>
      <w:tblPr>
        <w:tblLayout w:type="fixed"/>
        <w:tblInd w:w="1920" w:type="dxa"/>
        <w:tblCellMar>
          <w:top w:w="0" w:type="dxa"/>
          <w:left w:w="0" w:type="dxa"/>
          <w:bottom w:w="0" w:type="dxa"/>
          <w:right w:w="0" w:type="dxa"/>
        </w:tblCellMar>
      </w:tblP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Global Investment Solutions</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195"/>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Distributable Earnings</w:t>
            </w:r>
          </w:p>
        </w:tc>
        <w:tc>
          <w:tcPr>
            <w:tcW w:w="340" w:type="dxa"/>
            <w:vAlign w:val="bottom"/>
            <w:tcBorders>
              <w:bottom w:val="single" w:sz="8" w:color="auto"/>
            </w:tcBorders>
          </w:tcPr>
          <w:p>
            <w:pPr>
              <w:jc w:val="right"/>
              <w:ind w:right="11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431.3</w:t>
            </w:r>
          </w:p>
        </w:tc>
        <w:tc>
          <w:tcPr>
            <w:tcW w:w="380" w:type="dxa"/>
            <w:vAlign w:val="bottom"/>
            <w:tcBorders>
              <w:bottom w:val="single" w:sz="8" w:color="auto"/>
            </w:tcBorders>
          </w:tcPr>
          <w:p>
            <w:pPr>
              <w:jc w:val="right"/>
              <w:ind w:right="119"/>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271.6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-256540</wp:posOffset>
            </wp:positionV>
            <wp:extent cx="7016115" cy="69970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16115" cy="699706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Analysis</w:t>
      </w:r>
    </w:p>
    <w:p>
      <w:pPr>
        <w:spacing w:after="0" w:line="229"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 xml:space="preserve">Discussed below is </w:t>
      </w:r>
      <w:r>
        <w:rPr>
          <w:rFonts w:ascii="Times New Roman" w:cs="Times New Roman" w:eastAsia="Times New Roman" w:hAnsi="Times New Roman"/>
          <w:sz w:val="18"/>
          <w:szCs w:val="18"/>
          <w:color w:val="auto"/>
          <w:highlight w:val="white"/>
        </w:rPr>
        <w:t>our DE and FRE for our segments for the periods presented. Our segment in</w:t>
      </w:r>
      <w:r>
        <w:rPr>
          <w:rFonts w:ascii="Times New Roman" w:cs="Times New Roman" w:eastAsia="Times New Roman" w:hAnsi="Times New Roman"/>
          <w:sz w:val="18"/>
          <w:szCs w:val="18"/>
          <w:color w:val="auto"/>
        </w:rPr>
        <w:t xml:space="preserve">formation is reflected in the manner used by our senior management to make operating and compensation decisions, assess performance and allocate resources. </w:t>
      </w:r>
      <w:r>
        <w:rPr>
          <w:sz w:val="1"/>
          <w:szCs w:val="1"/>
          <w:color w:val="auto"/>
        </w:rPr>
        <w:drawing>
          <wp:inline distT="0" distB="0" distL="0" distR="0">
            <wp:extent cx="3488690" cy="16319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88690" cy="163195"/>
                    </a:xfrm>
                    <a:prstGeom prst="rect">
                      <a:avLst/>
                    </a:prstGeom>
                    <a:noFill/>
                    <a:ln>
                      <a:noFill/>
                    </a:ln>
                  </pic:spPr>
                </pic:pic>
              </a:graphicData>
            </a:graphic>
          </wp:inline>
        </w:drawing>
      </w:r>
    </w:p>
    <w:p>
      <w:pPr>
        <w:spacing w:after="0" w:line="46"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For segment reporting purposes, revenues and expenses are presented on a basis that deconsolidates our Consolidated Funds. As a result, segment revenues from management fees, realized performance revenues and realized principal investment income (loss) are different than those presented on a consolidated U.S. GAAP basis because these revenues recognized in certain segments are received from Consolidated Funds and are eliminated in consolidation when presented on a consolidated U.S. GAAP basis. Furthermore, segment expenses are different than related amounts presented on a consolidated U.S. GAAP basis due to the exclusion of fund expenses that are paid by the Consolidated Funds. Our realigned compensation program positively impacted Fee Related Earnings and reduced the portion of realized performance revenues retained by the Company in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3436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16115" cy="343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Private Equity</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our Global Private Equity</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segment:</w:t>
      </w:r>
    </w:p>
    <w:p>
      <w:pPr>
        <w:spacing w:after="0" w:line="275"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8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11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4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Pr>
          <w:p>
            <w:pPr>
              <w:spacing w:after="0"/>
              <w:rPr>
                <w:sz w:val="22"/>
                <w:szCs w:val="22"/>
                <w:color w:val="auto"/>
              </w:rPr>
            </w:pPr>
          </w:p>
        </w:tc>
        <w:tc>
          <w:tcPr>
            <w:tcW w:w="7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22"/>
                <w:szCs w:val="22"/>
                <w:color w:val="auto"/>
              </w:rPr>
            </w:pPr>
          </w:p>
        </w:tc>
        <w:tc>
          <w:tcPr>
            <w:tcW w:w="1160" w:type="dxa"/>
            <w:vAlign w:val="bottom"/>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60" w:type="dxa"/>
            <w:vAlign w:val="bottom"/>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Segment Revenues</w:t>
            </w: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Fund level fee revenues</w:t>
            </w: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3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Fund management fees</w:t>
            </w: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(22.3)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43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Portfolio advisory and transaction fees, net and other</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360" w:type="dxa"/>
            <w:vAlign w:val="bottom"/>
          </w:tcPr>
          <w:p>
            <w:pPr>
              <w:spacing w:after="0"/>
              <w:rPr>
                <w:sz w:val="23"/>
                <w:szCs w:val="23"/>
                <w:color w:val="auto"/>
              </w:rPr>
            </w:pPr>
          </w:p>
        </w:tc>
        <w:tc>
          <w:tcPr>
            <w:tcW w:w="11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64"/>
        </w:trPr>
        <w:tc>
          <w:tcPr>
            <w:tcW w:w="43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Fee related performance revenues</w:t>
            </w:r>
          </w:p>
        </w:tc>
        <w:tc>
          <w:tcPr>
            <w:tcW w:w="5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360" w:type="dxa"/>
            <w:vAlign w:val="bottom"/>
          </w:tcPr>
          <w:p>
            <w:pPr>
              <w:spacing w:after="0"/>
              <w:rPr>
                <w:sz w:val="22"/>
                <w:szCs w:val="22"/>
                <w:color w:val="auto"/>
              </w:rPr>
            </w:pPr>
          </w:p>
        </w:tc>
        <w:tc>
          <w:tcPr>
            <w:tcW w:w="11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70"/>
        </w:trPr>
        <w:tc>
          <w:tcPr>
            <w:tcW w:w="43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Total fund level fee revenues</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360" w:type="dxa"/>
            <w:vAlign w:val="bottom"/>
          </w:tcPr>
          <w:p>
            <w:pPr>
              <w:spacing w:after="0"/>
              <w:rPr>
                <w:sz w:val="23"/>
                <w:szCs w:val="23"/>
                <w:color w:val="auto"/>
              </w:rPr>
            </w:pPr>
          </w:p>
        </w:tc>
        <w:tc>
          <w:tcPr>
            <w:tcW w:w="11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(26.5)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70"/>
        </w:trPr>
        <w:tc>
          <w:tcPr>
            <w:tcW w:w="4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Realized performance revenues</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360" w:type="dxa"/>
            <w:vAlign w:val="bottom"/>
          </w:tcPr>
          <w:p>
            <w:pPr>
              <w:spacing w:after="0"/>
              <w:rPr>
                <w:sz w:val="23"/>
                <w:szCs w:val="23"/>
                <w:color w:val="auto"/>
              </w:rPr>
            </w:pPr>
          </w:p>
        </w:tc>
        <w:tc>
          <w:tcPr>
            <w:tcW w:w="11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274.8</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4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Realized principal investment income</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360" w:type="dxa"/>
            <w:vAlign w:val="bottom"/>
          </w:tcPr>
          <w:p>
            <w:pPr>
              <w:spacing w:after="0"/>
              <w:rPr>
                <w:sz w:val="23"/>
                <w:szCs w:val="23"/>
                <w:color w:val="auto"/>
              </w:rPr>
            </w:pPr>
          </w:p>
        </w:tc>
        <w:tc>
          <w:tcPr>
            <w:tcW w:w="11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7.0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4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360" w:type="dxa"/>
            <w:vAlign w:val="bottom"/>
          </w:tcPr>
          <w:p>
            <w:pPr>
              <w:spacing w:after="0"/>
              <w:rPr>
                <w:sz w:val="23"/>
                <w:szCs w:val="23"/>
                <w:color w:val="auto"/>
              </w:rPr>
            </w:pPr>
          </w:p>
        </w:tc>
        <w:tc>
          <w:tcPr>
            <w:tcW w:w="11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715.7</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458.2</w:t>
            </w:r>
          </w:p>
        </w:tc>
        <w:tc>
          <w:tcPr>
            <w:tcW w:w="360" w:type="dxa"/>
            <w:vAlign w:val="bottom"/>
          </w:tcPr>
          <w:p>
            <w:pPr>
              <w:spacing w:after="0"/>
              <w:rPr>
                <w:sz w:val="23"/>
                <w:szCs w:val="23"/>
                <w:color w:val="auto"/>
              </w:rPr>
            </w:pPr>
          </w:p>
        </w:tc>
        <w:tc>
          <w:tcPr>
            <w:tcW w:w="11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257.5</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ectPr>
          <w:pgSz w:w="11900" w:h="16838" w:orient="portrait"/>
          <w:cols w:equalWidth="0" w:num="1">
            <w:col w:w="9240"/>
          </w:cols>
          <w:pgMar w:left="1320" w:top="126" w:right="1339" w:bottom="0" w:gutter="0" w:footer="0" w:header="0"/>
        </w:sectPr>
      </w:pPr>
    </w:p>
    <w:bookmarkStart w:id="76" w:name="page77"/>
    <w:bookmarkEnd w:id="76"/>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Segment Expenses</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6"/>
        </w:trPr>
        <w:tc>
          <w:tcPr>
            <w:tcW w:w="4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r>
      <w:tr>
        <w:trPr>
          <w:trHeight w:val="239"/>
        </w:trPr>
        <w:tc>
          <w:tcPr>
            <w:tcW w:w="47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4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10"/>
        </w:trPr>
        <w:tc>
          <w:tcPr>
            <w:tcW w:w="47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Realized performance revenues related compensation</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70"/>
        </w:trPr>
        <w:tc>
          <w:tcPr>
            <w:tcW w:w="47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343.6</w:t>
            </w: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4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General, administrative, and other indirect expenses</w:t>
            </w: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70"/>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70"/>
        </w:trPr>
        <w:tc>
          <w:tcPr>
            <w:tcW w:w="4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70"/>
        </w:trPr>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expenses</w:t>
            </w:r>
          </w:p>
        </w:tc>
        <w:tc>
          <w:tcPr>
            <w:tcW w:w="4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402.6</w:t>
            </w:r>
          </w:p>
        </w:tc>
        <w:tc>
          <w:tcPr>
            <w:tcW w:w="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6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Distributable Earnings</w:t>
            </w:r>
          </w:p>
        </w:tc>
        <w:tc>
          <w:tcPr>
            <w:tcW w:w="4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313.1</w:t>
            </w:r>
          </w:p>
        </w:tc>
        <w:tc>
          <w:tcPr>
            <w:tcW w:w="60" w:type="dxa"/>
            <w:vAlign w:val="bottom"/>
          </w:tcPr>
          <w:p>
            <w:pPr>
              <w:spacing w:after="0"/>
              <w:rPr>
                <w:sz w:val="21"/>
                <w:szCs w:val="21"/>
                <w:color w:val="auto"/>
              </w:rPr>
            </w:pPr>
          </w:p>
        </w:tc>
        <w:tc>
          <w:tcPr>
            <w:tcW w:w="4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182.8</w:t>
            </w:r>
          </w:p>
        </w:tc>
        <w:tc>
          <w:tcPr>
            <w:tcW w:w="60" w:type="dxa"/>
            <w:vAlign w:val="bottom"/>
          </w:tcPr>
          <w:p>
            <w:pPr>
              <w:spacing w:after="0"/>
              <w:rPr>
                <w:sz w:val="21"/>
                <w:szCs w:val="21"/>
                <w:color w:val="auto"/>
              </w:rPr>
            </w:pPr>
          </w:p>
        </w:tc>
        <w:tc>
          <w:tcPr>
            <w:tcW w:w="4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130.3</w:t>
            </w:r>
          </w:p>
        </w:tc>
        <w:tc>
          <w:tcPr>
            <w:tcW w:w="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71 %</w:t>
            </w:r>
          </w:p>
        </w:tc>
      </w:tr>
      <w:tr>
        <w:trPr>
          <w:trHeight w:val="270"/>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Realized Net Performance Revenues</w:t>
            </w: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4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 Realized Principal Investment Income</w:t>
            </w: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4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Net Interest</w:t>
            </w:r>
          </w:p>
        </w:tc>
        <w:tc>
          <w:tcPr>
            <w:tcW w:w="4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60" w:type="dxa"/>
            <w:vAlign w:val="bottom"/>
            <w:shd w:val="clear" w:color="auto" w:fill="CCEEFF"/>
          </w:tcPr>
          <w:p>
            <w:pPr>
              <w:spacing w:after="0"/>
              <w:rPr>
                <w:sz w:val="23"/>
                <w:szCs w:val="23"/>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98"/>
        </w:trPr>
        <w:tc>
          <w:tcPr>
            <w:tcW w:w="47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Fee Related Earnings</w:t>
            </w:r>
          </w:p>
        </w:tc>
        <w:tc>
          <w:tcPr>
            <w:tcW w:w="4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161.1</w:t>
            </w:r>
          </w:p>
        </w:tc>
        <w:tc>
          <w:tcPr>
            <w:tcW w:w="60" w:type="dxa"/>
            <w:vAlign w:val="bottom"/>
          </w:tcPr>
          <w:p>
            <w:pPr>
              <w:spacing w:after="0"/>
              <w:rPr>
                <w:sz w:val="24"/>
                <w:szCs w:val="24"/>
                <w:color w:val="auto"/>
              </w:rPr>
            </w:pPr>
          </w:p>
        </w:tc>
        <w:tc>
          <w:tcPr>
            <w:tcW w:w="4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129.4</w:t>
            </w:r>
          </w:p>
        </w:tc>
        <w:tc>
          <w:tcPr>
            <w:tcW w:w="60" w:type="dxa"/>
            <w:vAlign w:val="bottom"/>
          </w:tcPr>
          <w:p>
            <w:pPr>
              <w:spacing w:after="0"/>
              <w:rPr>
                <w:sz w:val="24"/>
                <w:szCs w:val="24"/>
                <w:color w:val="auto"/>
              </w:rPr>
            </w:pPr>
          </w:p>
        </w:tc>
        <w:tc>
          <w:tcPr>
            <w:tcW w:w="4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-2327275</wp:posOffset>
            </wp:positionV>
            <wp:extent cx="7016115" cy="5625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16115" cy="5625465"/>
                    </a:xfrm>
                    <a:prstGeom prst="rect">
                      <a:avLst/>
                    </a:prstGeom>
                    <a:noFill/>
                  </pic:spPr>
                </pic:pic>
              </a:graphicData>
            </a:graphic>
          </wp:anchor>
        </w:drawing>
      </w:r>
    </w:p>
    <w:p>
      <w:pPr>
        <w:spacing w:after="0" w:line="148" w:lineRule="exact"/>
        <w:rPr>
          <w:sz w:val="20"/>
          <w:szCs w:val="20"/>
          <w:color w:val="auto"/>
        </w:rPr>
      </w:pPr>
    </w:p>
    <w:p>
      <w:pPr>
        <w:ind w:left="340" w:right="320" w:hanging="333"/>
        <w:spacing w:after="0" w:line="280"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presenting our results of operations for this segment, our earnings from our investments in NGP are presented in the respective operating captions.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48082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16115" cy="4808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w:t>
      </w:r>
    </w:p>
    <w:p>
      <w:pPr>
        <w:spacing w:after="0" w:line="229"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Distributable Earnings increased $130.3 million for the three months ended March 31, 2024 as compared to the three months ended March 31, 2023. The following table provides the components of the changes in Distributable Earnings for the three months ended March 31, 2024:</w:t>
      </w:r>
    </w:p>
    <w:p>
      <w:pPr>
        <w:spacing w:after="0" w:line="105"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3"/>
        </w:trPr>
        <w:tc>
          <w:tcPr>
            <w:tcW w:w="5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50"/>
        </w:trPr>
        <w:tc>
          <w:tcPr>
            <w:tcW w:w="5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2024 v. 2023</w:t>
            </w:r>
          </w:p>
        </w:tc>
      </w:tr>
      <w:tr>
        <w:trPr>
          <w:trHeight w:val="250"/>
        </w:trPr>
        <w:tc>
          <w:tcPr>
            <w:tcW w:w="5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70"/>
        </w:trPr>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Distributable Earnings, March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r>
      <w:tr>
        <w:trPr>
          <w:trHeight w:val="270"/>
        </w:trPr>
        <w:tc>
          <w:tcPr>
            <w:tcW w:w="5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Increases (decreases):</w:t>
            </w: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0"/>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Increase in fee related earnings</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70"/>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Increase in realized net performance revenues</w:t>
            </w:r>
          </w:p>
        </w:tc>
        <w:tc>
          <w:tcPr>
            <w:tcW w:w="1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r>
      <w:tr>
        <w:trPr>
          <w:trHeight w:val="270"/>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Increase in realized principal investment income</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70"/>
        </w:trPr>
        <w:tc>
          <w:tcPr>
            <w:tcW w:w="52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Decrease in net interest</w:t>
            </w:r>
          </w:p>
        </w:tc>
        <w:tc>
          <w:tcPr>
            <w:tcW w:w="1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50"/>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increase</w:t>
            </w:r>
          </w:p>
        </w:tc>
        <w:tc>
          <w:tcPr>
            <w:tcW w:w="1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r>
      <w:tr>
        <w:trPr>
          <w:trHeight w:val="223"/>
        </w:trPr>
        <w:tc>
          <w:tcPr>
            <w:tcW w:w="5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Distributable Earnings, March 31,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313.1</w:t>
            </w:r>
          </w:p>
        </w:tc>
      </w:tr>
      <w:tr>
        <w:trPr>
          <w:trHeight w:val="21"/>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right="28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Realized Net Performance Revenues</w:t>
      </w:r>
      <w:r>
        <w:rPr>
          <w:rFonts w:ascii="Times New Roman" w:cs="Times New Roman" w:eastAsia="Times New Roman" w:hAnsi="Times New Roman"/>
          <w:sz w:val="18"/>
          <w:szCs w:val="18"/>
          <w:color w:val="auto"/>
        </w:rPr>
        <w:t>. Realized net performance revenues increased $86.8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2024 as compared to the three months ended March 31, 2023, primarily due to realizations in CAP IV and CIEP during the three months ended March 31, 2024, partially offset by decreases in realizations in Japan and U.S. buyout funds.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Fee Related Earnings</w:t>
      </w:r>
    </w:p>
    <w:p>
      <w:pPr>
        <w:spacing w:after="0" w:line="229"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Fee Related Earnings increased $31.7 million for the three months ended March 31, 2024 as compared to the three months ended March 31, 2023. The following table provides the components of the changes in Fee Related Earnings for the three months ended March 31, 2024:</w:t>
      </w:r>
    </w:p>
    <w:p>
      <w:pPr>
        <w:sectPr>
          <w:pgSz w:w="11900" w:h="16872" w:orient="portrait"/>
          <w:cols w:equalWidth="0" w:num="1">
            <w:col w:w="9220"/>
          </w:cols>
          <w:pgMar w:left="1320" w:top="111" w:right="1359" w:bottom="0" w:gutter="0" w:footer="0" w:header="0"/>
        </w:sectPr>
      </w:pPr>
    </w:p>
    <w:bookmarkStart w:id="77" w:name="page78"/>
    <w:bookmarkEnd w:id="77"/>
    <w:tbl>
      <w:tblPr>
        <w:tblLayout w:type="fixed"/>
        <w:tblInd w:w="116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3"/>
        </w:trPr>
        <w:tc>
          <w:tcPr>
            <w:tcW w:w="5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50"/>
        </w:trPr>
        <w:tc>
          <w:tcPr>
            <w:tcW w:w="5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2024 v. 2023</w:t>
            </w:r>
          </w:p>
        </w:tc>
      </w:tr>
      <w:tr>
        <w:trPr>
          <w:trHeight w:val="250"/>
        </w:trPr>
        <w:tc>
          <w:tcPr>
            <w:tcW w:w="5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70"/>
        </w:trPr>
        <w:tc>
          <w:tcPr>
            <w:tcW w:w="5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Fee Related Earnings, March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r>
      <w:tr>
        <w:trPr>
          <w:trHeight w:val="270"/>
        </w:trPr>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Increases (decreases):</w:t>
            </w: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0"/>
        </w:trPr>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Decrease in fee revenues</w:t>
            </w: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70"/>
        </w:trPr>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Decrease in cash-based compensation and benefits</w:t>
            </w:r>
          </w:p>
        </w:tc>
        <w:tc>
          <w:tcPr>
            <w:tcW w:w="1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r>
      <w:tr>
        <w:trPr>
          <w:trHeight w:val="270"/>
        </w:trPr>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Decrease in general, administrative and other indirect expenses</w:t>
            </w: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70"/>
        </w:trPr>
        <w:tc>
          <w:tcPr>
            <w:tcW w:w="51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All other changes</w:t>
            </w: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50"/>
        </w:trPr>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increase</w:t>
            </w:r>
          </w:p>
        </w:tc>
        <w:tc>
          <w:tcPr>
            <w:tcW w:w="16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23"/>
        </w:trPr>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Fee Related Earnings, March 31,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161.1</w:t>
            </w: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425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16115" cy="425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61798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16115" cy="6179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8" w:lineRule="exact"/>
        <w:rPr>
          <w:sz w:val="20"/>
          <w:szCs w:val="20"/>
          <w:color w:val="auto"/>
        </w:rPr>
      </w:pPr>
    </w:p>
    <w:p>
      <w:pPr>
        <w:ind w:right="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Fee Revenues. </w:t>
      </w:r>
      <w:r>
        <w:rPr>
          <w:rFonts w:ascii="Times New Roman" w:cs="Times New Roman" w:eastAsia="Times New Roman" w:hAnsi="Times New Roman"/>
          <w:sz w:val="18"/>
          <w:szCs w:val="18"/>
          <w:color w:val="auto"/>
        </w:rPr>
        <w:t>Total fee revenues decreased $26.5 million for the three months ended March 31, 2024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2023, due to the following:</w:t>
      </w:r>
    </w:p>
    <w:p>
      <w:pPr>
        <w:spacing w:after="0" w:line="197" w:lineRule="exact"/>
        <w:rPr>
          <w:sz w:val="20"/>
          <w:szCs w:val="20"/>
          <w:color w:val="auto"/>
        </w:rPr>
      </w:pPr>
    </w:p>
    <w:tbl>
      <w:tblPr>
        <w:tblLayout w:type="fixed"/>
        <w:tblInd w:w="118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3"/>
        </w:trPr>
        <w:tc>
          <w:tcPr>
            <w:tcW w:w="5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50"/>
        </w:trPr>
        <w:tc>
          <w:tcPr>
            <w:tcW w:w="5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2024 v. 2023</w:t>
            </w:r>
          </w:p>
        </w:tc>
      </w:tr>
      <w:tr>
        <w:trPr>
          <w:trHeight w:val="250"/>
        </w:trPr>
        <w:tc>
          <w:tcPr>
            <w:tcW w:w="5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70"/>
        </w:trPr>
        <w:tc>
          <w:tcPr>
            <w:tcW w:w="5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Lower fund management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70"/>
        </w:trPr>
        <w:tc>
          <w:tcPr>
            <w:tcW w:w="5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Higher portfolio advisory and transaction fees, net and other</w:t>
            </w:r>
          </w:p>
        </w:tc>
        <w:tc>
          <w:tcPr>
            <w:tcW w:w="14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70"/>
        </w:trPr>
        <w:tc>
          <w:tcPr>
            <w:tcW w:w="5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Lower fee related performance revenues</w:t>
            </w:r>
          </w:p>
        </w:tc>
        <w:tc>
          <w:tcPr>
            <w:tcW w:w="14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23"/>
        </w:trPr>
        <w:tc>
          <w:tcPr>
            <w:tcW w:w="5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decrease in fee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0"/>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The decrease in fund management fees for the three months ended March 31, 2024 as compared to the three months ended March 31, 2023 was primarily due to step-downs in CP VII and CGIOF, and the impact of investment realizations in funds on which management fees are based on invested capital.</w:t>
      </w:r>
    </w:p>
    <w:p>
      <w:pPr>
        <w:spacing w:after="0" w:line="176" w:lineRule="exact"/>
        <w:rPr>
          <w:sz w:val="20"/>
          <w:szCs w:val="20"/>
          <w:color w:val="auto"/>
        </w:rPr>
      </w:pPr>
    </w:p>
    <w:p>
      <w:pPr>
        <w:ind w:right="240" w:firstLine="445"/>
        <w:spacing w:after="0" w:line="312" w:lineRule="auto"/>
        <w:rPr>
          <w:sz w:val="20"/>
          <w:szCs w:val="20"/>
          <w:color w:val="auto"/>
        </w:rPr>
      </w:pPr>
      <w:r>
        <w:rPr>
          <w:rFonts w:ascii="Times New Roman" w:cs="Times New Roman" w:eastAsia="Times New Roman" w:hAnsi="Times New Roman"/>
          <w:sz w:val="17"/>
          <w:szCs w:val="17"/>
          <w:color w:val="auto"/>
        </w:rPr>
        <w:t>The decrease in fee related performance revenues for the three months ended March 31, 2024 as compared to the three months ended March 31, 2023 was due to CPI, which will fluctuate from quarter to quarter based on fund performance.</w:t>
      </w:r>
    </w:p>
    <w:p>
      <w:pPr>
        <w:spacing w:after="0" w:line="13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Cash-based compensation and benefits expense</w:t>
      </w:r>
      <w:r>
        <w:rPr>
          <w:rFonts w:ascii="Times New Roman" w:cs="Times New Roman" w:eastAsia="Times New Roman" w:hAnsi="Times New Roman"/>
          <w:sz w:val="18"/>
          <w:szCs w:val="18"/>
          <w:color w:val="auto"/>
        </w:rPr>
        <w:t>. Cash-based compensation and benefits expense decreased $39.4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March 31, 2024 as compared to the three months ended March 31, 2023, primarily due to a decrease in cash bonuses as a result of the updates to our compensation program effective as of December 31, 2023, as well as a decrease in headcount.</w:t>
      </w:r>
    </w:p>
    <w:p>
      <w:pPr>
        <w:spacing w:after="0" w:line="180"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General, administrative and other indirect expenses</w:t>
      </w:r>
      <w:r>
        <w:rPr>
          <w:rFonts w:ascii="Times New Roman" w:cs="Times New Roman" w:eastAsia="Times New Roman" w:hAnsi="Times New Roman"/>
          <w:sz w:val="18"/>
          <w:szCs w:val="18"/>
          <w:color w:val="auto"/>
        </w:rPr>
        <w:t>. General, administrative and other indirect expenses decreased $18.5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2024 as compared to the three months ended March 31, 2023, primarily due to the benefit of lower VAT expense in Asia during the three months ended March 31, 2024 as well as lower professional fees. We expect general, administrative and other indirect expenses to increase in subsequent quarters.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Fee-earning AUM</w:t>
      </w:r>
    </w:p>
    <w:p>
      <w:pPr>
        <w:spacing w:after="0" w:line="229"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Fee-earning AUM is presented below for each period together with the components of change during each respective period.</w:t>
      </w:r>
    </w:p>
    <w:p>
      <w:pPr>
        <w:spacing w:after="0" w:line="110"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720" w:type="dxa"/>
            <w:vAlign w:val="bottom"/>
          </w:tcPr>
          <w:p>
            <w:pPr>
              <w:spacing w:after="0"/>
              <w:rPr>
                <w:sz w:val="18"/>
                <w:szCs w:val="18"/>
                <w:color w:val="auto"/>
              </w:rPr>
            </w:pPr>
          </w:p>
        </w:tc>
      </w:tr>
      <w:tr>
        <w:trPr>
          <w:trHeight w:val="229"/>
        </w:trPr>
        <w:tc>
          <w:tcPr>
            <w:tcW w:w="48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Pr>
          <w:p>
            <w:pPr>
              <w:spacing w:after="0"/>
              <w:rPr>
                <w:sz w:val="19"/>
                <w:szCs w:val="19"/>
                <w:color w:val="auto"/>
              </w:rPr>
            </w:pPr>
          </w:p>
        </w:tc>
        <w:tc>
          <w:tcPr>
            <w:tcW w:w="7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7"/>
        </w:trPr>
        <w:tc>
          <w:tcPr>
            <w:tcW w:w="4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Global Private Equity</w:t>
            </w:r>
          </w:p>
        </w:tc>
        <w:tc>
          <w:tcPr>
            <w:tcW w:w="1640" w:type="dxa"/>
            <w:vAlign w:val="bottom"/>
          </w:tcPr>
          <w:p>
            <w:pPr>
              <w:spacing w:after="0"/>
              <w:rPr>
                <w:sz w:val="22"/>
                <w:szCs w:val="22"/>
                <w:color w:val="auto"/>
              </w:rPr>
            </w:pPr>
          </w:p>
        </w:tc>
        <w:tc>
          <w:tcPr>
            <w:tcW w:w="246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314"/>
        </w:trPr>
        <w:tc>
          <w:tcPr>
            <w:tcW w:w="4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Components of Fee-earning AUM</w:t>
            </w:r>
            <w:r>
              <w:rPr>
                <w:rFonts w:ascii="Times New Roman" w:cs="Times New Roman" w:eastAsia="Times New Roman" w:hAnsi="Times New Roman"/>
                <w:sz w:val="21"/>
                <w:szCs w:val="21"/>
                <w:b w:val="1"/>
                <w:bCs w:val="1"/>
                <w:color w:val="auto"/>
                <w:vertAlign w:val="superscript"/>
              </w:rPr>
              <w:t>(1)</w:t>
            </w: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3"/>
        </w:trPr>
        <w:tc>
          <w:tcPr>
            <w:tcW w:w="4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Fee-earning AUM based on capital commitments</w:t>
            </w:r>
          </w:p>
        </w:tc>
        <w:tc>
          <w:tcPr>
            <w:tcW w:w="16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51,370</w:t>
            </w:r>
          </w:p>
        </w:tc>
        <w:tc>
          <w:tcPr>
            <w:tcW w:w="6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55,763</w:t>
            </w:r>
          </w:p>
        </w:tc>
      </w:tr>
    </w:tbl>
    <w:p>
      <w:pPr>
        <w:sectPr>
          <w:pgSz w:w="11900" w:h="16838" w:orient="portrait"/>
          <w:cols w:equalWidth="0" w:num="1">
            <w:col w:w="9220"/>
          </w:cols>
          <w:pgMar w:left="1320" w:top="198" w:right="1359" w:bottom="0" w:gutter="0" w:footer="0" w:header="0"/>
        </w:sectPr>
      </w:pPr>
    </w:p>
    <w:bookmarkStart w:id="78" w:name="page79"/>
    <w:bookmarkEnd w:id="7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6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Fee-earning AUM based on invested capital</w:t>
            </w:r>
          </w:p>
        </w:tc>
        <w:tc>
          <w:tcPr>
            <w:tcW w:w="44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42,627</w:t>
            </w:r>
          </w:p>
        </w:tc>
        <w:tc>
          <w:tcPr>
            <w:tcW w:w="46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42,004</w:t>
            </w:r>
          </w:p>
        </w:tc>
        <w:tc>
          <w:tcPr>
            <w:tcW w:w="0" w:type="dxa"/>
            <w:vAlign w:val="bottom"/>
          </w:tcPr>
          <w:p>
            <w:pPr>
              <w:spacing w:after="0"/>
              <w:rPr>
                <w:sz w:val="1"/>
                <w:szCs w:val="1"/>
                <w:color w:val="auto"/>
              </w:rPr>
            </w:pPr>
          </w:p>
        </w:tc>
      </w:tr>
      <w:tr>
        <w:trPr>
          <w:trHeight w:val="47"/>
        </w:trPr>
        <w:tc>
          <w:tcPr>
            <w:tcW w:w="620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Fee-earning AUM based on net asset value</w:t>
            </w:r>
          </w:p>
        </w:tc>
        <w:tc>
          <w:tcPr>
            <w:tcW w:w="4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6200" w:type="dxa"/>
            <w:vAlign w:val="bottom"/>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7,110</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6,324</w:t>
            </w:r>
          </w:p>
        </w:tc>
        <w:tc>
          <w:tcPr>
            <w:tcW w:w="0" w:type="dxa"/>
            <w:vAlign w:val="bottom"/>
          </w:tcPr>
          <w:p>
            <w:pPr>
              <w:spacing w:after="0"/>
              <w:rPr>
                <w:sz w:val="1"/>
                <w:szCs w:val="1"/>
                <w:color w:val="auto"/>
              </w:rPr>
            </w:pPr>
          </w:p>
        </w:tc>
      </w:tr>
      <w:tr>
        <w:trPr>
          <w:trHeight w:val="236"/>
        </w:trPr>
        <w:tc>
          <w:tcPr>
            <w:tcW w:w="6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Fee-earning AUM based on lower of cost or fair value</w:t>
            </w:r>
          </w:p>
        </w:tc>
        <w:tc>
          <w:tcPr>
            <w:tcW w:w="44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2,917</w:t>
            </w:r>
          </w:p>
        </w:tc>
        <w:tc>
          <w:tcPr>
            <w:tcW w:w="46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3,706</w:t>
            </w:r>
          </w:p>
        </w:tc>
        <w:tc>
          <w:tcPr>
            <w:tcW w:w="0" w:type="dxa"/>
            <w:vAlign w:val="bottom"/>
          </w:tcPr>
          <w:p>
            <w:pPr>
              <w:spacing w:after="0"/>
              <w:rPr>
                <w:sz w:val="1"/>
                <w:szCs w:val="1"/>
                <w:color w:val="auto"/>
              </w:rPr>
            </w:pPr>
          </w:p>
        </w:tc>
      </w:tr>
      <w:tr>
        <w:trPr>
          <w:trHeight w:val="259"/>
        </w:trPr>
        <w:tc>
          <w:tcPr>
            <w:tcW w:w="6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Fee-earning AUM</w:t>
            </w: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104,024</w:t>
            </w:r>
          </w:p>
        </w:tc>
        <w:tc>
          <w:tcPr>
            <w:tcW w:w="4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107,797</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Annualized Management Fee Rate</w:t>
            </w:r>
            <w:r>
              <w:rPr>
                <w:rFonts w:ascii="Times New Roman" w:cs="Times New Roman" w:eastAsia="Times New Roman" w:hAnsi="Times New Roman"/>
                <w:sz w:val="21"/>
                <w:szCs w:val="21"/>
                <w:color w:val="auto"/>
                <w:vertAlign w:val="superscript"/>
              </w:rPr>
              <w:t>(2)</w:t>
            </w:r>
          </w:p>
        </w:tc>
        <w:tc>
          <w:tcPr>
            <w:tcW w:w="4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-959485</wp:posOffset>
            </wp:positionV>
            <wp:extent cx="7016115" cy="28822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16115" cy="2882265"/>
                    </a:xfrm>
                    <a:prstGeom prst="rect">
                      <a:avLst/>
                    </a:prstGeom>
                    <a:noFill/>
                  </pic:spPr>
                </pic:pic>
              </a:graphicData>
            </a:graphic>
          </wp:anchor>
        </w:drawing>
      </w:r>
    </w:p>
    <w:p>
      <w:pPr>
        <w:spacing w:after="0" w:line="128" w:lineRule="exact"/>
        <w:rPr>
          <w:sz w:val="20"/>
          <w:szCs w:val="20"/>
          <w:color w:val="auto"/>
        </w:rPr>
      </w:pPr>
    </w:p>
    <w:p>
      <w:pPr>
        <w:ind w:left="420" w:hanging="413"/>
        <w:spacing w:after="0"/>
        <w:tabs>
          <w:tab w:leader="none" w:pos="4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additional information concerning the components of Fee-earning AUM, see “—Key Financial Measures—Operating Metrics.”</w:t>
      </w:r>
    </w:p>
    <w:p>
      <w:pPr>
        <w:spacing w:after="0" w:line="126" w:lineRule="exact"/>
        <w:rPr>
          <w:rFonts w:ascii="Times New Roman" w:cs="Times New Roman" w:eastAsia="Times New Roman" w:hAnsi="Times New Roman"/>
          <w:sz w:val="16"/>
          <w:szCs w:val="16"/>
          <w:color w:val="auto"/>
        </w:rPr>
      </w:pPr>
    </w:p>
    <w:p>
      <w:pPr>
        <w:ind w:left="420" w:right="20" w:hanging="413"/>
        <w:spacing w:after="0" w:line="280" w:lineRule="auto"/>
        <w:tabs>
          <w:tab w:leader="none" w:pos="4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Represents annualized fund management fees divided by the average of the beginning of </w:t>
      </w:r>
      <w:r>
        <w:rPr>
          <w:rFonts w:ascii="Times New Roman" w:cs="Times New Roman" w:eastAsia="Times New Roman" w:hAnsi="Times New Roman"/>
          <w:sz w:val="16"/>
          <w:szCs w:val="16"/>
          <w:color w:val="auto"/>
          <w:strike w:val="1"/>
        </w:rPr>
        <w:t>year and each quarter e</w:t>
      </w:r>
      <w:r>
        <w:rPr>
          <w:rFonts w:ascii="Times New Roman" w:cs="Times New Roman" w:eastAsia="Times New Roman" w:hAnsi="Times New Roman"/>
          <w:sz w:val="16"/>
          <w:szCs w:val="16"/>
          <w:color w:val="auto"/>
        </w:rPr>
        <w:t>n</w:t>
      </w:r>
      <w:r>
        <w:rPr>
          <w:rFonts w:ascii="Times New Roman" w:cs="Times New Roman" w:eastAsia="Times New Roman" w:hAnsi="Times New Roman"/>
          <w:sz w:val="16"/>
          <w:szCs w:val="16"/>
          <w:color w:val="auto"/>
          <w:strike w:val="1"/>
        </w:rPr>
        <w:t>d’s Fee-earning AUM</w:t>
      </w:r>
      <w:r>
        <w:rPr>
          <w:rFonts w:ascii="Times New Roman" w:cs="Times New Roman" w:eastAsia="Times New Roman" w:hAnsi="Times New Roman"/>
          <w:sz w:val="16"/>
          <w:szCs w:val="16"/>
          <w:color w:val="auto"/>
        </w:rPr>
        <w:t xml:space="preserve"> in the reporting period. Catch-up management fees were excluded in the calculation of th</w:t>
      </w:r>
      <w:r>
        <w:rPr>
          <w:rFonts w:ascii="Times New Roman" w:cs="Times New Roman" w:eastAsia="Times New Roman" w:hAnsi="Times New Roman"/>
          <w:sz w:val="16"/>
          <w:szCs w:val="16"/>
          <w:u w:val="single" w:color="auto"/>
          <w:color w:val="auto"/>
        </w:rPr>
        <w:t>e annualized fund man</w:t>
      </w:r>
      <w:r>
        <w:rPr>
          <w:rFonts w:ascii="Times New Roman" w:cs="Times New Roman" w:eastAsia="Times New Roman" w:hAnsi="Times New Roman"/>
          <w:sz w:val="16"/>
          <w:szCs w:val="16"/>
          <w:color w:val="auto"/>
        </w:rPr>
        <w:t>agement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75514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16115" cy="755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provides the period to period rollforward of Fee-earning AUM.</w:t>
      </w:r>
    </w:p>
    <w:p>
      <w:pPr>
        <w:spacing w:after="0" w:line="320" w:lineRule="exact"/>
        <w:rPr>
          <w:sz w:val="20"/>
          <w:szCs w:val="20"/>
          <w:color w:val="auto"/>
        </w:rPr>
      </w:pPr>
    </w:p>
    <w:p>
      <w:pPr>
        <w:jc w:val="center"/>
        <w:ind w:left="39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39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 w:lineRule="exact"/>
        <w:rPr>
          <w:sz w:val="20"/>
          <w:szCs w:val="20"/>
          <w:color w:val="auto"/>
        </w:rPr>
      </w:pPr>
    </w:p>
    <w:tbl>
      <w:tblPr>
        <w:tblLayout w:type="fixed"/>
        <w:tblInd w:w="134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39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Global Private Equity</w:t>
            </w:r>
          </w:p>
        </w:tc>
        <w:tc>
          <w:tcPr>
            <w:tcW w:w="300" w:type="dxa"/>
            <w:vAlign w:val="bottom"/>
          </w:tcPr>
          <w:p>
            <w:pPr>
              <w:spacing w:after="0"/>
              <w:rPr>
                <w:sz w:val="18"/>
                <w:szCs w:val="18"/>
                <w:color w:val="auto"/>
              </w:rPr>
            </w:pPr>
          </w:p>
        </w:tc>
        <w:tc>
          <w:tcPr>
            <w:tcW w:w="228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30"/>
        </w:trPr>
        <w:tc>
          <w:tcPr>
            <w:tcW w:w="3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Fee-earning AUM Rollforward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6"/>
        </w:trPr>
        <w:tc>
          <w:tcPr>
            <w:tcW w:w="3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106,651</w:t>
            </w:r>
          </w:p>
        </w:tc>
        <w:tc>
          <w:tcPr>
            <w:tcW w:w="60" w:type="dxa"/>
            <w:vAlign w:val="bottom"/>
          </w:tcPr>
          <w:p>
            <w:pPr>
              <w:spacing w:after="0"/>
              <w:rPr>
                <w:sz w:val="22"/>
                <w:szCs w:val="22"/>
                <w:color w:val="auto"/>
              </w:rPr>
            </w:pP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107,801</w:t>
            </w:r>
          </w:p>
        </w:tc>
      </w:tr>
      <w:tr>
        <w:trPr>
          <w:trHeight w:val="257"/>
        </w:trPr>
        <w:tc>
          <w:tcPr>
            <w:tcW w:w="3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Inflows</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r>
      <w:tr>
        <w:trPr>
          <w:trHeight w:val="256"/>
        </w:trPr>
        <w:tc>
          <w:tcPr>
            <w:tcW w:w="3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Outflows (including realizations)</w:t>
            </w:r>
            <w:r>
              <w:rPr>
                <w:rFonts w:ascii="Times New Roman" w:cs="Times New Roman" w:eastAsia="Times New Roman" w:hAnsi="Times New Roman"/>
                <w:sz w:val="21"/>
                <w:szCs w:val="21"/>
                <w:color w:val="auto"/>
                <w:vertAlign w:val="superscript"/>
              </w:rPr>
              <w:t>(2)</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r>
      <w:tr>
        <w:trPr>
          <w:trHeight w:val="257"/>
        </w:trPr>
        <w:tc>
          <w:tcPr>
            <w:tcW w:w="39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Market Activity &amp; Other</w:t>
            </w:r>
            <w:r>
              <w:rPr>
                <w:rFonts w:ascii="Times New Roman" w:cs="Times New Roman" w:eastAsia="Times New Roman" w:hAnsi="Times New Roman"/>
                <w:sz w:val="21"/>
                <w:szCs w:val="21"/>
                <w:color w:val="auto"/>
                <w:vertAlign w:val="superscript"/>
              </w:rPr>
              <w:t>(3)</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56"/>
        </w:trPr>
        <w:tc>
          <w:tcPr>
            <w:tcW w:w="39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Foreign Exchange</w:t>
            </w:r>
            <w:r>
              <w:rPr>
                <w:rFonts w:ascii="Times New Roman" w:cs="Times New Roman" w:eastAsia="Times New Roman" w:hAnsi="Times New Roman"/>
                <w:sz w:val="21"/>
                <w:szCs w:val="21"/>
                <w:color w:val="auto"/>
                <w:vertAlign w:val="superscript"/>
              </w:rPr>
              <w:t>(4)</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08"/>
        </w:trPr>
        <w:tc>
          <w:tcPr>
            <w:tcW w:w="3980" w:type="dxa"/>
            <w:vAlign w:val="bottom"/>
            <w:tcBorders>
              <w:bottom w:val="single" w:sz="8" w:color="CCEEFF"/>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b w:val="1"/>
                <w:bCs w:val="1"/>
                <w:color w:val="auto"/>
              </w:rPr>
              <w:t>Balance, End of Period</w:t>
            </w:r>
          </w:p>
        </w:tc>
        <w:tc>
          <w:tcPr>
            <w:tcW w:w="30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104,024</w:t>
            </w: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107,797</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right="60" w:hanging="413"/>
        <w:spacing w:after="0" w:line="263" w:lineRule="auto"/>
        <w:tabs>
          <w:tab w:leader="none" w:pos="4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Inflows represents limited partner capital raised by our carry funds or separately managed accounts for which management fees based on commitments were activated during the period, and the fee-earning commitments invested in vehicles for which management fees are based on invested capital. Inflows exclude fundraising amounts during the period for which fees have not yet been activated, which are referenced as Pending Fee-earning AUM.</w:t>
      </w:r>
    </w:p>
    <w:p>
      <w:pPr>
        <w:spacing w:after="0" w:line="17" w:lineRule="exact"/>
        <w:rPr>
          <w:rFonts w:ascii="Times New Roman" w:cs="Times New Roman" w:eastAsia="Times New Roman" w:hAnsi="Times New Roman"/>
          <w:sz w:val="16"/>
          <w:szCs w:val="16"/>
          <w:color w:val="auto"/>
        </w:rPr>
      </w:pPr>
    </w:p>
    <w:p>
      <w:pPr>
        <w:ind w:left="420" w:right="100" w:hanging="413"/>
        <w:spacing w:after="0" w:line="263" w:lineRule="auto"/>
        <w:tabs>
          <w:tab w:leader="none" w:pos="4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Outflows represents the impact of realizations from vehicles with management fees based on remaining invested capital at cost or fair value, changes in basis for funds where the investment period, weighted-average investment period or commitment fee period has expired during the period, and reductions for funds that are no longer calling for fees. Realizations for funds earning management fees based on commitments during the period do not affect Fee-earning AUM.</w:t>
      </w:r>
    </w:p>
    <w:p>
      <w:pPr>
        <w:spacing w:after="0" w:line="30" w:lineRule="exact"/>
        <w:rPr>
          <w:rFonts w:ascii="Times New Roman" w:cs="Times New Roman" w:eastAsia="Times New Roman" w:hAnsi="Times New Roman"/>
          <w:sz w:val="16"/>
          <w:szCs w:val="16"/>
          <w:color w:val="auto"/>
        </w:rPr>
      </w:pPr>
    </w:p>
    <w:p>
      <w:pPr>
        <w:ind w:left="420" w:right="360" w:hanging="413"/>
        <w:spacing w:after="0" w:line="280" w:lineRule="auto"/>
        <w:tabs>
          <w:tab w:leader="none" w:pos="4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Activity &amp; Other represents realized and unrealized gains (losses) on portfolio investments in our carry funds based on the lower of cost or fair value.</w:t>
      </w:r>
    </w:p>
    <w:p>
      <w:pPr>
        <w:spacing w:after="0" w:line="16" w:lineRule="exact"/>
        <w:rPr>
          <w:rFonts w:ascii="Times New Roman" w:cs="Times New Roman" w:eastAsia="Times New Roman" w:hAnsi="Times New Roman"/>
          <w:sz w:val="16"/>
          <w:szCs w:val="16"/>
          <w:color w:val="auto"/>
        </w:rPr>
      </w:pPr>
    </w:p>
    <w:p>
      <w:pPr>
        <w:ind w:left="420" w:right="80" w:hanging="413"/>
        <w:spacing w:after="0" w:line="263" w:lineRule="auto"/>
        <w:tabs>
          <w:tab w:leader="none" w:pos="4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87"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Fee-earning AUM of $104.0 billion at March 31, 2024 decreased 3% from $106.7 billion at December 31, 2023, as outflows of $2.6 billion, primarily in the NGP Energy, U.S. Buyout, and U.S. Real Estate funds, more than offset $0.7 billion of inflows from investments in CPI and additional fee-paying capital raised in CRSEF II. Investment and distribution activity has no impact for funds still in the original investment period where Fee-earning AUM is based on commitments.</w:t>
      </w:r>
    </w:p>
    <w:p>
      <w:pPr>
        <w:spacing w:after="0" w:line="180"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Fee-earning AUM of $104.0 billion at March 31, 2024 decreased 4% from $107.8 billion at March 31, 2023, as outflows of $8.9 billion driven by realizations in funds that charge fees on invested capital outpaced $6.1 billion of inflows primarily from investments in CPI, the activation of fees in NGP XIII, and additional fee-paying capital raised in CRSEF II. The segment annualized management fee rate decreased to 1.15% at March 31, 2024 from 1.19% at March 31, 2023, reflecting the impact of fee stepdowns.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AUM</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provides the period to period rollforward of Total AUM.</w:t>
      </w:r>
    </w:p>
    <w:p>
      <w:pPr>
        <w:spacing w:after="0" w:line="172"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5520"/>
        <w:spacing w:after="0"/>
        <w:rPr>
          <w:sz w:val="20"/>
          <w:szCs w:val="20"/>
          <w:color w:val="auto"/>
        </w:rPr>
      </w:pPr>
      <w:r>
        <w:rPr>
          <w:rFonts w:ascii="Times New Roman" w:cs="Times New Roman" w:eastAsia="Times New Roman" w:hAnsi="Times New Roman"/>
          <w:sz w:val="16"/>
          <w:szCs w:val="16"/>
          <w:b w:val="1"/>
          <w:bCs w:val="1"/>
          <w:color w:val="auto"/>
        </w:rPr>
        <w:t>March 31, 2024</w:t>
      </w:r>
    </w:p>
    <w:p>
      <w:pPr>
        <w:spacing w:after="0" w:line="6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6"/>
          <w:szCs w:val="16"/>
          <w:b w:val="1"/>
          <w:bCs w:val="1"/>
          <w:color w:val="auto"/>
        </w:rPr>
        <w:t>(Dollars in millions)</w:t>
      </w:r>
    </w:p>
    <w:p>
      <w:pPr>
        <w:spacing w:after="0" w:line="8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color w:val="auto"/>
        </w:rPr>
        <w:t>Global Private Equity</w:t>
      </w:r>
    </w:p>
    <w:p>
      <w:pPr>
        <w:spacing w:after="0" w:line="8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Total AUM Rollforward</w:t>
      </w:r>
    </w:p>
    <w:p>
      <w:pPr>
        <w:sectPr>
          <w:pgSz w:w="11900" w:h="16838" w:orient="portrait"/>
          <w:cols w:equalWidth="0" w:num="1">
            <w:col w:w="9220"/>
          </w:cols>
          <w:pgMar w:left="1320" w:top="111" w:right="1359" w:bottom="0" w:gutter="0" w:footer="0" w:header="0"/>
        </w:sectPr>
      </w:pPr>
    </w:p>
    <w:p>
      <w:pPr>
        <w:spacing w:after="0" w:line="8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color w:val="auto"/>
        </w:rPr>
        <w:t>Balance, Beginning of Period</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161,308</w:t>
      </w:r>
    </w:p>
    <w:p>
      <w:pPr>
        <w:spacing w:after="0" w:line="75" w:lineRule="exact"/>
        <w:rPr>
          <w:sz w:val="20"/>
          <w:szCs w:val="20"/>
          <w:color w:val="auto"/>
        </w:rPr>
      </w:pPr>
    </w:p>
    <w:p>
      <w:pPr>
        <w:sectPr>
          <w:pgSz w:w="11900" w:h="16838" w:orient="portrait"/>
          <w:cols w:equalWidth="0" w:num="3">
            <w:col w:w="5820" w:space="720"/>
            <w:col w:w="440" w:space="720"/>
            <w:col w:w="1520"/>
          </w:cols>
          <w:pgMar w:left="1320" w:top="111" w:right="1359" w:bottom="0" w:gutter="0" w:footer="0" w:header="0"/>
          <w:type w:val="continuous"/>
        </w:sectPr>
      </w:pPr>
    </w:p>
    <w:p>
      <w:pPr>
        <w:ind w:left="1640"/>
        <w:spacing w:after="0"/>
        <w:rPr>
          <w:sz w:val="20"/>
          <w:szCs w:val="20"/>
          <w:color w:val="auto"/>
        </w:rPr>
      </w:pPr>
      <w:r>
        <w:rPr>
          <w:rFonts w:ascii="Times New Roman" w:cs="Times New Roman" w:eastAsia="Times New Roman" w:hAnsi="Times New Roman"/>
          <w:sz w:val="16"/>
          <w:szCs w:val="16"/>
          <w:color w:val="auto"/>
        </w:rPr>
        <w:t>Inflows</w:t>
      </w:r>
      <w:r>
        <w:rPr>
          <w:rFonts w:ascii="Times New Roman" w:cs="Times New Roman" w:eastAsia="Times New Roman" w:hAnsi="Times New Roman"/>
          <w:sz w:val="10"/>
          <w:szCs w:val="10"/>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1,506</w:t>
      </w:r>
    </w:p>
    <w:p>
      <w:pPr>
        <w:sectPr>
          <w:pgSz w:w="11900" w:h="16838" w:orient="portrait"/>
          <w:cols w:equalWidth="0" w:num="2">
            <w:col w:w="7140" w:space="720"/>
            <w:col w:w="1360"/>
          </w:cols>
          <w:pgMar w:left="1320" w:top="111" w:right="1359" w:bottom="0" w:gutter="0" w:footer="0" w:header="0"/>
          <w:type w:val="continuous"/>
        </w:sectPr>
      </w:pPr>
    </w:p>
    <w:bookmarkStart w:id="79" w:name="page80"/>
    <w:bookmarkEnd w:id="79"/>
    <w:tbl>
      <w:tblPr>
        <w:tblLayout w:type="fixed"/>
        <w:tblInd w:w="960" w:type="dxa"/>
        <w:tblCellMar>
          <w:top w:w="0" w:type="dxa"/>
          <w:left w:w="0" w:type="dxa"/>
          <w:bottom w:w="0" w:type="dxa"/>
          <w:right w:w="0" w:type="dxa"/>
        </w:tblCellMar>
      </w:tblPr>
      <w:tr>
        <w:trPr>
          <w:trHeight w:val="211"/>
        </w:trPr>
        <w:tc>
          <w:tcPr>
            <w:tcW w:w="5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Outflows (including realizations)</w:t>
            </w:r>
            <w:r>
              <w:rPr>
                <w:rFonts w:ascii="Times New Roman" w:cs="Times New Roman" w:eastAsia="Times New Roman" w:hAnsi="Times New Roman"/>
                <w:sz w:val="10"/>
                <w:szCs w:val="10"/>
                <w:color w:val="auto"/>
              </w:rPr>
              <w:t>(2)</w:t>
            </w: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w:t>
            </w:r>
          </w:p>
        </w:tc>
      </w:tr>
      <w:tr>
        <w:trPr>
          <w:trHeight w:val="208"/>
        </w:trPr>
        <w:tc>
          <w:tcPr>
            <w:tcW w:w="5540" w:type="dxa"/>
            <w:vAlign w:val="bottom"/>
          </w:tcPr>
          <w:p>
            <w:pPr>
              <w:ind w:left="680"/>
              <w:spacing w:after="0" w:line="202" w:lineRule="exact"/>
              <w:rPr>
                <w:sz w:val="20"/>
                <w:szCs w:val="20"/>
                <w:color w:val="auto"/>
              </w:rPr>
            </w:pPr>
            <w:r>
              <w:rPr>
                <w:rFonts w:ascii="Times New Roman" w:cs="Times New Roman" w:eastAsia="Times New Roman" w:hAnsi="Times New Roman"/>
                <w:sz w:val="16"/>
                <w:szCs w:val="16"/>
                <w:color w:val="auto"/>
              </w:rPr>
              <w:t>Market Activity &amp; Other</w:t>
            </w:r>
            <w:r>
              <w:rPr>
                <w:rFonts w:ascii="Times New Roman" w:cs="Times New Roman" w:eastAsia="Times New Roman" w:hAnsi="Times New Roman"/>
                <w:sz w:val="21"/>
                <w:szCs w:val="21"/>
                <w:color w:val="auto"/>
                <w:vertAlign w:val="superscript"/>
              </w:rPr>
              <w:t>(3)</w:t>
            </w: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250"/>
        </w:trPr>
        <w:tc>
          <w:tcPr>
            <w:tcW w:w="5540" w:type="dxa"/>
            <w:vAlign w:val="bottom"/>
          </w:tcPr>
          <w:p>
            <w:pPr>
              <w:ind w:left="680"/>
              <w:spacing w:after="0" w:line="237" w:lineRule="exact"/>
              <w:rPr>
                <w:sz w:val="20"/>
                <w:szCs w:val="20"/>
                <w:color w:val="auto"/>
              </w:rPr>
            </w:pPr>
            <w:r>
              <w:rPr>
                <w:rFonts w:ascii="Times New Roman" w:cs="Times New Roman" w:eastAsia="Times New Roman" w:hAnsi="Times New Roman"/>
                <w:sz w:val="16"/>
                <w:szCs w:val="16"/>
                <w:color w:val="auto"/>
              </w:rPr>
              <w:t>Foreign Exchange</w:t>
            </w:r>
            <w:r>
              <w:rPr>
                <w:rFonts w:ascii="Times New Roman" w:cs="Times New Roman" w:eastAsia="Times New Roman" w:hAnsi="Times New Roman"/>
                <w:sz w:val="21"/>
                <w:szCs w:val="21"/>
                <w:color w:val="auto"/>
                <w:vertAlign w:val="superscript"/>
              </w:rPr>
              <w:t>(4)</w:t>
            </w:r>
          </w:p>
        </w:tc>
        <w:tc>
          <w:tcPr>
            <w:tcW w:w="6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r>
      <w:tr>
        <w:trPr>
          <w:trHeight w:val="270"/>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66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159,190</w:t>
            </w:r>
          </w:p>
        </w:tc>
      </w:tr>
      <w:tr>
        <w:trPr>
          <w:trHeight w:val="270"/>
        </w:trPr>
        <w:tc>
          <w:tcPr>
            <w:tcW w:w="55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55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-933450</wp:posOffset>
            </wp:positionV>
            <wp:extent cx="7016115" cy="15106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16115" cy="151066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89230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16115" cy="892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4" w:lineRule="exact"/>
        <w:rPr>
          <w:sz w:val="20"/>
          <w:szCs w:val="20"/>
          <w:color w:val="auto"/>
        </w:rPr>
      </w:pPr>
    </w:p>
    <w:p>
      <w:pPr>
        <w:ind w:left="420" w:hanging="413"/>
        <w:spacing w:after="0" w:line="272" w:lineRule="auto"/>
        <w:tabs>
          <w:tab w:leader="none" w:pos="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Inflows reflects the impact of gross fundraising during the period. For funds or vehicles denominated in foreign currencies, this reflects translation at the average quarterly rate, while the separately reported Fundraising metric is translated at the spot rate for each individual closing.</w:t>
      </w:r>
    </w:p>
    <w:p>
      <w:pPr>
        <w:spacing w:after="0" w:line="8" w:lineRule="exact"/>
        <w:rPr>
          <w:rFonts w:ascii="Times New Roman" w:cs="Times New Roman" w:eastAsia="Times New Roman" w:hAnsi="Times New Roman"/>
          <w:sz w:val="16"/>
          <w:szCs w:val="16"/>
          <w:color w:val="auto"/>
        </w:rPr>
      </w:pPr>
    </w:p>
    <w:p>
      <w:pPr>
        <w:ind w:left="420" w:right="680" w:hanging="413"/>
        <w:spacing w:after="0" w:line="290" w:lineRule="auto"/>
        <w:tabs>
          <w:tab w:leader="none" w:pos="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Outflows includes distributions net of recallable or recyclable amounts in our carry funds, related co-investment vehicles, and separately managed accounts, gross redemptions in our open-ended funds, and the expiration of available capital.</w:t>
      </w:r>
    </w:p>
    <w:p>
      <w:pPr>
        <w:ind w:left="420" w:right="60" w:hanging="413"/>
        <w:spacing w:after="0" w:line="272" w:lineRule="auto"/>
        <w:tabs>
          <w:tab w:leader="none" w:pos="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Activity &amp; Other generally represents realized and unrealized gains (losses) on portfolio investments in our carry funds, related co-investment vehicles, and separately managed accounts, as well as the impact of fees, expenses and non-investment income, and other changes in AUM.</w:t>
      </w:r>
    </w:p>
    <w:p>
      <w:pPr>
        <w:spacing w:after="0" w:line="8" w:lineRule="exact"/>
        <w:rPr>
          <w:rFonts w:ascii="Times New Roman" w:cs="Times New Roman" w:eastAsia="Times New Roman" w:hAnsi="Times New Roman"/>
          <w:sz w:val="16"/>
          <w:szCs w:val="16"/>
          <w:color w:val="auto"/>
        </w:rPr>
      </w:pPr>
    </w:p>
    <w:p>
      <w:pPr>
        <w:ind w:left="420" w:right="100" w:hanging="413"/>
        <w:spacing w:after="0" w:line="272" w:lineRule="auto"/>
        <w:tabs>
          <w:tab w:leader="none" w:pos="4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66" w:lineRule="exact"/>
        <w:rPr>
          <w:sz w:val="20"/>
          <w:szCs w:val="20"/>
          <w:color w:val="auto"/>
        </w:rPr>
      </w:pPr>
    </w:p>
    <w:p>
      <w:pPr>
        <w:ind w:right="380" w:firstLine="445"/>
        <w:spacing w:after="0" w:line="281" w:lineRule="auto"/>
        <w:rPr>
          <w:sz w:val="20"/>
          <w:szCs w:val="20"/>
          <w:color w:val="auto"/>
        </w:rPr>
      </w:pPr>
      <w:r>
        <w:rPr>
          <w:rFonts w:ascii="Times New Roman" w:cs="Times New Roman" w:eastAsia="Times New Roman" w:hAnsi="Times New Roman"/>
          <w:sz w:val="17"/>
          <w:szCs w:val="17"/>
          <w:color w:val="auto"/>
        </w:rPr>
        <w:t>Total AUM was $159.2 billion at March 31, 2024, a decrease of 1% from $161.3 billion at December 31, 2023, as outflows of $3.2 billion, including realizations in the Asia Buyout, International Energy, and NGP Energy funds, outpaced inflows of $1.5 billion, including new capital raised in Japan Buyout, and market appreciation. Market appreciation of $0.5 billion during the three months ended March 31, 2024 comprised immaterial offsetting movements across the portfolio.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 Performance Metrics</w:t>
      </w:r>
    </w:p>
    <w:p>
      <w:pPr>
        <w:spacing w:after="0" w:line="229"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Fund performance information for our investment funds that generally have at least $1.0 billion in capital commitments, cumulative equity invested or total value as of March 31, 2024, which we refer to as our “significant funds,” is included throughout this discussion and analysis to facilitate an understanding of our results of operations for the periods presented. The fund return information reflected in this discussion and analysis is not indicative of the performance of The Carlyle Group Inc. and is also not necessarily indicative of the future performance of any particular fund. An investment in The Carlyle Group Inc. is not an investment in any of our funds. There can be no assurance that any of our funds or our other existing and future funds will achieve similar returns.</w:t>
      </w:r>
    </w:p>
    <w:p>
      <w:pPr>
        <w:spacing w:after="0" w:line="189"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reflect the performance of our significant funds in our Global Private Equity business. Please see “—Our Global Investment Offerings” for a legend of the fund acronyms listed below.</w:t>
      </w:r>
    </w:p>
    <w:p>
      <w:pPr>
        <w:sectPr>
          <w:pgSz w:w="11900" w:h="16838" w:orient="portrait"/>
          <w:cols w:equalWidth="0" w:num="1">
            <w:col w:w="9240"/>
          </w:cols>
          <w:pgMar w:left="1320" w:top="111" w:right="1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9240"/>
          </w:cols>
          <w:pgMar w:left="1320" w:top="111" w:right="1339"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2944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16115" cy="9294495"/>
                    </a:xfrm>
                    <a:prstGeom prst="rect">
                      <a:avLst/>
                    </a:prstGeom>
                    <a:noFill/>
                  </pic:spPr>
                </pic:pic>
              </a:graphicData>
            </a:graphic>
          </wp:anchor>
        </w:drawing>
        <w:t>Table of Contents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1"/>
                <w:szCs w:val="11"/>
                <w:i w:val="1"/>
                <w:iCs w:val="1"/>
                <w:color w:val="auto"/>
              </w:rPr>
              <w:t>(Amounts in millions)</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TOTAL INVESTMENTS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3"/>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7"/>
              </w:rPr>
              <w:t>REALIZED/PARTIALLY</w:t>
            </w:r>
          </w:p>
        </w:tc>
        <w:tc>
          <w:tcPr>
            <w:tcW w:w="0" w:type="dxa"/>
            <w:vAlign w:val="bottom"/>
          </w:tcPr>
          <w:p>
            <w:pPr>
              <w:spacing w:after="0"/>
              <w:rPr>
                <w:sz w:val="1"/>
                <w:szCs w:val="1"/>
                <w:color w:val="auto"/>
              </w:rPr>
            </w:pPr>
          </w:p>
        </w:tc>
      </w:tr>
      <w:tr>
        <w:trPr>
          <w:trHeight w:val="145"/>
        </w:trPr>
        <w:tc>
          <w:tcPr>
            <w:tcW w:w="22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4"/>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REALIZED INVESTMENTS(5)</w:t>
            </w:r>
          </w:p>
        </w:tc>
        <w:tc>
          <w:tcPr>
            <w:tcW w:w="0" w:type="dxa"/>
            <w:vAlign w:val="bottom"/>
          </w:tcPr>
          <w:p>
            <w:pPr>
              <w:spacing w:after="0"/>
              <w:rPr>
                <w:sz w:val="1"/>
                <w:szCs w:val="1"/>
                <w:color w:val="auto"/>
              </w:rPr>
            </w:pPr>
          </w:p>
        </w:tc>
      </w:tr>
      <w:tr>
        <w:trPr>
          <w:trHeight w:val="154"/>
        </w:trPr>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As of March 31, 2024</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8"/>
              </w:rPr>
              <w:t>As of March 31, 2024</w:t>
            </w: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Cumulative</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w w:val="97"/>
              </w:rPr>
              <w:t>Remaining</w:t>
            </w:r>
          </w:p>
        </w:tc>
        <w:tc>
          <w:tcPr>
            <w:tcW w:w="50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Gross</w:t>
            </w: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Net</w:t>
            </w:r>
          </w:p>
        </w:tc>
        <w:tc>
          <w:tcPr>
            <w:tcW w:w="120" w:type="dxa"/>
            <w:vAlign w:val="bottom"/>
          </w:tcPr>
          <w:p>
            <w:pPr>
              <w:spacing w:after="0"/>
              <w:rPr>
                <w:sz w:val="10"/>
                <w:szCs w:val="10"/>
                <w:color w:val="auto"/>
              </w:rPr>
            </w:pPr>
          </w:p>
        </w:tc>
        <w:tc>
          <w:tcPr>
            <w:tcW w:w="76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1"/>
                <w:szCs w:val="11"/>
                <w:b w:val="1"/>
                <w:bCs w:val="1"/>
                <w:color w:val="auto"/>
                <w:w w:val="98"/>
              </w:rPr>
              <w:t>Net Accrued</w:t>
            </w:r>
          </w:p>
        </w:tc>
        <w:tc>
          <w:tcPr>
            <w:tcW w:w="120" w:type="dxa"/>
            <w:vAlign w:val="bottom"/>
          </w:tcPr>
          <w:p>
            <w:pPr>
              <w:spacing w:after="0"/>
              <w:rPr>
                <w:sz w:val="10"/>
                <w:szCs w:val="10"/>
                <w:color w:val="auto"/>
              </w:rPr>
            </w:pPr>
          </w:p>
        </w:tc>
        <w:tc>
          <w:tcPr>
            <w:tcW w:w="620" w:type="dxa"/>
            <w:vAlign w:val="bottom"/>
            <w:vMerge w:val="restart"/>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420" w:type="dxa"/>
            <w:vAlign w:val="bottom"/>
          </w:tcPr>
          <w:p>
            <w:pPr>
              <w:spacing w:after="0"/>
              <w:rPr>
                <w:sz w:val="10"/>
                <w:szCs w:val="10"/>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Gross</w:t>
            </w: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Committed</w:t>
            </w:r>
          </w:p>
        </w:tc>
        <w:tc>
          <w:tcPr>
            <w:tcW w:w="680" w:type="dxa"/>
            <w:vAlign w:val="bottom"/>
            <w:gridSpan w:val="2"/>
            <w:vMerge w:val="continue"/>
          </w:tcPr>
          <w:p>
            <w:pPr>
              <w:spacing w:after="0"/>
              <w:rPr>
                <w:sz w:val="9"/>
                <w:szCs w:val="9"/>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60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Realized</w:t>
            </w:r>
          </w:p>
        </w:tc>
        <w:tc>
          <w:tcPr>
            <w:tcW w:w="580" w:type="dxa"/>
            <w:vAlign w:val="bottom"/>
            <w:gridSpan w:val="2"/>
            <w:vMerge w:val="continue"/>
          </w:tcPr>
          <w:p>
            <w:pPr>
              <w:spacing w:after="0"/>
              <w:rPr>
                <w:sz w:val="9"/>
                <w:szCs w:val="9"/>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MOIC</w:t>
            </w:r>
          </w:p>
        </w:tc>
        <w:tc>
          <w:tcPr>
            <w:tcW w:w="50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4"/>
              </w:rPr>
              <w:t>Carry/</w:t>
            </w: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MOIC</w:t>
            </w: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8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Fund (Fee Initiation Date/Stepdown Date)(19)</w:t>
            </w:r>
          </w:p>
        </w:tc>
        <w:tc>
          <w:tcPr>
            <w:tcW w:w="6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center"/>
              <w:ind w:right="77"/>
              <w:spacing w:after="0" w:line="108" w:lineRule="exact"/>
              <w:rPr>
                <w:sz w:val="20"/>
                <w:szCs w:val="20"/>
                <w:color w:val="auto"/>
              </w:rPr>
            </w:pPr>
            <w:r>
              <w:rPr>
                <w:rFonts w:ascii="Times New Roman" w:cs="Times New Roman" w:eastAsia="Times New Roman" w:hAnsi="Times New Roman"/>
                <w:sz w:val="11"/>
                <w:szCs w:val="11"/>
                <w:b w:val="1"/>
                <w:bCs w:val="1"/>
                <w:color w:val="auto"/>
                <w:w w:val="95"/>
              </w:rPr>
              <w:t>Invested</w:t>
            </w:r>
          </w:p>
        </w:tc>
        <w:tc>
          <w:tcPr>
            <w:tcW w:w="56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ind w:right="98"/>
              <w:spacing w:after="0" w:line="108" w:lineRule="exact"/>
              <w:rPr>
                <w:sz w:val="20"/>
                <w:szCs w:val="20"/>
                <w:color w:val="auto"/>
              </w:rPr>
            </w:pPr>
            <w:r>
              <w:rPr>
                <w:rFonts w:ascii="Times New Roman" w:cs="Times New Roman" w:eastAsia="Times New Roman" w:hAnsi="Times New Roman"/>
                <w:sz w:val="11"/>
                <w:szCs w:val="11"/>
                <w:b w:val="1"/>
                <w:bCs w:val="1"/>
                <w:color w:val="auto"/>
              </w:rPr>
              <w:t>Fair</w:t>
            </w:r>
          </w:p>
        </w:tc>
        <w:tc>
          <w:tcPr>
            <w:tcW w:w="500" w:type="dxa"/>
            <w:vAlign w:val="bottom"/>
            <w:vMerge w:val="continue"/>
          </w:tcPr>
          <w:p>
            <w:pPr>
              <w:spacing w:after="0"/>
              <w:rPr>
                <w:sz w:val="9"/>
                <w:szCs w:val="9"/>
                <w:color w:val="auto"/>
              </w:rPr>
            </w:pPr>
          </w:p>
        </w:tc>
        <w:tc>
          <w:tcPr>
            <w:tcW w:w="5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8"/>
              </w:rPr>
              <w:t>IRR</w:t>
            </w:r>
          </w:p>
        </w:tc>
        <w:tc>
          <w:tcPr>
            <w:tcW w:w="380" w:type="dxa"/>
            <w:vAlign w:val="bottom"/>
          </w:tcPr>
          <w:p>
            <w:pPr>
              <w:ind w:left="60"/>
              <w:spacing w:after="0" w:line="108" w:lineRule="exact"/>
              <w:rPr>
                <w:sz w:val="20"/>
                <w:szCs w:val="20"/>
                <w:color w:val="auto"/>
              </w:rPr>
            </w:pPr>
            <w:r>
              <w:rPr>
                <w:rFonts w:ascii="Times New Roman" w:cs="Times New Roman" w:eastAsia="Times New Roman" w:hAnsi="Times New Roman"/>
                <w:sz w:val="11"/>
                <w:szCs w:val="11"/>
                <w:b w:val="1"/>
                <w:bCs w:val="1"/>
                <w:color w:val="auto"/>
              </w:rPr>
              <w:t>IRR</w:t>
            </w:r>
          </w:p>
        </w:tc>
        <w:tc>
          <w:tcPr>
            <w:tcW w:w="120" w:type="dxa"/>
            <w:vAlign w:val="bottom"/>
          </w:tcPr>
          <w:p>
            <w:pPr>
              <w:spacing w:after="0"/>
              <w:rPr>
                <w:sz w:val="9"/>
                <w:szCs w:val="9"/>
                <w:color w:val="auto"/>
              </w:rPr>
            </w:pPr>
          </w:p>
        </w:tc>
        <w:tc>
          <w:tcPr>
            <w:tcW w:w="76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(Giveback)</w:t>
            </w:r>
          </w:p>
        </w:tc>
        <w:tc>
          <w:tcPr>
            <w:tcW w:w="120" w:type="dxa"/>
            <w:vAlign w:val="bottom"/>
          </w:tcPr>
          <w:p>
            <w:pPr>
              <w:spacing w:after="0"/>
              <w:rPr>
                <w:sz w:val="9"/>
                <w:szCs w:val="9"/>
                <w:color w:val="auto"/>
              </w:rPr>
            </w:pPr>
          </w:p>
        </w:tc>
        <w:tc>
          <w:tcPr>
            <w:tcW w:w="620" w:type="dxa"/>
            <w:vAlign w:val="bottom"/>
          </w:tcPr>
          <w:p>
            <w:pPr>
              <w:jc w:val="center"/>
              <w:ind w:right="78"/>
              <w:spacing w:after="0" w:line="108"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420" w:type="dxa"/>
            <w:vAlign w:val="bottom"/>
            <w:vMerge w:val="continue"/>
          </w:tcPr>
          <w:p>
            <w:pPr>
              <w:spacing w:after="0"/>
              <w:rPr>
                <w:sz w:val="9"/>
                <w:szCs w:val="9"/>
                <w:color w:val="auto"/>
              </w:rPr>
            </w:pPr>
          </w:p>
        </w:tc>
        <w:tc>
          <w:tcPr>
            <w:tcW w:w="4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8"/>
              </w:rPr>
              <w:t>IRR</w:t>
            </w:r>
          </w:p>
        </w:tc>
        <w:tc>
          <w:tcPr>
            <w:tcW w:w="0" w:type="dxa"/>
            <w:vAlign w:val="bottom"/>
          </w:tcPr>
          <w:p>
            <w:pPr>
              <w:spacing w:after="0"/>
              <w:rPr>
                <w:sz w:val="1"/>
                <w:szCs w:val="1"/>
                <w:color w:val="auto"/>
              </w:rPr>
            </w:pPr>
          </w:p>
        </w:tc>
      </w:tr>
      <w:tr>
        <w:trPr>
          <w:trHeight w:val="145"/>
        </w:trPr>
        <w:tc>
          <w:tcPr>
            <w:tcW w:w="228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Capital(20)</w:t>
            </w: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Capital(1)</w:t>
            </w: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Invested</w:t>
            </w:r>
          </w:p>
        </w:tc>
        <w:tc>
          <w:tcPr>
            <w:tcW w:w="600" w:type="dxa"/>
            <w:vAlign w:val="bottom"/>
            <w:tcBorders>
              <w:bottom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rPr>
              <w:t>Value(2)</w:t>
            </w: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w w:val="89"/>
              </w:rPr>
              <w:t>Value(3)</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(4)</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(6)(12)</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(7)(12)</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rPr>
              <w:t>(8)</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w w:val="94"/>
              </w:rPr>
              <w:t>Value(9)</w:t>
            </w: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(4)</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(6)(12)</w:t>
            </w:r>
          </w:p>
        </w:tc>
        <w:tc>
          <w:tcPr>
            <w:tcW w:w="0" w:type="dxa"/>
            <w:vAlign w:val="bottom"/>
          </w:tcPr>
          <w:p>
            <w:pPr>
              <w:spacing w:after="0"/>
              <w:rPr>
                <w:sz w:val="1"/>
                <w:szCs w:val="1"/>
                <w:color w:val="auto"/>
              </w:rPr>
            </w:pPr>
          </w:p>
        </w:tc>
      </w:tr>
      <w:tr>
        <w:trPr>
          <w:trHeight w:val="186"/>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 Private Equity</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CP VIII (Oct 2021 / Oct 2027)</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14,797</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7,836</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8,849</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1.2x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NM</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n/a</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CP VII (May 2018 / Oct 2021)</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18,510</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17,740</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2,150</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22,616</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1.4x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11%</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1,643</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1.3x</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CP VI (May 2013 / May 2018)</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13,000</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13,140</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101%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24,133</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4,636</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2.2x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26,254</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2.5x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CP V (Jun 2007 / May 2013)</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13,720</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13,238</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28,102</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2.2x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28,149</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2.3x</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CEP V (Oct 2018 / Sep 2024)</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6,416</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5,545</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1,446</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6,020</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8%</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n/a</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CEP IV (Sep 2014 / Oct 2018)</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3,670</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3,797</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103%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6,190</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1,380</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2.0x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6,261</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2.1x</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CEP III (Jul 2007 / Dec 2012)</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5,295</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5,177</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98%</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11,724</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2.3x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11,657</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2.3x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CAP V (Jun 2018 / Jun 2024)</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6,554</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6,047</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1,671</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6,582</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1.4x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944</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1.9x</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143%</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CAP IV (Jul 2013 / Jun 2018)</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3,880</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4,146</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107%</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7,678</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2.1x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7,587</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2.9x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CJP IV (Oct 2020 / Oct 2026)</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258,000</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180,016</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53,996</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249,645</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1.7x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47%</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50,751</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3.5x</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150%</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CJP III (Sep 2013 / Aug 2020)</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119,505</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91,192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214,998</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42,750</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2.8x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24%</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203,055</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3.4x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CGFSP III (Dec 2017 / Dec 2023)</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956</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1,754</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2.2x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28%</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781</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6.2x</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CGFSP II (Jun 2013 / Dec 2017)</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943</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1,960</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2.7x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26%</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1,956</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2.4x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CP Growth (Oct 2021 / Oct 2027)</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472</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1.1x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NM</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7"/>
              </w:rPr>
              <w:t>n/a</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CEOF II (Nov 2015 / Mar 2020)</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2,361</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98%</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3,095</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1,926</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2.1x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3,122</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2.9x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CETP V (Mar 2022 / Jun 2028)</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3,180</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1,023</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1.0x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NM</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7"/>
              </w:rPr>
              <w:t>n/a</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CETP IV (Jul 2019 / Jun 2022)</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1,186</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88%</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915</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1,660</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2.2x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36%</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892</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5.9x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CETP III (Jul 2014 / Jul 2019)</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602</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3.5x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42%</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1,290</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3.4x</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CGP II (Dec 2020 / Jan 2025)</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1,840</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984</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1.2x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11%</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n/a</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CGP (Jan 2015 / Mar 2021)</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3,588</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3,206</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3,032</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1.4x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6%</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1,688</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2.1x</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CAGP IV (Aug 2008 / Dec 2014)</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1,041</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954</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1,141</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6%</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1,131</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7%</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CSABF (Dec 2009 / Dec 2016)</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773</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1.1x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645</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1.3x</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5%</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All Other Active Funds &amp; Vehicles(10)</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20,573</w:t>
            </w:r>
          </w:p>
        </w:tc>
        <w:tc>
          <w:tcPr>
            <w:tcW w:w="5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17,109</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15,754</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1.6x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21%</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16,939</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2.1x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Fully Realized Funds &amp; Vehicles(11)(21)</w:t>
            </w:r>
          </w:p>
        </w:tc>
        <w:tc>
          <w:tcPr>
            <w:tcW w:w="2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30,851</w:t>
            </w:r>
          </w:p>
        </w:tc>
        <w:tc>
          <w:tcPr>
            <w:tcW w:w="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74,155</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2.4x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28%</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74,156</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2.4x</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80"/>
        </w:trPr>
        <w:tc>
          <w:tcPr>
            <w:tcW w:w="29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TOTAL CORPORATE PRIVATE EQUITY(13)</w:t>
            </w:r>
          </w:p>
        </w:tc>
        <w:tc>
          <w:tcPr>
            <w:tcW w:w="1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144,710</w:t>
            </w:r>
          </w:p>
        </w:tc>
        <w:tc>
          <w:tcPr>
            <w:tcW w:w="5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n/a</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189,299</w:t>
            </w: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83,400</w:t>
            </w: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1.9x</w:t>
            </w: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25%</w:t>
            </w:r>
          </w:p>
        </w:tc>
        <w:tc>
          <w:tcPr>
            <w:tcW w:w="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17%</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909</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188,360</w:t>
            </w:r>
          </w:p>
        </w:tc>
        <w:tc>
          <w:tcPr>
            <w:tcW w:w="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2.4x</w:t>
            </w: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26%</w:t>
            </w:r>
          </w:p>
        </w:tc>
        <w:tc>
          <w:tcPr>
            <w:tcW w:w="0" w:type="dxa"/>
            <w:vAlign w:val="bottom"/>
          </w:tcPr>
          <w:p>
            <w:pPr>
              <w:spacing w:after="0"/>
              <w:rPr>
                <w:sz w:val="1"/>
                <w:szCs w:val="1"/>
                <w:color w:val="auto"/>
              </w:rPr>
            </w:pPr>
          </w:p>
        </w:tc>
      </w:tr>
      <w:tr>
        <w:trPr>
          <w:trHeight w:val="30"/>
        </w:trPr>
        <w:tc>
          <w:tcPr>
            <w:tcW w:w="2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Real Estate</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CRP IX (Oct 2021 / Oct 2026)</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7,987</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3,924</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4,169</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1.1x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NM</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33</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1.2x</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CRP VIII (Aug 2017 / Oct 2021)</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5,505</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5,213</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4,778</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4,173</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1.7x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38%</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4,803</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2.1x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CRP VII (Jun 2014 / Dec 2017)</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4,162</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3,848</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4,914</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1.7x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4,874</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1.8x</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208"/>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CRP VI (Mar 2011 / Jun 2014)</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2,340</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2,180</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3,792</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1.8x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3,711</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1.9x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218"/>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CPI (May 2016 / n/a)</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7,647</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7,991</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104%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2,533</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7,714</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1.3x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1,493</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1.7x</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All Other Active Funds &amp; Vehicles(14)</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3,074</w:t>
            </w:r>
          </w:p>
        </w:tc>
        <w:tc>
          <w:tcPr>
            <w:tcW w:w="5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2,881</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9%</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7%</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868</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1.7x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Fully Realized Funds &amp; Vehicles(15)(21)</w:t>
            </w:r>
          </w:p>
        </w:tc>
        <w:tc>
          <w:tcPr>
            <w:tcW w:w="2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12,903</w:t>
            </w:r>
          </w:p>
        </w:tc>
        <w:tc>
          <w:tcPr>
            <w:tcW w:w="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19,496</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1.5x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19,509</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1.5x</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8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TOTAL REAL ESTATE(13)</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39,133</w:t>
            </w:r>
          </w:p>
        </w:tc>
        <w:tc>
          <w:tcPr>
            <w:tcW w:w="5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n/a</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36,786</w:t>
            </w: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20,543</w:t>
            </w: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1.5x</w:t>
            </w: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12%</w:t>
            </w:r>
          </w:p>
        </w:tc>
        <w:tc>
          <w:tcPr>
            <w:tcW w:w="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8%</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155</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35,290</w:t>
            </w:r>
          </w:p>
        </w:tc>
        <w:tc>
          <w:tcPr>
            <w:tcW w:w="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1.7x</w:t>
            </w: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13%</w:t>
            </w:r>
          </w:p>
        </w:tc>
        <w:tc>
          <w:tcPr>
            <w:tcW w:w="0" w:type="dxa"/>
            <w:vAlign w:val="bottom"/>
          </w:tcPr>
          <w:p>
            <w:pPr>
              <w:spacing w:after="0"/>
              <w:rPr>
                <w:sz w:val="1"/>
                <w:szCs w:val="1"/>
                <w:color w:val="auto"/>
              </w:rPr>
            </w:pPr>
          </w:p>
        </w:tc>
      </w:tr>
      <w:tr>
        <w:trPr>
          <w:trHeight w:val="30"/>
        </w:trPr>
        <w:tc>
          <w:tcPr>
            <w:tcW w:w="2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Infrastructure &amp; Natural Resources</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CIEP II (Apr 2019 / Apr 2025)</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2,286</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1,008</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1.7x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31%</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644</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2.7x</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NM**</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CIEP I (Sep 2013 / Jun 2019)</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2,422</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97%</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2,619</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1,895</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1.9x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16%</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3,380</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2.3x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CPP II (Sep 2014 / Apr 2021)</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1,527</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1,592</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104%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1,702</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1.8x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15%</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1,651</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3.2x</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CGIOF (Dec 2018 / Sep 2023)</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2,201</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1,849</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2,426</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1.6x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299</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1.6x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CRSEF II (Nov 2022 / Aug 2027)</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322</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1.3x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NM</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7"/>
              </w:rPr>
              <w:t>n/a</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NGP XIII (Feb 2023 / Feb 2028)</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1,658</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170</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NM</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n/a</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NGP XII (Jul 2017 / Jul 2022)</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4,304</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3,053</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3,695</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2,638</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2.1x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22%</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3,569</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3.5x</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NGP XI (Oct 2014 / Jul 2017)</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5,325</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5,034</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6,031</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3,721</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1.9x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6,922</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2.1x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NGP X (Jan 2012 / Dec 2014)</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3,586</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3,351</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3,417</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1.1x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3%</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3,261</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1.2x</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5%</w:t>
            </w:r>
          </w:p>
        </w:tc>
        <w:tc>
          <w:tcPr>
            <w:tcW w:w="0" w:type="dxa"/>
            <w:vAlign w:val="bottom"/>
          </w:tcPr>
          <w:p>
            <w:pPr>
              <w:spacing w:after="0"/>
              <w:rPr>
                <w:sz w:val="1"/>
                <w:szCs w:val="1"/>
                <w:color w:val="auto"/>
              </w:rPr>
            </w:pPr>
          </w:p>
        </w:tc>
      </w:tr>
      <w:tr>
        <w:trPr>
          <w:trHeight w:val="200"/>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All Other Active Funds &amp; Vehicles(17)</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4,907</w:t>
            </w:r>
          </w:p>
        </w:tc>
        <w:tc>
          <w:tcPr>
            <w:tcW w:w="5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3,429</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4,043</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1.5x</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3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3,364</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2.2x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Fully Realized Funds &amp; Vehicles(18)(21)</w:t>
            </w:r>
          </w:p>
        </w:tc>
        <w:tc>
          <w:tcPr>
            <w:tcW w:w="2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1,190</w:t>
            </w:r>
          </w:p>
        </w:tc>
        <w:tc>
          <w:tcPr>
            <w:tcW w:w="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1,435</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1.2x</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3%</w:t>
            </w:r>
          </w:p>
        </w:tc>
        <w:tc>
          <w:tcPr>
            <w:tcW w:w="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1,435</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1.2x</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3%</w:t>
            </w:r>
          </w:p>
        </w:tc>
        <w:tc>
          <w:tcPr>
            <w:tcW w:w="0" w:type="dxa"/>
            <w:vAlign w:val="bottom"/>
          </w:tcPr>
          <w:p>
            <w:pPr>
              <w:spacing w:after="0"/>
              <w:rPr>
                <w:sz w:val="1"/>
                <w:szCs w:val="1"/>
                <w:color w:val="auto"/>
              </w:rPr>
            </w:pPr>
          </w:p>
        </w:tc>
      </w:tr>
      <w:tr>
        <w:trPr>
          <w:trHeight w:val="129"/>
        </w:trPr>
        <w:tc>
          <w:tcPr>
            <w:tcW w:w="24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w w:val="95"/>
              </w:rPr>
              <w:t>TOTAL INFRASTRUCTURE &amp; NATURAL</w:t>
            </w:r>
          </w:p>
        </w:tc>
        <w:tc>
          <w:tcPr>
            <w:tcW w:w="480" w:type="dxa"/>
            <w:vAlign w:val="bottom"/>
          </w:tcPr>
          <w:p>
            <w:pPr>
              <w:spacing w:after="0"/>
              <w:rPr>
                <w:sz w:val="11"/>
                <w:szCs w:val="11"/>
                <w:color w:val="auto"/>
              </w:rPr>
            </w:pPr>
          </w:p>
        </w:tc>
        <w:tc>
          <w:tcPr>
            <w:tcW w:w="12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24,896</w:t>
            </w:r>
          </w:p>
        </w:tc>
        <w:tc>
          <w:tcPr>
            <w:tcW w:w="56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n/a</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23,022</w:t>
            </w:r>
          </w:p>
        </w:tc>
        <w:tc>
          <w:tcPr>
            <w:tcW w:w="1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18,269</w:t>
            </w:r>
          </w:p>
        </w:tc>
        <w:tc>
          <w:tcPr>
            <w:tcW w:w="5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1.7x</w:t>
            </w:r>
          </w:p>
        </w:tc>
        <w:tc>
          <w:tcPr>
            <w:tcW w:w="5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12%</w:t>
            </w:r>
          </w:p>
        </w:tc>
        <w:tc>
          <w:tcPr>
            <w:tcW w:w="3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8%</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436</w:t>
            </w:r>
          </w:p>
        </w:tc>
        <w:tc>
          <w:tcPr>
            <w:tcW w:w="80" w:type="dxa"/>
            <w:vAlign w:val="bottom"/>
          </w:tcPr>
          <w:p>
            <w:pPr>
              <w:spacing w:after="0"/>
              <w:rPr>
                <w:sz w:val="11"/>
                <w:szCs w:val="11"/>
                <w:color w:val="auto"/>
              </w:rPr>
            </w:pPr>
          </w:p>
        </w:tc>
        <w:tc>
          <w:tcPr>
            <w:tcW w:w="1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tcBorders>
            <w:vMerge w:val="restart"/>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24,524</w:t>
            </w:r>
          </w:p>
        </w:tc>
        <w:tc>
          <w:tcPr>
            <w:tcW w:w="4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2.0x</w:t>
            </w:r>
          </w:p>
        </w:tc>
        <w:tc>
          <w:tcPr>
            <w:tcW w:w="4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16%</w:t>
            </w:r>
          </w:p>
        </w:tc>
        <w:tc>
          <w:tcPr>
            <w:tcW w:w="0" w:type="dxa"/>
            <w:vAlign w:val="bottom"/>
          </w:tcPr>
          <w:p>
            <w:pPr>
              <w:spacing w:after="0"/>
              <w:rPr>
                <w:sz w:val="1"/>
                <w:szCs w:val="1"/>
                <w:color w:val="auto"/>
              </w:rPr>
            </w:pPr>
          </w:p>
        </w:tc>
      </w:tr>
      <w:tr>
        <w:trPr>
          <w:trHeight w:val="105"/>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RESOURCES(13)</w:t>
            </w: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28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Legacy Energy Funds(16)</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16,741</w:t>
            </w:r>
          </w:p>
        </w:tc>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23,998</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1.4x</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23,566</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1.5x</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30"/>
        </w:trPr>
        <w:tc>
          <w:tcPr>
            <w:tcW w:w="2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11391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16115" cy="113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6"/>
          <w:szCs w:val="16"/>
          <w:i w:val="1"/>
          <w:iCs w:val="1"/>
          <w:color w:val="auto"/>
        </w:rPr>
        <w:t>*Net accrued fee related performance revenues for CPI of $2 million are excluded from Net Accrued Performance Revenues. These amounts will be reflected as Fee related performance revenues when realized, and included in Fund level fee revenues in our segment results.</w:t>
      </w:r>
    </w:p>
    <w:p>
      <w:pPr>
        <w:sectPr>
          <w:pgSz w:w="11900" w:h="16838" w:orient="portrait"/>
          <w:cols w:equalWidth="0" w:num="1">
            <w:col w:w="9240"/>
          </w:cols>
          <w:pgMar w:left="1320" w:top="715" w:right="1339" w:bottom="0" w:gutter="0" w:footer="0" w:header="0"/>
        </w:sectPr>
      </w:pPr>
    </w:p>
    <w:p>
      <w:pPr>
        <w:spacing w:after="0" w:line="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6"/>
          <w:szCs w:val="16"/>
          <w:i w:val="1"/>
          <w:iCs w:val="1"/>
          <w:color w:val="auto"/>
        </w:rPr>
        <w:t>**The IRR is incalculable, which occurs in instances when a distribution occurs prior to a Limited Partner capital contribution due to the use of fund-level credit facilities.</w:t>
      </w:r>
    </w:p>
    <w:p>
      <w:pPr>
        <w:sectPr>
          <w:pgSz w:w="11900" w:h="16838" w:orient="portrait"/>
          <w:cols w:equalWidth="0" w:num="1">
            <w:col w:w="9240"/>
          </w:cols>
          <w:pgMar w:left="1320" w:top="715" w:right="1339" w:bottom="0" w:gutter="0" w:footer="0" w:header="0"/>
          <w:type w:val="continuous"/>
        </w:sectPr>
      </w:pPr>
    </w:p>
    <w:bookmarkStart w:id="81" w:name="page82"/>
    <w:bookmarkEnd w:id="81"/>
    <w:p>
      <w:pPr>
        <w:ind w:left="460" w:hanging="332"/>
        <w:spacing w:after="0"/>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the original cost of investments since inception of the fund.</w:t>
      </w:r>
    </w:p>
    <w:p>
      <w:pPr>
        <w:spacing w:after="0" w:line="90" w:lineRule="exact"/>
        <w:rPr>
          <w:rFonts w:ascii="Times New Roman" w:cs="Times New Roman" w:eastAsia="Times New Roman" w:hAnsi="Times New Roman"/>
          <w:sz w:val="17"/>
          <w:szCs w:val="17"/>
          <w:color w:val="auto"/>
        </w:rPr>
      </w:pPr>
    </w:p>
    <w:p>
      <w:pPr>
        <w:ind w:left="460" w:hanging="332"/>
        <w:spacing w:after="0"/>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all realized proceeds since inception of the fund.</w:t>
      </w:r>
    </w:p>
    <w:p>
      <w:pPr>
        <w:spacing w:after="0" w:line="117" w:lineRule="exact"/>
        <w:rPr>
          <w:rFonts w:ascii="Times New Roman" w:cs="Times New Roman" w:eastAsia="Times New Roman" w:hAnsi="Times New Roman"/>
          <w:sz w:val="17"/>
          <w:szCs w:val="17"/>
          <w:color w:val="auto"/>
        </w:rPr>
      </w:pPr>
    </w:p>
    <w:p>
      <w:pPr>
        <w:ind w:left="460" w:right="420" w:hanging="332"/>
        <w:spacing w:after="0" w:line="282" w:lineRule="auto"/>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remaining fair value, before management fees, expenses and carried interest, and may include remaining escrow values for realized investments.</w:t>
      </w:r>
    </w:p>
    <w:p>
      <w:pPr>
        <w:spacing w:after="0" w:line="53" w:lineRule="exact"/>
        <w:rPr>
          <w:rFonts w:ascii="Times New Roman" w:cs="Times New Roman" w:eastAsia="Times New Roman" w:hAnsi="Times New Roman"/>
          <w:sz w:val="17"/>
          <w:szCs w:val="17"/>
          <w:color w:val="auto"/>
        </w:rPr>
      </w:pPr>
    </w:p>
    <w:p>
      <w:pPr>
        <w:ind w:left="460" w:right="80" w:hanging="332"/>
        <w:spacing w:after="0" w:line="282" w:lineRule="auto"/>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Multiple of invested capital (“MOIC”) represents total fair value, before management fees, expenses and carried interest, divided by cumulative invested capital.</w:t>
      </w:r>
    </w:p>
    <w:p>
      <w:pPr>
        <w:spacing w:after="0" w:line="53" w:lineRule="exact"/>
        <w:rPr>
          <w:rFonts w:ascii="Times New Roman" w:cs="Times New Roman" w:eastAsia="Times New Roman" w:hAnsi="Times New Roman"/>
          <w:sz w:val="17"/>
          <w:szCs w:val="17"/>
          <w:color w:val="auto"/>
        </w:rPr>
      </w:pPr>
    </w:p>
    <w:p>
      <w:pPr>
        <w:ind w:left="460" w:right="20" w:hanging="332"/>
        <w:spacing w:after="0" w:line="252" w:lineRule="auto"/>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 investment is considered realized when the investment fund has completely exited, and ceases to own an interest in, the investment. An investment is considered partially realized when the total amount of proceeds received in respect of such investment, including dividends, interest or other distributions and/or return of capital, represents at least 85% of invested capital and such investment is not yet fully realized. Because part of our value creation strategy involves pursuing best exit alternatives, we believe information regarding Realized/Partially Realized MOIC and Gross IRR, when considered together with the other investment performance metrics presented, provides investors with meaningful information regarding our investment performance by removing the impact of investments where significant realization activity has not yet occurred. Realized/Partially Realized MOIC and Gross IRR have limitations as measures of investment performance, and should not be considered in isolation. Such limitations include the fact that these measures do not include the performance of earlier stage and other investments that do not satisfy the criteria provided above. The exclusion of such investments will have a positive impact on Realized/Partially Realized MOIC and Gross IRR in instances when the MOIC and Gross IRR in respect of such investments are less than the aggregate MOIC and Gross IRR. Our measurements of Realized/Partially Realized MOIC and Gross IRR may not be comparable to those of other companies that use similarly titled measures.</w:t>
      </w:r>
    </w:p>
    <w:p>
      <w:pPr>
        <w:spacing w:after="0" w:line="89" w:lineRule="exact"/>
        <w:rPr>
          <w:rFonts w:ascii="Times New Roman" w:cs="Times New Roman" w:eastAsia="Times New Roman" w:hAnsi="Times New Roman"/>
          <w:sz w:val="17"/>
          <w:szCs w:val="17"/>
          <w:color w:val="auto"/>
        </w:rPr>
      </w:pPr>
    </w:p>
    <w:p>
      <w:pPr>
        <w:ind w:left="460" w:right="80" w:hanging="332"/>
        <w:spacing w:after="0" w:line="273" w:lineRule="auto"/>
        <w:tabs>
          <w:tab w:leader="none" w:pos="4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Gross Internal Rate of Return (“Gross IRR”) represents an annualized time-weighted return on Limited Partner invested capital, based on contributions, distributions and unrealized fair value as of the reporting date, before the impact of management fees, partnership expenses and carried interest. For fund vintages 2017 and after, Gross IRR includes the impact of interest expense related to the funding of investments on fund lines of credit. Gross IRR is calculated based on the timing of Limited Partner cash flows, which may differ to varying degrees from the timing of actual investment cash flows for the fund. Subtotal Gross IRR aggregations for multiple funds are calculated based on actual cash flow dates for each fund and represent a theoretical time-weighted return for a Limited Partner who invested sequentially in each fund.</w:t>
      </w:r>
    </w:p>
    <w:p>
      <w:pPr>
        <w:spacing w:after="0" w:line="63" w:lineRule="exact"/>
        <w:rPr>
          <w:rFonts w:ascii="Times New Roman" w:cs="Times New Roman" w:eastAsia="Times New Roman" w:hAnsi="Times New Roman"/>
          <w:sz w:val="16"/>
          <w:szCs w:val="16"/>
          <w:color w:val="auto"/>
        </w:rPr>
      </w:pPr>
    </w:p>
    <w:p>
      <w:pPr>
        <w:ind w:left="460" w:hanging="332"/>
        <w:spacing w:after="0" w:line="254" w:lineRule="auto"/>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Net Internal Rate of Return (“Net IRR”) represents an annualized time-weighted return on Limited Partner invested capital, based on contributions, distributions and unrealized fair value as of the reporting date, after the impact of all management fees, partnership expenses and carried interest, including current accruals. Net IRR is calculated based on the timing of Limited Partner cash flows, which may differ to varying degrees from the timing of actual investment cash flows for the fund. Fund level IRRs are based on aggregate Limited Partner cash flows, and this blended return may differ from that of individual Limited Partners. As a result, certain funds may generate accrued performance revenues with a blended Net IRR that is below the preferred return hurdle for that fund. Subtotal Net IRR aggregations for multiple funds are calculated based on actual cash flow dates for each fund and represent a theoretical time-weighted return for a Limited Partner who invested sequentially in each fund.</w:t>
      </w:r>
    </w:p>
    <w:p>
      <w:pPr>
        <w:spacing w:after="0" w:line="80" w:lineRule="exact"/>
        <w:rPr>
          <w:rFonts w:ascii="Times New Roman" w:cs="Times New Roman" w:eastAsia="Times New Roman" w:hAnsi="Times New Roman"/>
          <w:sz w:val="17"/>
          <w:szCs w:val="17"/>
          <w:color w:val="auto"/>
        </w:rPr>
      </w:pPr>
    </w:p>
    <w:p>
      <w:pPr>
        <w:ind w:left="460" w:hanging="332"/>
        <w:spacing w:after="0"/>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the net accrued performance revenue balance/(giveback obligation) as of the current quarter end.</w:t>
      </w:r>
    </w:p>
    <w:p>
      <w:pPr>
        <w:spacing w:after="0" w:line="117" w:lineRule="exact"/>
        <w:rPr>
          <w:rFonts w:ascii="Times New Roman" w:cs="Times New Roman" w:eastAsia="Times New Roman" w:hAnsi="Times New Roman"/>
          <w:sz w:val="17"/>
          <w:szCs w:val="17"/>
          <w:color w:val="auto"/>
        </w:rPr>
      </w:pPr>
    </w:p>
    <w:p>
      <w:pPr>
        <w:ind w:left="460" w:right="420" w:hanging="332"/>
        <w:spacing w:after="0" w:line="282" w:lineRule="auto"/>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all realized proceeds combined with remaining fair value, before management fees, expenses and carried interest.</w:t>
      </w:r>
    </w:p>
    <w:p>
      <w:pPr>
        <w:spacing w:after="0" w:line="53" w:lineRule="exact"/>
        <w:rPr>
          <w:rFonts w:ascii="Times New Roman" w:cs="Times New Roman" w:eastAsia="Times New Roman" w:hAnsi="Times New Roman"/>
          <w:sz w:val="17"/>
          <w:szCs w:val="17"/>
          <w:color w:val="auto"/>
        </w:rPr>
      </w:pPr>
    </w:p>
    <w:p>
      <w:pPr>
        <w:ind w:left="460" w:right="20" w:hanging="332"/>
        <w:spacing w:after="0" w:line="266" w:lineRule="auto"/>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Aggregate includes the following funds, as well as all active co-investments, separately managed accounts (SMAs), and stand-alone investments arranged by us: MENA, CCI, CSSAF I, CPF I, CAP Growth I, CAP Growth II, CBPF II, CEP II, ABV 8 and ACCD 2.</w:t>
      </w:r>
    </w:p>
    <w:p>
      <w:pPr>
        <w:spacing w:after="0" w:line="67" w:lineRule="exact"/>
        <w:rPr>
          <w:rFonts w:ascii="Times New Roman" w:cs="Times New Roman" w:eastAsia="Times New Roman" w:hAnsi="Times New Roman"/>
          <w:sz w:val="17"/>
          <w:szCs w:val="17"/>
          <w:color w:val="auto"/>
        </w:rPr>
      </w:pPr>
    </w:p>
    <w:p>
      <w:pPr>
        <w:ind w:left="460" w:right="20" w:hanging="332"/>
        <w:spacing w:after="0" w:line="276" w:lineRule="auto"/>
        <w:tabs>
          <w:tab w:leader="none" w:pos="4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Aggregate includes the following funds, as well as related co-investments, separately managed accounts (SMAs), and certain other stand-alone investments arranged by us: CP I, CP II, CP III, CP IV, CEP I, CAP I, CAP II, CAP III, CBPF I,</w:t>
      </w:r>
    </w:p>
    <w:p>
      <w:pPr>
        <w:ind w:left="460" w:right="38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CJP I, CJP II, CMG, CVP I, CVP II, CUSGF III, CGFSP I, CEVP I, CETP I, CETP II, CAVP I, CAVP II, CAGP III, CEOF I and Mexico.</w:t>
      </w:r>
    </w:p>
    <w:p>
      <w:pPr>
        <w:spacing w:after="0" w:line="73" w:lineRule="exact"/>
        <w:rPr>
          <w:rFonts w:ascii="Times New Roman" w:cs="Times New Roman" w:eastAsia="Times New Roman" w:hAnsi="Times New Roman"/>
          <w:sz w:val="16"/>
          <w:szCs w:val="16"/>
          <w:color w:val="auto"/>
        </w:rPr>
      </w:pPr>
    </w:p>
    <w:p>
      <w:pPr>
        <w:ind w:left="460" w:right="140" w:hanging="332"/>
        <w:spacing w:after="0" w:line="266" w:lineRule="auto"/>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funds marked “NM,” IRR may be positive or negative, but is not considered meaningful because of the limited time since initial investment and early stage of capital deployment. For funds marked “Neg,” IRR is considered meaningful but is negative as of reporting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-7462520</wp:posOffset>
            </wp:positionV>
            <wp:extent cx="7016115" cy="79228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16115" cy="7922895"/>
                    </a:xfrm>
                    <a:prstGeom prst="rect">
                      <a:avLst/>
                    </a:prstGeom>
                    <a:noFill/>
                  </pic:spPr>
                </pic:pic>
              </a:graphicData>
            </a:graphic>
          </wp:anchor>
        </w:drawing>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25107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16115" cy="2510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left="460" w:right="300" w:hanging="332"/>
        <w:spacing w:after="0" w:line="282" w:lineRule="auto"/>
        <w:tabs>
          <w:tab w:leader="none" w:pos="4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purposes of aggregation, funds that report in foreign currency have been converted to U.S. dollars at the reporting period spot rate.</w:t>
      </w:r>
    </w:p>
    <w:p>
      <w:pPr>
        <w:spacing w:after="0" w:line="53" w:lineRule="exact"/>
        <w:rPr>
          <w:rFonts w:ascii="Times New Roman" w:cs="Times New Roman" w:eastAsia="Times New Roman" w:hAnsi="Times New Roman"/>
          <w:sz w:val="17"/>
          <w:szCs w:val="17"/>
          <w:color w:val="auto"/>
        </w:rPr>
      </w:pPr>
    </w:p>
    <w:p>
      <w:pPr>
        <w:ind w:left="460" w:right="160" w:hanging="332"/>
        <w:spacing w:after="0" w:line="282" w:lineRule="auto"/>
        <w:tabs>
          <w:tab w:leader="none" w:pos="4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Aggregate includes the following funds, as well as all active co-investments, separately managed accounts (SMAs), and stand-alone investments arranged by us: CCR, CER I, and CER II.</w:t>
      </w:r>
    </w:p>
    <w:p>
      <w:pPr>
        <w:spacing w:after="0" w:line="53" w:lineRule="exact"/>
        <w:rPr>
          <w:rFonts w:ascii="Times New Roman" w:cs="Times New Roman" w:eastAsia="Times New Roman" w:hAnsi="Times New Roman"/>
          <w:sz w:val="17"/>
          <w:szCs w:val="17"/>
          <w:color w:val="auto"/>
        </w:rPr>
      </w:pPr>
    </w:p>
    <w:p>
      <w:pPr>
        <w:ind w:left="460" w:right="320" w:hanging="332"/>
        <w:spacing w:after="0" w:line="266" w:lineRule="auto"/>
        <w:tabs>
          <w:tab w:leader="none" w:pos="4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Aggregate includes the following funds, as well as related co-investments, separately managed accounts (SMAs), and certain other stand-alone investments arranged by us: CRP I, CRP II, CRP III, CRP IV, CRP V, CRCP I, CAREP I, CAREP II, CEREP I, CEREP II and CEREP III.</w:t>
      </w:r>
    </w:p>
    <w:p>
      <w:pPr>
        <w:spacing w:after="0" w:line="67" w:lineRule="exact"/>
        <w:rPr>
          <w:rFonts w:ascii="Times New Roman" w:cs="Times New Roman" w:eastAsia="Times New Roman" w:hAnsi="Times New Roman"/>
          <w:sz w:val="17"/>
          <w:szCs w:val="17"/>
          <w:color w:val="auto"/>
        </w:rPr>
      </w:pPr>
    </w:p>
    <w:p>
      <w:pPr>
        <w:ind w:left="460" w:right="460" w:hanging="332"/>
        <w:spacing w:after="0" w:line="282" w:lineRule="auto"/>
        <w:tabs>
          <w:tab w:leader="none" w:pos="4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Aggregate includes the following Legacy Energy funds and related co-investments: Energy I, Energy II, Energy III, Energy IV, Renew I, and Renew II.</w:t>
      </w:r>
    </w:p>
    <w:p>
      <w:pPr>
        <w:spacing w:after="0" w:line="53" w:lineRule="exact"/>
        <w:rPr>
          <w:rFonts w:ascii="Times New Roman" w:cs="Times New Roman" w:eastAsia="Times New Roman" w:hAnsi="Times New Roman"/>
          <w:sz w:val="17"/>
          <w:szCs w:val="17"/>
          <w:color w:val="auto"/>
        </w:rPr>
      </w:pPr>
    </w:p>
    <w:p>
      <w:pPr>
        <w:ind w:left="460" w:right="160" w:hanging="332"/>
        <w:spacing w:after="0" w:line="282" w:lineRule="auto"/>
        <w:tabs>
          <w:tab w:leader="none" w:pos="4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Aggregate includes the following funds, as well as all active co-investments, separately managed accounts (SMAs), and stand-alone investments arranged by us: NGP GAP, NGP RP I, NGP RP II, NGP ETP IV, CPOCP, and CRSEF.</w:t>
      </w:r>
    </w:p>
    <w:p>
      <w:pPr>
        <w:spacing w:after="0" w:line="53" w:lineRule="exact"/>
        <w:rPr>
          <w:rFonts w:ascii="Times New Roman" w:cs="Times New Roman" w:eastAsia="Times New Roman" w:hAnsi="Times New Roman"/>
          <w:sz w:val="17"/>
          <w:szCs w:val="17"/>
          <w:color w:val="auto"/>
        </w:rPr>
      </w:pPr>
    </w:p>
    <w:p>
      <w:pPr>
        <w:ind w:left="460" w:hanging="332"/>
        <w:spacing w:after="0"/>
        <w:tabs>
          <w:tab w:leader="none" w:pos="4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Aggregate includes the following funds, as well as related co-investments, separately managed accounts (SMAs), and</w:t>
      </w:r>
    </w:p>
    <w:p>
      <w:pPr>
        <w:sectPr>
          <w:pgSz w:w="11900" w:h="16838" w:orient="portrait"/>
          <w:cols w:equalWidth="0" w:num="1">
            <w:col w:w="9240"/>
          </w:cols>
          <w:pgMar w:left="1320" w:top="108" w:right="1339" w:bottom="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color w:val="auto"/>
        </w:rPr>
        <w:t>certain other stand-alone investments arranged by us: CIP.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-110490</wp:posOffset>
            </wp:positionV>
            <wp:extent cx="7016115" cy="65512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16115" cy="6551295"/>
                    </a:xfrm>
                    <a:prstGeom prst="rect">
                      <a:avLst/>
                    </a:prstGeom>
                    <a:noFill/>
                  </pic:spPr>
                </pic:pic>
              </a:graphicData>
            </a:graphic>
          </wp:anchor>
        </w:drawing>
      </w:r>
    </w:p>
    <w:p>
      <w:pPr>
        <w:spacing w:after="0" w:line="43" w:lineRule="exact"/>
        <w:rPr>
          <w:sz w:val="20"/>
          <w:szCs w:val="20"/>
          <w:color w:val="auto"/>
        </w:rPr>
      </w:pPr>
    </w:p>
    <w:p>
      <w:pPr>
        <w:ind w:left="460" w:right="220" w:hanging="332"/>
        <w:spacing w:after="0" w:line="266" w:lineRule="auto"/>
        <w:tabs>
          <w:tab w:leader="none" w:pos="4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fund stepdown date represents the contractual stepdown date under the respective fund agreements for funds on which the fee basis stepdown has not yet occurred. Funds without a listed Fee Initiation Date and Stepdown Date have not yet initiated fees.</w:t>
      </w:r>
    </w:p>
    <w:p>
      <w:pPr>
        <w:spacing w:after="0" w:line="67" w:lineRule="exact"/>
        <w:rPr>
          <w:rFonts w:ascii="Times New Roman" w:cs="Times New Roman" w:eastAsia="Times New Roman" w:hAnsi="Times New Roman"/>
          <w:sz w:val="17"/>
          <w:szCs w:val="17"/>
          <w:color w:val="auto"/>
        </w:rPr>
      </w:pPr>
    </w:p>
    <w:p>
      <w:pPr>
        <w:ind w:left="460" w:right="280" w:hanging="332"/>
        <w:spacing w:after="0" w:line="282"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shown represent total capital commitments as of March 31, 2024. Certain of our recent vintage funds are currently in fundraising and total capital commitments are subject to change.</w:t>
      </w:r>
    </w:p>
    <w:p>
      <w:pPr>
        <w:spacing w:after="0" w:line="53" w:lineRule="exact"/>
        <w:rPr>
          <w:rFonts w:ascii="Times New Roman" w:cs="Times New Roman" w:eastAsia="Times New Roman" w:hAnsi="Times New Roman"/>
          <w:sz w:val="18"/>
          <w:szCs w:val="18"/>
          <w:color w:val="auto"/>
        </w:rPr>
      </w:pPr>
    </w:p>
    <w:p>
      <w:pPr>
        <w:ind w:left="460" w:right="260" w:hanging="332"/>
        <w:spacing w:after="0" w:line="282"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are included when all investments have been realized. There may be remaining fair value and net accrued carry where there are outstanding escrow balances or undistributed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38823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16115" cy="3882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Credit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our Global Credit segment:</w:t>
      </w:r>
    </w:p>
    <w:p>
      <w:pPr>
        <w:spacing w:after="0" w:line="262"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8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00" w:type="dxa"/>
            <w:vAlign w:val="bottom"/>
          </w:tcPr>
          <w:p>
            <w:pPr>
              <w:spacing w:after="0"/>
              <w:rPr>
                <w:sz w:val="16"/>
                <w:szCs w:val="16"/>
                <w:color w:val="auto"/>
              </w:rPr>
            </w:pPr>
          </w:p>
        </w:tc>
        <w:tc>
          <w:tcPr>
            <w:tcW w:w="8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Pr>
          <w:p>
            <w:pPr>
              <w:spacing w:after="0"/>
              <w:rPr>
                <w:sz w:val="19"/>
                <w:szCs w:val="19"/>
                <w:color w:val="auto"/>
              </w:rPr>
            </w:pPr>
          </w:p>
        </w:tc>
        <w:tc>
          <w:tcPr>
            <w:tcW w:w="7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spacing w:after="0"/>
              <w:rPr>
                <w:sz w:val="19"/>
                <w:szCs w:val="19"/>
                <w:color w:val="auto"/>
              </w:rPr>
            </w:pPr>
          </w:p>
        </w:tc>
        <w:tc>
          <w:tcPr>
            <w:tcW w:w="5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Segment Revenues</w:t>
            </w: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Fund level fee revenues</w:t>
            </w: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Fund management fees</w:t>
            </w: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7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14.3</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43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Portfolio advisory and transaction fees, net and other</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700" w:type="dxa"/>
            <w:vAlign w:val="bottom"/>
          </w:tcPr>
          <w:p>
            <w:pPr>
              <w:spacing w:after="0"/>
              <w:rPr>
                <w:sz w:val="23"/>
                <w:szCs w:val="23"/>
                <w:color w:val="auto"/>
              </w:rPr>
            </w:pPr>
          </w:p>
        </w:tc>
        <w:tc>
          <w:tcPr>
            <w:tcW w:w="8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8.6</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43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Fee related performance revenues</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700" w:type="dxa"/>
            <w:vAlign w:val="bottom"/>
          </w:tcPr>
          <w:p>
            <w:pPr>
              <w:spacing w:after="0"/>
              <w:rPr>
                <w:sz w:val="23"/>
                <w:szCs w:val="23"/>
                <w:color w:val="auto"/>
              </w:rPr>
            </w:pPr>
          </w:p>
        </w:tc>
        <w:tc>
          <w:tcPr>
            <w:tcW w:w="8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5.8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438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Total fund level fee revenues</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700" w:type="dxa"/>
            <w:vAlign w:val="bottom"/>
          </w:tcPr>
          <w:p>
            <w:pPr>
              <w:spacing w:after="0"/>
              <w:rPr>
                <w:sz w:val="23"/>
                <w:szCs w:val="23"/>
                <w:color w:val="auto"/>
              </w:rPr>
            </w:pPr>
          </w:p>
        </w:tc>
        <w:tc>
          <w:tcPr>
            <w:tcW w:w="8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28.7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4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Realized performance revenues</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700" w:type="dxa"/>
            <w:vAlign w:val="bottom"/>
          </w:tcPr>
          <w:p>
            <w:pPr>
              <w:spacing w:after="0"/>
              <w:rPr>
                <w:sz w:val="23"/>
                <w:szCs w:val="23"/>
                <w:color w:val="auto"/>
              </w:rPr>
            </w:pPr>
          </w:p>
        </w:tc>
        <w:tc>
          <w:tcPr>
            <w:tcW w:w="8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8"/>
              </w:rPr>
              <w:t>(27.1)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0" w:type="dxa"/>
            <w:vAlign w:val="bottom"/>
          </w:tcPr>
          <w:p>
            <w:pPr>
              <w:spacing w:after="0"/>
              <w:rPr>
                <w:sz w:val="1"/>
                <w:szCs w:val="1"/>
                <w:color w:val="auto"/>
              </w:rPr>
            </w:pPr>
          </w:p>
        </w:tc>
      </w:tr>
      <w:tr>
        <w:trPr>
          <w:trHeight w:val="270"/>
        </w:trPr>
        <w:tc>
          <w:tcPr>
            <w:tcW w:w="4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Realized principal investment income</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700" w:type="dxa"/>
            <w:vAlign w:val="bottom"/>
          </w:tcPr>
          <w:p>
            <w:pPr>
              <w:spacing w:after="0"/>
              <w:rPr>
                <w:sz w:val="23"/>
                <w:szCs w:val="23"/>
                <w:color w:val="auto"/>
              </w:rPr>
            </w:pPr>
          </w:p>
        </w:tc>
        <w:tc>
          <w:tcPr>
            <w:tcW w:w="8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4.8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4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700" w:type="dxa"/>
            <w:vAlign w:val="bottom"/>
          </w:tcPr>
          <w:p>
            <w:pPr>
              <w:spacing w:after="0"/>
              <w:rPr>
                <w:sz w:val="23"/>
                <w:szCs w:val="23"/>
                <w:color w:val="auto"/>
              </w:rPr>
            </w:pPr>
          </w:p>
        </w:tc>
        <w:tc>
          <w:tcPr>
            <w:tcW w:w="8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3.5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700" w:type="dxa"/>
            <w:vAlign w:val="bottom"/>
          </w:tcPr>
          <w:p>
            <w:pPr>
              <w:spacing w:after="0"/>
              <w:rPr>
                <w:sz w:val="23"/>
                <w:szCs w:val="23"/>
                <w:color w:val="auto"/>
              </w:rPr>
            </w:pPr>
          </w:p>
        </w:tc>
        <w:tc>
          <w:tcPr>
            <w:tcW w:w="8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9.9</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Segment Expenses</w:t>
            </w: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700" w:type="dxa"/>
            <w:vAlign w:val="bottom"/>
          </w:tcPr>
          <w:p>
            <w:pPr>
              <w:spacing w:after="0"/>
              <w:rPr>
                <w:sz w:val="23"/>
                <w:szCs w:val="23"/>
                <w:color w:val="auto"/>
              </w:rPr>
            </w:pPr>
          </w:p>
        </w:tc>
        <w:tc>
          <w:tcPr>
            <w:tcW w:w="8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(3.6)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bl>
    <w:p>
      <w:pPr>
        <w:sectPr>
          <w:pgSz w:w="11900" w:h="16838" w:orient="portrait"/>
          <w:cols w:equalWidth="0" w:num="1">
            <w:col w:w="9200"/>
          </w:cols>
          <w:pgMar w:left="1320" w:top="108" w:right="1379" w:bottom="0" w:gutter="0" w:footer="0" w:header="0"/>
        </w:sectPr>
      </w:pPr>
    </w:p>
    <w:bookmarkStart w:id="83" w:name="page84"/>
    <w:bookmarkEnd w:id="83"/>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6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Realized performance revenues related compensation</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0" w:type="dxa"/>
            <w:vAlign w:val="bottom"/>
          </w:tcPr>
          <w:p>
            <w:pPr>
              <w:spacing w:after="0"/>
              <w:rPr>
                <w:sz w:val="1"/>
                <w:szCs w:val="1"/>
                <w:color w:val="auto"/>
              </w:rPr>
            </w:pPr>
          </w:p>
        </w:tc>
      </w:tr>
      <w:tr>
        <w:trPr>
          <w:trHeight w:val="208"/>
        </w:trPr>
        <w:tc>
          <w:tcPr>
            <w:tcW w:w="468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37"/>
        </w:trPr>
        <w:tc>
          <w:tcPr>
            <w:tcW w:w="468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General, administrative, and other indirect expenses</w:t>
            </w: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8"/>
        </w:trPr>
        <w:tc>
          <w:tcPr>
            <w:tcW w:w="46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4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4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expenses</w:t>
            </w:r>
          </w:p>
        </w:tc>
        <w:tc>
          <w:tcPr>
            <w:tcW w:w="3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70"/>
        </w:trPr>
        <w:tc>
          <w:tcPr>
            <w:tcW w:w="46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Distributable Earnings</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82.1</w:t>
            </w:r>
          </w:p>
        </w:tc>
        <w:tc>
          <w:tcPr>
            <w:tcW w:w="60" w:type="dxa"/>
            <w:vAlign w:val="bottom"/>
          </w:tcPr>
          <w:p>
            <w:pPr>
              <w:spacing w:after="0"/>
              <w:rPr>
                <w:sz w:val="23"/>
                <w:szCs w:val="23"/>
                <w:color w:val="auto"/>
              </w:rPr>
            </w:pPr>
          </w:p>
        </w:tc>
        <w:tc>
          <w:tcPr>
            <w:tcW w:w="4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68.9</w:t>
            </w:r>
          </w:p>
        </w:tc>
        <w:tc>
          <w:tcPr>
            <w:tcW w:w="60" w:type="dxa"/>
            <w:vAlign w:val="bottom"/>
          </w:tcPr>
          <w:p>
            <w:pPr>
              <w:spacing w:after="0"/>
              <w:rPr>
                <w:sz w:val="23"/>
                <w:szCs w:val="23"/>
                <w:color w:val="auto"/>
              </w:rPr>
            </w:pP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w:t>
            </w:r>
          </w:p>
        </w:tc>
        <w:tc>
          <w:tcPr>
            <w:tcW w:w="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19 %</w:t>
            </w:r>
          </w:p>
        </w:tc>
        <w:tc>
          <w:tcPr>
            <w:tcW w:w="0" w:type="dxa"/>
            <w:vAlign w:val="bottom"/>
          </w:tcPr>
          <w:p>
            <w:pPr>
              <w:spacing w:after="0"/>
              <w:rPr>
                <w:sz w:val="1"/>
                <w:szCs w:val="1"/>
                <w:color w:val="auto"/>
              </w:rPr>
            </w:pPr>
          </w:p>
        </w:tc>
      </w:tr>
      <w:tr>
        <w:trPr>
          <w:trHeight w:val="270"/>
        </w:trPr>
        <w:tc>
          <w:tcPr>
            <w:tcW w:w="4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 Realized Net Performance Revenues</w:t>
            </w:r>
          </w:p>
        </w:tc>
        <w:tc>
          <w:tcPr>
            <w:tcW w:w="3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0" w:type="dxa"/>
            <w:vAlign w:val="bottom"/>
          </w:tcPr>
          <w:p>
            <w:pPr>
              <w:spacing w:after="0"/>
              <w:rPr>
                <w:sz w:val="1"/>
                <w:szCs w:val="1"/>
                <w:color w:val="auto"/>
              </w:rPr>
            </w:pPr>
          </w:p>
        </w:tc>
      </w:tr>
      <w:tr>
        <w:trPr>
          <w:trHeight w:val="270"/>
        </w:trPr>
        <w:tc>
          <w:tcPr>
            <w:tcW w:w="4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 Realized Principal Investment Income</w:t>
            </w:r>
          </w:p>
        </w:tc>
        <w:tc>
          <w:tcPr>
            <w:tcW w:w="3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4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 Net Interest</w:t>
            </w:r>
          </w:p>
        </w:tc>
        <w:tc>
          <w:tcPr>
            <w:tcW w:w="3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46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Fee Related Earnings</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71.2</w:t>
            </w:r>
          </w:p>
        </w:tc>
        <w:tc>
          <w:tcPr>
            <w:tcW w:w="60" w:type="dxa"/>
            <w:vAlign w:val="bottom"/>
          </w:tcPr>
          <w:p>
            <w:pPr>
              <w:spacing w:after="0"/>
              <w:rPr>
                <w:sz w:val="23"/>
                <w:szCs w:val="23"/>
                <w:color w:val="auto"/>
              </w:rPr>
            </w:pPr>
          </w:p>
        </w:tc>
        <w:tc>
          <w:tcPr>
            <w:tcW w:w="4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47.9</w:t>
            </w:r>
          </w:p>
        </w:tc>
        <w:tc>
          <w:tcPr>
            <w:tcW w:w="60" w:type="dxa"/>
            <w:vAlign w:val="bottom"/>
          </w:tcPr>
          <w:p>
            <w:pPr>
              <w:spacing w:after="0"/>
              <w:rPr>
                <w:sz w:val="23"/>
                <w:szCs w:val="23"/>
                <w:color w:val="auto"/>
              </w:rPr>
            </w:pP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23.3</w:t>
            </w:r>
          </w:p>
        </w:tc>
        <w:tc>
          <w:tcPr>
            <w:tcW w:w="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49 %</w:t>
            </w:r>
          </w:p>
        </w:tc>
        <w:tc>
          <w:tcPr>
            <w:tcW w:w="0" w:type="dxa"/>
            <w:vAlign w:val="bottom"/>
          </w:tcPr>
          <w:p>
            <w:pPr>
              <w:spacing w:after="0"/>
              <w:rPr>
                <w:sz w:val="1"/>
                <w:szCs w:val="1"/>
                <w:color w:val="auto"/>
              </w:rPr>
            </w:pPr>
          </w:p>
        </w:tc>
      </w:tr>
      <w:tr>
        <w:trPr>
          <w:trHeight w:val="154"/>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-4671060</wp:posOffset>
            </wp:positionV>
            <wp:extent cx="7016115" cy="51796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16115" cy="5179695"/>
                    </a:xfrm>
                    <a:prstGeom prst="rect">
                      <a:avLst/>
                    </a:prstGeom>
                    <a:noFill/>
                  </pic:spPr>
                </pic:pic>
              </a:graphicData>
            </a:graphic>
          </wp:anchor>
        </w:drawing>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52539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16115" cy="5253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w:t>
      </w:r>
    </w:p>
    <w:p>
      <w:pPr>
        <w:spacing w:after="0" w:line="229"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Distributable Earnings increased $13.2 million for the three months ended March 31, 2024 as compared to the three months ended March 31, 2023. The following table provides the components of the changes in Distributable Earnings for the three months ended March 31, 2024:</w:t>
      </w:r>
    </w:p>
    <w:p>
      <w:pPr>
        <w:spacing w:after="0" w:line="145"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3"/>
        </w:trPr>
        <w:tc>
          <w:tcPr>
            <w:tcW w:w="4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50"/>
        </w:trPr>
        <w:tc>
          <w:tcPr>
            <w:tcW w:w="44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2024 v. 2023</w:t>
            </w:r>
          </w:p>
        </w:tc>
      </w:tr>
      <w:tr>
        <w:trPr>
          <w:trHeight w:val="250"/>
        </w:trPr>
        <w:tc>
          <w:tcPr>
            <w:tcW w:w="4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(Dollars in millions)</w:t>
            </w:r>
          </w:p>
        </w:tc>
      </w:tr>
      <w:tr>
        <w:trPr>
          <w:trHeight w:val="270"/>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Distributable Earnings, March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r>
      <w:tr>
        <w:trPr>
          <w:trHeight w:val="270"/>
        </w:trPr>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Increases (decreases):</w:t>
            </w: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0"/>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Increase in fee related earnings</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70"/>
        </w:trPr>
        <w:tc>
          <w:tcPr>
            <w:tcW w:w="4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Decrease in realized net performance revenues</w:t>
            </w:r>
          </w:p>
        </w:tc>
        <w:tc>
          <w:tcPr>
            <w:tcW w:w="1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70"/>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Increase in realized principal investment income</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70"/>
        </w:trPr>
        <w:tc>
          <w:tcPr>
            <w:tcW w:w="44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Increase in net interest</w:t>
            </w:r>
          </w:p>
        </w:tc>
        <w:tc>
          <w:tcPr>
            <w:tcW w:w="1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50"/>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increase</w:t>
            </w:r>
          </w:p>
        </w:tc>
        <w:tc>
          <w:tcPr>
            <w:tcW w:w="1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23"/>
        </w:trPr>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Distributable Earnings, March 31,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w:t>
            </w:r>
          </w:p>
        </w:tc>
      </w:tr>
      <w:tr>
        <w:trPr>
          <w:trHeight w:val="20"/>
        </w:trPr>
        <w:tc>
          <w:tcPr>
            <w:tcW w:w="4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right="26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Realized Net Performance Revenues</w:t>
      </w:r>
      <w:r>
        <w:rPr>
          <w:rFonts w:ascii="Times New Roman" w:cs="Times New Roman" w:eastAsia="Times New Roman" w:hAnsi="Times New Roman"/>
          <w:sz w:val="18"/>
          <w:szCs w:val="18"/>
          <w:color w:val="auto"/>
        </w:rPr>
        <w:t>. Realized net performance revenues decreased $14.7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2024 as compared to the three months ended March 31, 2023, primarily due to a decrease in realized net performance revenues generated by CCOF I and CSP II.</w:t>
      </w:r>
    </w:p>
    <w:p>
      <w:pPr>
        <w:spacing w:after="0" w:line="173" w:lineRule="exact"/>
        <w:rPr>
          <w:sz w:val="20"/>
          <w:szCs w:val="20"/>
          <w:color w:val="auto"/>
        </w:rPr>
      </w:pPr>
    </w:p>
    <w:p>
      <w:pPr>
        <w:ind w:right="10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Realized Principal Investment Income</w:t>
      </w:r>
      <w:r>
        <w:rPr>
          <w:rFonts w:ascii="Times New Roman" w:cs="Times New Roman" w:eastAsia="Times New Roman" w:hAnsi="Times New Roman"/>
          <w:sz w:val="18"/>
          <w:szCs w:val="18"/>
          <w:color w:val="auto"/>
        </w:rPr>
        <w:t>. Realized principal investment income increased $4.8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2024 as compared to the three months ended March 31, 2023, primarily driven by higher realized principal investment income from our U.S. CLOs and our business development companies.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Fee Related Earnings</w:t>
      </w:r>
    </w:p>
    <w:p>
      <w:pPr>
        <w:spacing w:after="0" w:line="22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Fee Related Earnings increased $23.3 million for the three months ended March 31, 2024 as compared to the three months ended March 31, 2023. The following table provides the components of the changes in Fee Related Earnings for the three months ended March 31, 2024:</w:t>
      </w:r>
    </w:p>
    <w:p>
      <w:pPr>
        <w:sectPr>
          <w:pgSz w:w="11900" w:h="16859" w:orient="portrait"/>
          <w:cols w:equalWidth="0" w:num="1">
            <w:col w:w="9220"/>
          </w:cols>
          <w:pgMar w:left="1320" w:top="111" w:right="1359" w:bottom="0" w:gutter="0" w:footer="0" w:header="0"/>
        </w:sectPr>
      </w:pPr>
    </w:p>
    <w:bookmarkStart w:id="84" w:name="page85"/>
    <w:bookmarkEnd w:id="8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8080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16115" cy="3808095"/>
                    </a:xfrm>
                    <a:prstGeom prst="rect">
                      <a:avLst/>
                    </a:prstGeom>
                    <a:noFill/>
                  </pic:spPr>
                </pic:pic>
              </a:graphicData>
            </a:graphic>
          </wp:anchor>
        </w:drawing>
      </w:r>
    </w:p>
    <w:tbl>
      <w:tblPr>
        <w:tblLayout w:type="fixed"/>
        <w:tblInd w:w="114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3"/>
        </w:trPr>
        <w:tc>
          <w:tcPr>
            <w:tcW w:w="5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50"/>
        </w:trPr>
        <w:tc>
          <w:tcPr>
            <w:tcW w:w="5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2024 v. 2023</w:t>
            </w:r>
          </w:p>
        </w:tc>
      </w:tr>
      <w:tr>
        <w:trPr>
          <w:trHeight w:val="250"/>
        </w:trPr>
        <w:tc>
          <w:tcPr>
            <w:tcW w:w="5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70"/>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Fee Related Earnings, March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r>
      <w:tr>
        <w:trPr>
          <w:trHeight w:val="270"/>
        </w:trPr>
        <w:tc>
          <w:tcPr>
            <w:tcW w:w="5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Increases (decreases):</w:t>
            </w: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0"/>
        </w:trPr>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Increase in fee revenues</w:t>
            </w: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70"/>
        </w:trPr>
        <w:tc>
          <w:tcPr>
            <w:tcW w:w="5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Decrease in cash-based compensation and benefits</w:t>
            </w:r>
          </w:p>
        </w:tc>
        <w:tc>
          <w:tcPr>
            <w:tcW w:w="14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70"/>
        </w:trPr>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Increase in general, administrative and other indirect expenses</w:t>
            </w: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70"/>
        </w:trPr>
        <w:tc>
          <w:tcPr>
            <w:tcW w:w="51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All other changes</w:t>
            </w:r>
          </w:p>
        </w:tc>
        <w:tc>
          <w:tcPr>
            <w:tcW w:w="1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50"/>
        </w:trPr>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increase</w:t>
            </w: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23"/>
        </w:trPr>
        <w:tc>
          <w:tcPr>
            <w:tcW w:w="5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Fee Related Earnings, March 31,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w:t>
            </w: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6625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016115" cy="662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8" w:lineRule="exact"/>
        <w:rPr>
          <w:sz w:val="20"/>
          <w:szCs w:val="20"/>
          <w:color w:val="auto"/>
        </w:rPr>
      </w:pPr>
    </w:p>
    <w:p>
      <w:pPr>
        <w:ind w:right="6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Fee Revenues</w:t>
      </w:r>
      <w:r>
        <w:rPr>
          <w:rFonts w:ascii="Times New Roman" w:cs="Times New Roman" w:eastAsia="Times New Roman" w:hAnsi="Times New Roman"/>
          <w:sz w:val="18"/>
          <w:szCs w:val="18"/>
          <w:color w:val="auto"/>
        </w:rPr>
        <w:t>. Fee revenues increased $28.7 million for the three months ended March 31, 2024 as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2023, due to the following:</w:t>
      </w:r>
    </w:p>
    <w:p>
      <w:pPr>
        <w:spacing w:after="0" w:line="89"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3"/>
        </w:trPr>
        <w:tc>
          <w:tcPr>
            <w:tcW w:w="4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50"/>
        </w:trPr>
        <w:tc>
          <w:tcPr>
            <w:tcW w:w="48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2024 v. 2023</w:t>
            </w:r>
          </w:p>
        </w:tc>
      </w:tr>
      <w:tr>
        <w:trPr>
          <w:trHeight w:val="250"/>
        </w:trPr>
        <w:tc>
          <w:tcPr>
            <w:tcW w:w="4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70"/>
        </w:trPr>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Higher fund management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70"/>
        </w:trPr>
        <w:tc>
          <w:tcPr>
            <w:tcW w:w="4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Higher portfolio advisory and transaction fees, net and other</w:t>
            </w:r>
          </w:p>
        </w:tc>
        <w:tc>
          <w:tcPr>
            <w:tcW w:w="1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70"/>
        </w:trPr>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Higher fee related performance revenues</w:t>
            </w:r>
          </w:p>
        </w:tc>
        <w:tc>
          <w:tcPr>
            <w:tcW w:w="1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23"/>
        </w:trPr>
        <w:tc>
          <w:tcPr>
            <w:tcW w:w="4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increase in fee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0"/>
        </w:trPr>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increase in fund management fees for the three months ended March 31, 2024 as compared to the three months ended March 31, 2023 was primarily driven by closed reinsurance transactions at Fortitude which increased the fee basis under the strategic advisory services agreement, as well as increases from investment activity in CTAC and CCOF III.</w:t>
      </w:r>
    </w:p>
    <w:p>
      <w:pPr>
        <w:spacing w:after="0" w:line="176"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The increase in portfolio advisory and transaction fees, net and other for the three months ended March 31, 2024 as compared to the three months ended March 31, 2023 was primarily driven by an increase in transaction fees in Carlyle Global Capital Markets. The recognition of transaction fees and capital markets fees can be volatile as they are primarily generated by investment activity.</w:t>
      </w:r>
    </w:p>
    <w:p>
      <w:pPr>
        <w:spacing w:after="0" w:line="180"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The increase in fee related performance revenues for the three months ended March 31, 2024 as compared to the three months ended March 31, 2023 was due to higher fee related performance revenues from CTAC.</w:t>
      </w:r>
    </w:p>
    <w:p>
      <w:pPr>
        <w:spacing w:after="0" w:line="160"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General, administrative and other indirect expenses</w:t>
      </w:r>
      <w:r>
        <w:rPr>
          <w:rFonts w:ascii="Times New Roman" w:cs="Times New Roman" w:eastAsia="Times New Roman" w:hAnsi="Times New Roman"/>
          <w:sz w:val="18"/>
          <w:szCs w:val="18"/>
          <w:color w:val="auto"/>
        </w:rPr>
        <w:t>. General, administrative and other indirect expenses increased $7.9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2024 as compared to the three months ended March 31, 2023, primarily due to increases in professional fees, rent and other office expenses, and foreign exchange losses during the three months ended March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Fee-earning AUM</w:t>
      </w:r>
    </w:p>
    <w:p>
      <w:pPr>
        <w:spacing w:after="0" w:line="229" w:lineRule="exact"/>
        <w:rPr>
          <w:sz w:val="20"/>
          <w:szCs w:val="20"/>
          <w:color w:val="auto"/>
        </w:rPr>
      </w:pPr>
    </w:p>
    <w:p>
      <w:pPr>
        <w:ind w:right="360" w:firstLine="445"/>
        <w:spacing w:after="0" w:line="282" w:lineRule="auto"/>
        <w:rPr>
          <w:sz w:val="20"/>
          <w:szCs w:val="20"/>
          <w:color w:val="auto"/>
        </w:rPr>
      </w:pPr>
      <w:r>
        <w:rPr>
          <w:rFonts w:ascii="Times New Roman" w:cs="Times New Roman" w:eastAsia="Times New Roman" w:hAnsi="Times New Roman"/>
          <w:sz w:val="18"/>
          <w:szCs w:val="18"/>
          <w:color w:val="auto"/>
        </w:rPr>
        <w:t>Fee-earning AUM is presented below for each period together with the components of change during each respective period.</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72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Pr>
          <w:p>
            <w:pPr>
              <w:spacing w:after="0"/>
              <w:rPr>
                <w:sz w:val="18"/>
                <w:szCs w:val="18"/>
                <w:color w:val="auto"/>
              </w:rPr>
            </w:pPr>
          </w:p>
        </w:tc>
        <w:tc>
          <w:tcPr>
            <w:tcW w:w="7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Global Credit</w:t>
            </w:r>
          </w:p>
        </w:tc>
        <w:tc>
          <w:tcPr>
            <w:tcW w:w="1480" w:type="dxa"/>
            <w:vAlign w:val="bottom"/>
          </w:tcPr>
          <w:p>
            <w:pPr>
              <w:spacing w:after="0"/>
              <w:rPr>
                <w:sz w:val="19"/>
                <w:szCs w:val="19"/>
                <w:color w:val="auto"/>
              </w:rPr>
            </w:pPr>
          </w:p>
        </w:tc>
        <w:tc>
          <w:tcPr>
            <w:tcW w:w="2460" w:type="dxa"/>
            <w:vAlign w:val="bottom"/>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76"/>
        </w:trPr>
        <w:tc>
          <w:tcPr>
            <w:tcW w:w="5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Components of Fee-earning AUM</w:t>
            </w:r>
            <w:r>
              <w:rPr>
                <w:rFonts w:ascii="Times New Roman" w:cs="Times New Roman" w:eastAsia="Times New Roman" w:hAnsi="Times New Roman"/>
                <w:sz w:val="21"/>
                <w:szCs w:val="21"/>
                <w:b w:val="1"/>
                <w:bCs w:val="1"/>
                <w:color w:val="auto"/>
                <w:vertAlign w:val="superscript"/>
              </w:rPr>
              <w:t>(1)</w:t>
            </w:r>
          </w:p>
        </w:tc>
        <w:tc>
          <w:tcPr>
            <w:tcW w:w="14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10"/>
        </w:trPr>
        <w:tc>
          <w:tcPr>
            <w:tcW w:w="5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Fee-earning AUM based on capital commitments</w:t>
            </w: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2,369</w:t>
            </w:r>
          </w:p>
        </w:tc>
        <w:tc>
          <w:tcPr>
            <w:tcW w:w="6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6,100</w:t>
            </w:r>
          </w:p>
        </w:tc>
      </w:tr>
      <w:tr>
        <w:trPr>
          <w:trHeight w:val="257"/>
        </w:trPr>
        <w:tc>
          <w:tcPr>
            <w:tcW w:w="5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Fee-earning AUM based on invested capital</w:t>
            </w:r>
          </w:p>
        </w:tc>
        <w:tc>
          <w:tcPr>
            <w:tcW w:w="148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17,361</w:t>
            </w:r>
          </w:p>
        </w:tc>
        <w:tc>
          <w:tcPr>
            <w:tcW w:w="6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14,263</w:t>
            </w:r>
          </w:p>
        </w:tc>
      </w:tr>
      <w:tr>
        <w:trPr>
          <w:trHeight w:val="256"/>
        </w:trPr>
        <w:tc>
          <w:tcPr>
            <w:tcW w:w="5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Fee-earning AUM based on collateral balances, at par</w:t>
            </w:r>
          </w:p>
        </w:tc>
        <w:tc>
          <w:tcPr>
            <w:tcW w:w="148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48,072</w:t>
            </w:r>
          </w:p>
        </w:tc>
        <w:tc>
          <w:tcPr>
            <w:tcW w:w="6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46,268</w:t>
            </w:r>
          </w:p>
        </w:tc>
      </w:tr>
      <w:tr>
        <w:trPr>
          <w:trHeight w:val="256"/>
        </w:trPr>
        <w:tc>
          <w:tcPr>
            <w:tcW w:w="5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Fee-earning AUM based on net asset value</w:t>
            </w:r>
          </w:p>
        </w:tc>
        <w:tc>
          <w:tcPr>
            <w:tcW w:w="148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2,110</w:t>
            </w:r>
          </w:p>
        </w:tc>
        <w:tc>
          <w:tcPr>
            <w:tcW w:w="6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w:t>
            </w:r>
          </w:p>
        </w:tc>
      </w:tr>
      <w:tr>
        <w:trPr>
          <w:trHeight w:val="314"/>
        </w:trPr>
        <w:tc>
          <w:tcPr>
            <w:tcW w:w="5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Fee-earning AUM based on fair value and other</w:t>
            </w:r>
            <w:r>
              <w:rPr>
                <w:rFonts w:ascii="Times New Roman" w:cs="Times New Roman" w:eastAsia="Times New Roman" w:hAnsi="Times New Roman"/>
                <w:sz w:val="21"/>
                <w:szCs w:val="21"/>
                <w:color w:val="auto"/>
                <w:vertAlign w:val="superscript"/>
              </w:rPr>
              <w:t>(2)</w:t>
            </w:r>
          </w:p>
        </w:tc>
        <w:tc>
          <w:tcPr>
            <w:tcW w:w="148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83,516</w:t>
            </w:r>
          </w:p>
        </w:tc>
        <w:tc>
          <w:tcPr>
            <w:tcW w:w="6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56,709</w:t>
            </w:r>
          </w:p>
        </w:tc>
      </w:tr>
    </w:tbl>
    <w:p>
      <w:pPr>
        <w:sectPr>
          <w:pgSz w:w="11900" w:h="16996" w:orient="portrait"/>
          <w:cols w:equalWidth="0" w:num="1">
            <w:col w:w="9240"/>
          </w:cols>
          <w:pgMar w:left="1320" w:top="225" w:right="1339" w:bottom="0" w:gutter="0" w:footer="0" w:header="0"/>
        </w:sectPr>
      </w:pPr>
    </w:p>
    <w:bookmarkStart w:id="85" w:name="page86"/>
    <w:bookmarkEnd w:id="8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4364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16115" cy="243649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84"/>
        </w:trPr>
        <w:tc>
          <w:tcPr>
            <w:tcW w:w="6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Fee-earning AUM</w:t>
            </w:r>
          </w:p>
        </w:tc>
        <w:tc>
          <w:tcPr>
            <w:tcW w:w="4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153,428</w:t>
            </w:r>
          </w:p>
        </w:tc>
        <w:tc>
          <w:tcPr>
            <w:tcW w:w="4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125,300</w:t>
            </w:r>
          </w:p>
        </w:tc>
        <w:tc>
          <w:tcPr>
            <w:tcW w:w="0" w:type="dxa"/>
            <w:vAlign w:val="bottom"/>
          </w:tcPr>
          <w:p>
            <w:pPr>
              <w:spacing w:after="0"/>
              <w:rPr>
                <w:sz w:val="1"/>
                <w:szCs w:val="1"/>
                <w:color w:val="auto"/>
              </w:rPr>
            </w:pPr>
          </w:p>
        </w:tc>
      </w:tr>
      <w:tr>
        <w:trPr>
          <w:trHeight w:val="196"/>
        </w:trPr>
        <w:tc>
          <w:tcPr>
            <w:tcW w:w="61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Annualized Management Fee Rate</w:t>
            </w:r>
            <w:r>
              <w:rPr>
                <w:rFonts w:ascii="Times New Roman" w:cs="Times New Roman" w:eastAsia="Times New Roman" w:hAnsi="Times New Roman"/>
                <w:sz w:val="21"/>
                <w:szCs w:val="21"/>
                <w:color w:val="auto"/>
                <w:vertAlign w:val="superscript"/>
              </w:rPr>
              <w:t>(3)</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2"/>
        </w:trPr>
        <w:tc>
          <w:tcPr>
            <w:tcW w:w="61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0.35 %</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0.40 %</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420" w:hanging="413"/>
        <w:spacing w:after="0"/>
        <w:tabs>
          <w:tab w:leader="none" w:pos="4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additional information concerning the components of Fee-earning AUM, see “—Key Financial Measures—Operating Metrics.”</w:t>
      </w:r>
    </w:p>
    <w:p>
      <w:pPr>
        <w:spacing w:after="0" w:line="72" w:lineRule="exact"/>
        <w:rPr>
          <w:rFonts w:ascii="Times New Roman" w:cs="Times New Roman" w:eastAsia="Times New Roman" w:hAnsi="Times New Roman"/>
          <w:sz w:val="16"/>
          <w:szCs w:val="16"/>
          <w:color w:val="auto"/>
        </w:rPr>
      </w:pPr>
    </w:p>
    <w:p>
      <w:pPr>
        <w:ind w:left="420" w:right="220" w:hanging="413"/>
        <w:spacing w:after="0" w:line="280" w:lineRule="auto"/>
        <w:tabs>
          <w:tab w:leader="none" w:pos="4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fair value of Fortitude’s general account assets covered by the strategic advisory services agreement and funds with fees based on gross asset value.</w:t>
      </w:r>
    </w:p>
    <w:p>
      <w:pPr>
        <w:spacing w:after="0" w:line="16" w:lineRule="exact"/>
        <w:rPr>
          <w:rFonts w:ascii="Times New Roman" w:cs="Times New Roman" w:eastAsia="Times New Roman" w:hAnsi="Times New Roman"/>
          <w:sz w:val="16"/>
          <w:szCs w:val="16"/>
          <w:color w:val="auto"/>
        </w:rPr>
      </w:pPr>
    </w:p>
    <w:p>
      <w:pPr>
        <w:ind w:left="420" w:right="40" w:hanging="413"/>
        <w:spacing w:after="0" w:line="263" w:lineRule="auto"/>
        <w:tabs>
          <w:tab w:leader="none" w:pos="4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annualized fund management fees divided by the average of the beginning of year and each quarter end’s Fee-earning AUM in the reporting period. Catch-up management fees were excluded in the calculation of the annualized fund management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79971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016115" cy="799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provides the period to period rollforward of Fee-earning AUM.</w:t>
      </w:r>
    </w:p>
    <w:p>
      <w:pPr>
        <w:spacing w:after="0" w:line="280"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5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53" w:lineRule="exact"/>
        <w:rPr>
          <w:sz w:val="20"/>
          <w:szCs w:val="20"/>
          <w:color w:val="auto"/>
        </w:rPr>
      </w:pPr>
    </w:p>
    <w:tbl>
      <w:tblPr>
        <w:tblLayout w:type="fixed"/>
        <w:tblInd w:w="1200" w:type="dxa"/>
        <w:tblCellMar>
          <w:top w:w="0" w:type="dxa"/>
          <w:left w:w="0" w:type="dxa"/>
          <w:bottom w:w="0" w:type="dxa"/>
          <w:right w:w="0" w:type="dxa"/>
        </w:tblCellMar>
      </w:tblPr>
      <w:tr>
        <w:trPr>
          <w:trHeight w:val="205"/>
        </w:trPr>
        <w:tc>
          <w:tcPr>
            <w:tcW w:w="4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7"/>
        </w:trPr>
        <w:tc>
          <w:tcPr>
            <w:tcW w:w="4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Global Credit</w:t>
            </w:r>
          </w:p>
        </w:tc>
        <w:tc>
          <w:tcPr>
            <w:tcW w:w="260" w:type="dxa"/>
            <w:vAlign w:val="bottom"/>
          </w:tcPr>
          <w:p>
            <w:pPr>
              <w:spacing w:after="0"/>
              <w:rPr>
                <w:sz w:val="20"/>
                <w:szCs w:val="20"/>
                <w:color w:val="auto"/>
              </w:rPr>
            </w:pPr>
          </w:p>
        </w:tc>
        <w:tc>
          <w:tcPr>
            <w:tcW w:w="204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7"/>
        </w:trPr>
        <w:tc>
          <w:tcPr>
            <w:tcW w:w="4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Fee-earning AUM Rollforward</w:t>
            </w: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70"/>
        </w:trPr>
        <w:tc>
          <w:tcPr>
            <w:tcW w:w="4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155,238</w:t>
            </w:r>
          </w:p>
        </w:tc>
        <w:tc>
          <w:tcPr>
            <w:tcW w:w="60" w:type="dxa"/>
            <w:vAlign w:val="bottom"/>
          </w:tcPr>
          <w:p>
            <w:pPr>
              <w:spacing w:after="0"/>
              <w:rPr>
                <w:sz w:val="23"/>
                <w:szCs w:val="23"/>
                <w:color w:val="auto"/>
              </w:rPr>
            </w:pP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121,229</w:t>
            </w:r>
          </w:p>
        </w:tc>
      </w:tr>
      <w:tr>
        <w:trPr>
          <w:trHeight w:val="270"/>
        </w:trPr>
        <w:tc>
          <w:tcPr>
            <w:tcW w:w="4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Inflows</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w:t>
            </w:r>
          </w:p>
        </w:tc>
      </w:tr>
      <w:tr>
        <w:trPr>
          <w:trHeight w:val="270"/>
        </w:trPr>
        <w:tc>
          <w:tcPr>
            <w:tcW w:w="4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Outflows (including realizations)</w:t>
            </w:r>
            <w:r>
              <w:rPr>
                <w:rFonts w:ascii="Times New Roman" w:cs="Times New Roman" w:eastAsia="Times New Roman" w:hAnsi="Times New Roman"/>
                <w:sz w:val="21"/>
                <w:szCs w:val="21"/>
                <w:color w:val="auto"/>
                <w:vertAlign w:val="superscript"/>
              </w:rPr>
              <w:t>(2)</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r>
      <w:tr>
        <w:trPr>
          <w:trHeight w:val="270"/>
        </w:trPr>
        <w:tc>
          <w:tcPr>
            <w:tcW w:w="4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Market Activity &amp; Other</w:t>
            </w:r>
            <w:r>
              <w:rPr>
                <w:rFonts w:ascii="Times New Roman" w:cs="Times New Roman" w:eastAsia="Times New Roman" w:hAnsi="Times New Roman"/>
                <w:sz w:val="21"/>
                <w:szCs w:val="21"/>
                <w:color w:val="auto"/>
                <w:vertAlign w:val="superscript"/>
              </w:rPr>
              <w:t>(3)</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r>
      <w:tr>
        <w:trPr>
          <w:trHeight w:val="270"/>
        </w:trPr>
        <w:tc>
          <w:tcPr>
            <w:tcW w:w="45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Foreign Exchange</w:t>
            </w:r>
            <w:r>
              <w:rPr>
                <w:rFonts w:ascii="Times New Roman" w:cs="Times New Roman" w:eastAsia="Times New Roman" w:hAnsi="Times New Roman"/>
                <w:sz w:val="21"/>
                <w:szCs w:val="21"/>
                <w:color w:val="auto"/>
                <w:vertAlign w:val="superscript"/>
              </w:rPr>
              <w:t>(4)</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6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35"/>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153,428</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125,300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right="120" w:hanging="413"/>
        <w:spacing w:after="0" w:line="260" w:lineRule="auto"/>
        <w:tabs>
          <w:tab w:leader="none" w:pos="4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Inflows represents limited partner capital raised by our carry funds or separately managed accounts for which management fees based on commitments were activated during the period, the fee-earning commitments invested in vehicles for which management fees are based on invested capital, the fee-earning collateral balance of new CLO issuances, closed reinsurance transactions at Fortitude, and gross subscriptions in our vehicles for which management fees are based on net asset value. Inflows for the three months ended March 31, 2023 include $2.4 billion of Fee-earning AUM related to closed reinsurance transactions at Fortitude. Inflows exclude fundraising amounts during the period for which fees have not yet been activated, which are referenced as Pending Fee-earning AUM.</w:t>
      </w:r>
    </w:p>
    <w:p>
      <w:pPr>
        <w:spacing w:after="0" w:line="19" w:lineRule="exact"/>
        <w:rPr>
          <w:rFonts w:ascii="Times New Roman" w:cs="Times New Roman" w:eastAsia="Times New Roman" w:hAnsi="Times New Roman"/>
          <w:sz w:val="16"/>
          <w:szCs w:val="16"/>
          <w:color w:val="auto"/>
        </w:rPr>
      </w:pPr>
    </w:p>
    <w:p>
      <w:pPr>
        <w:ind w:left="420" w:right="120" w:hanging="413"/>
        <w:spacing w:after="0" w:line="263" w:lineRule="auto"/>
        <w:tabs>
          <w:tab w:leader="none" w:pos="4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Outflows represents the impact of realizations from vehicles with management fees based on remaining invested capital at cost or fair value, changes in basis for funds where the investment period, weighted-average investment period or commitment fee period has expired during the period, reductions for funds that are no longer calling for fees, gross redemptions in our open-ended funds, and outflows from our liquid credit products. Realizations for funds earning management fees based on commitments during the period do not affect Fee-earning AUM.</w:t>
      </w:r>
    </w:p>
    <w:p>
      <w:pPr>
        <w:spacing w:after="0" w:line="17" w:lineRule="exact"/>
        <w:rPr>
          <w:rFonts w:ascii="Times New Roman" w:cs="Times New Roman" w:eastAsia="Times New Roman" w:hAnsi="Times New Roman"/>
          <w:sz w:val="16"/>
          <w:szCs w:val="16"/>
          <w:color w:val="auto"/>
        </w:rPr>
      </w:pPr>
    </w:p>
    <w:p>
      <w:pPr>
        <w:ind w:left="420" w:right="260" w:hanging="413"/>
        <w:spacing w:after="0" w:line="272" w:lineRule="auto"/>
        <w:tabs>
          <w:tab w:leader="none" w:pos="4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Activity &amp; Other represents realized and unrealized gains (losses) on portfolio investments in funds or vehicles based on the lower of cost or fair value or net asset value, activity of funds with fees based on gross asset value, and changes in the fair value of Fortitude’s general account assets covered by the strategic advisory services agreement.</w:t>
      </w:r>
    </w:p>
    <w:p>
      <w:pPr>
        <w:spacing w:after="0" w:line="8" w:lineRule="exact"/>
        <w:rPr>
          <w:rFonts w:ascii="Times New Roman" w:cs="Times New Roman" w:eastAsia="Times New Roman" w:hAnsi="Times New Roman"/>
          <w:sz w:val="16"/>
          <w:szCs w:val="16"/>
          <w:color w:val="auto"/>
        </w:rPr>
      </w:pPr>
    </w:p>
    <w:p>
      <w:pPr>
        <w:ind w:left="420" w:right="100" w:hanging="413"/>
        <w:spacing w:after="0" w:line="272" w:lineRule="auto"/>
        <w:tabs>
          <w:tab w:leader="none" w:pos="4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66"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Fee-earning AUM was $153.4 billion at March 31, 2024, a decrease of 1% from $155.2 billion at December 31, 2023, as $3.0 billion of outflows, including the outflows from our liquid credit products and realizations in funds which charge fees on invested capital, and negative market activity of $1.3 billion driven by a decrease in value of the assets covered by the strategic advisory services agreement with Fortitude, exceeded inflows of $2.8 billion for the period. Inflows included the issuance of our newest U.S. CLO and deployment in funds which charge fees on invested capital.</w:t>
      </w:r>
    </w:p>
    <w:p>
      <w:pPr>
        <w:spacing w:after="0" w:line="183"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Fee-earning AUM was $153.4 billion at March 31, 2024, an increase of $28.1 billion, or approximately 22%, compared to $125.3 billion at March 31, 2023, as inflows were only partially offset by outflows during the period. Inflows of $34.7 billion were driven by $24 billion of closed reinsurance transactions at Fortitude, investment activity in our Opportunistic Credit and Credit Strategic Solutions funds, and the closing of our six latest vintage U.S. CLOs. Outflows of $7.0 billion included realizations in funds with fees tied to invested capital, outflows from our liquid credit products, and reductions for funds that are no longer calling for management fees. The segment annualized management fee rate decreased to 0.35% at March 31, 2024 from 0.40% at March 31, 2023, primarily reflecting the impact of an increase in assets covered by the strategic advisory services agreement with Fortitude, which have a lower fee rate than other Global Credit products.</w:t>
      </w:r>
    </w:p>
    <w:p>
      <w:pPr>
        <w:sectPr>
          <w:pgSz w:w="11900" w:h="16838" w:orient="portrait"/>
          <w:cols w:equalWidth="0" w:num="1">
            <w:col w:w="9240"/>
          </w:cols>
          <w:pgMar w:left="1320" w:top="171" w:right="1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648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016115" cy="1064895"/>
                    </a:xfrm>
                    <a:prstGeom prst="rect">
                      <a:avLst/>
                    </a:prstGeom>
                    <a:noFill/>
                  </pic:spPr>
                </pic:pic>
              </a:graphicData>
            </a:graphic>
          </wp:anchor>
        </w:drawing>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90735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AUM</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provides the period to period rollforward of Total AUM.</w:t>
      </w:r>
    </w:p>
    <w:p>
      <w:pPr>
        <w:spacing w:after="0" w:line="181"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3"/>
        </w:trPr>
        <w:tc>
          <w:tcPr>
            <w:tcW w:w="5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50"/>
        </w:trPr>
        <w:tc>
          <w:tcPr>
            <w:tcW w:w="5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70"/>
        </w:trPr>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Global Credit</w:t>
            </w: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Total AUM Rollforward</w:t>
            </w: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0"/>
        </w:trPr>
        <w:tc>
          <w:tcPr>
            <w:tcW w:w="5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187,826</w:t>
            </w:r>
          </w:p>
        </w:tc>
      </w:tr>
      <w:tr>
        <w:trPr>
          <w:trHeight w:val="270"/>
        </w:trPr>
        <w:tc>
          <w:tcPr>
            <w:tcW w:w="52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Inflows</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w:t>
            </w:r>
          </w:p>
        </w:tc>
      </w:tr>
      <w:tr>
        <w:trPr>
          <w:trHeight w:val="270"/>
        </w:trPr>
        <w:tc>
          <w:tcPr>
            <w:tcW w:w="5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Outflows (including realizations)</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w:t>
            </w:r>
          </w:p>
        </w:tc>
      </w:tr>
      <w:tr>
        <w:trPr>
          <w:trHeight w:val="270"/>
        </w:trPr>
        <w:tc>
          <w:tcPr>
            <w:tcW w:w="52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Market Activity &amp; Other</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70"/>
        </w:trPr>
        <w:tc>
          <w:tcPr>
            <w:tcW w:w="5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Foreign Exchange</w:t>
            </w:r>
            <w:r>
              <w:rPr>
                <w:rFonts w:ascii="Times New Roman" w:cs="Times New Roman" w:eastAsia="Times New Roman" w:hAnsi="Times New Roman"/>
                <w:sz w:val="21"/>
                <w:szCs w:val="21"/>
                <w:color w:val="auto"/>
                <w:vertAlign w:val="superscript"/>
              </w:rPr>
              <w:t>(4)</w:t>
            </w:r>
          </w:p>
        </w:tc>
        <w:tc>
          <w:tcPr>
            <w:tcW w:w="14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23"/>
        </w:trPr>
        <w:tc>
          <w:tcPr>
            <w:tcW w:w="52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186,351</w:t>
            </w:r>
          </w:p>
        </w:tc>
      </w:tr>
      <w:tr>
        <w:trPr>
          <w:trHeight w:val="21"/>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right="140" w:hanging="413"/>
        <w:spacing w:after="0" w:line="272" w:lineRule="auto"/>
        <w:tabs>
          <w:tab w:leader="none" w:pos="4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Inflows generally reflects the impact of gross fundraising and closed reinsurance transactions at Fortitude during the period. For funds or vehicles denominated in foreign currencies, this reflects translation at the average quarterly rate, while the separately reported Fundraising metric is translated at the spot rate for each individual closing.</w:t>
      </w:r>
    </w:p>
    <w:p>
      <w:pPr>
        <w:spacing w:after="0" w:line="8" w:lineRule="exact"/>
        <w:rPr>
          <w:rFonts w:ascii="Times New Roman" w:cs="Times New Roman" w:eastAsia="Times New Roman" w:hAnsi="Times New Roman"/>
          <w:sz w:val="16"/>
          <w:szCs w:val="16"/>
          <w:color w:val="auto"/>
        </w:rPr>
      </w:pPr>
    </w:p>
    <w:p>
      <w:pPr>
        <w:ind w:left="420" w:right="120" w:hanging="413"/>
        <w:spacing w:after="0" w:line="272" w:lineRule="auto"/>
        <w:tabs>
          <w:tab w:leader="none" w:pos="4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Outflows includes distributions net of recallable or recyclable amounts in our carry funds, related co-investment vehicles, and separately managed accounts, gross redemptions in our open-ended funds, outflows from our liquid credit products, and the expiration of available capital.</w:t>
      </w:r>
    </w:p>
    <w:p>
      <w:pPr>
        <w:spacing w:after="0" w:line="8" w:lineRule="exact"/>
        <w:rPr>
          <w:rFonts w:ascii="Times New Roman" w:cs="Times New Roman" w:eastAsia="Times New Roman" w:hAnsi="Times New Roman"/>
          <w:sz w:val="16"/>
          <w:szCs w:val="16"/>
          <w:color w:val="auto"/>
        </w:rPr>
      </w:pPr>
    </w:p>
    <w:p>
      <w:pPr>
        <w:ind w:left="420" w:right="60" w:hanging="413"/>
        <w:spacing w:after="0" w:line="263" w:lineRule="auto"/>
        <w:tabs>
          <w:tab w:leader="none" w:pos="4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Activity &amp; Other generally represents realized and unrealized gains (losses) on portfolio investments in our carry funds, related co-investment vehicles, and separately managed accounts, as well as the impact of fees, expenses and non-investment income, change in gross asset value for our business development companies, changes in the fair value of Fortitude’s general account assets covered by the strategic advisory services agreement, and other changes in AUM.</w:t>
      </w:r>
    </w:p>
    <w:p>
      <w:pPr>
        <w:spacing w:after="0" w:line="30" w:lineRule="exact"/>
        <w:rPr>
          <w:rFonts w:ascii="Times New Roman" w:cs="Times New Roman" w:eastAsia="Times New Roman" w:hAnsi="Times New Roman"/>
          <w:sz w:val="16"/>
          <w:szCs w:val="16"/>
          <w:color w:val="auto"/>
        </w:rPr>
      </w:pPr>
    </w:p>
    <w:p>
      <w:pPr>
        <w:ind w:left="420" w:right="100" w:hanging="413"/>
        <w:spacing w:after="0" w:line="272" w:lineRule="auto"/>
        <w:tabs>
          <w:tab w:leader="none" w:pos="4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66"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Total AUM was $186.4 billion at March 31, 2024, a decrease of 1% compared to $187.8 billion at December 31, 2023, as outflows of $2.4 billion, primarily driven by outflows from our liquid credit products, more than offset $1.5 billion of inflows including the issuance of our newest U.S. CLO, subscriptions in CTAC, and commitments in our Credit Strategic Solutions products. Market activity of $(0.3) billion was driven by a decrease in value of the assets covered by the strategic advisory services agreement with Fortitude, partially offset by increases in the fair value of CTAC and our Credit Strategic Solutions and Opportunistic Credit funds.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 Performance Metrics</w:t>
      </w:r>
    </w:p>
    <w:p>
      <w:pPr>
        <w:spacing w:after="0" w:line="229"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Fund performance information for certain of our Global Credit funds is included throughout this discussion and analysis to facilitate an understanding of our results of operations for the periods presented. The fund return information reflected in this discussion and analysis is not indicative of the performance of The Carlyle Group Inc. and is also not necessarily indicative of the future performance of any particular fund. An investment in The Carlyle Group Inc. is not an investment in any of our funds. There can be no assurance that any of our funds or our other existing and future funds will achieve similar returns.</w:t>
      </w:r>
    </w:p>
    <w:p>
      <w:pPr>
        <w:spacing w:after="0" w:line="18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reflects the performance of carry funds in our Global Credit business. These tables separately present carry funds that, as of the periods presented, had at least $1.0 billion in capital commitments, cumulative equity invested or total equity value. Please see “—Our Global Investment Offerings” for a legend of the fund acronyms listed below.</w:t>
      </w:r>
    </w:p>
    <w:p>
      <w:pPr>
        <w:sectPr>
          <w:pgSz w:w="11900" w:h="16838" w:orient="portrait"/>
          <w:cols w:equalWidth="0" w:num="1">
            <w:col w:w="9240"/>
          </w:cols>
          <w:pgMar w:left="1320" w:top="1161" w:right="1339" w:bottom="4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2133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16115" cy="213360"/>
                    </a:xfrm>
                    <a:prstGeom prst="rect">
                      <a:avLst/>
                    </a:prstGeom>
                    <a:noFill/>
                  </pic:spPr>
                </pic:pic>
              </a:graphicData>
            </a:graphic>
          </wp:anchor>
        </w:drawing>
      </w:r>
    </w:p>
    <w:p>
      <w:pPr>
        <w:sectPr>
          <w:pgSz w:w="11900" w:h="16838" w:orient="portrait"/>
          <w:cols w:equalWidth="0" w:num="1">
            <w:col w:w="9240"/>
          </w:cols>
          <w:pgMar w:left="1320" w:top="1161" w:right="1339" w:bottom="488"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-110490</wp:posOffset>
            </wp:positionV>
            <wp:extent cx="7016115" cy="88487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16115" cy="8848725"/>
                    </a:xfrm>
                    <a:prstGeom prst="rect">
                      <a:avLst/>
                    </a:prstGeom>
                    <a:noFill/>
                  </pic:spPr>
                </pic:pic>
              </a:graphicData>
            </a:graphic>
          </wp:anchor>
        </w:drawing>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46"/>
        </w:trPr>
        <w:tc>
          <w:tcPr>
            <w:tcW w:w="2640" w:type="dxa"/>
            <w:vAlign w:val="bottom"/>
          </w:tcPr>
          <w:p>
            <w:pPr>
              <w:ind w:left="60"/>
              <w:spacing w:after="0"/>
              <w:rPr>
                <w:sz w:val="20"/>
                <w:szCs w:val="20"/>
                <w:color w:val="auto"/>
              </w:rPr>
            </w:pPr>
            <w:r>
              <w:rPr>
                <w:rFonts w:ascii="Times New Roman" w:cs="Times New Roman" w:eastAsia="Times New Roman" w:hAnsi="Times New Roman"/>
                <w:sz w:val="11"/>
                <w:szCs w:val="11"/>
                <w:i w:val="1"/>
                <w:iCs w:val="1"/>
                <w:color w:val="auto"/>
              </w:rPr>
              <w:t>(Dollars in millions)</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w w:val="97"/>
              </w:rPr>
              <w:t>TOTAL INVESTMENTS</w:t>
            </w: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As of March 31, 2024</w:t>
            </w:r>
          </w:p>
        </w:tc>
        <w:tc>
          <w:tcPr>
            <w:tcW w:w="5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640" w:type="dxa"/>
            <w:vAlign w:val="bottom"/>
          </w:tcPr>
          <w:p>
            <w:pPr>
              <w:spacing w:after="0"/>
              <w:rPr>
                <w:sz w:val="12"/>
                <w:szCs w:val="12"/>
                <w:color w:val="auto"/>
              </w:rPr>
            </w:pPr>
          </w:p>
        </w:tc>
        <w:tc>
          <w:tcPr>
            <w:tcW w:w="80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Committed</w:t>
            </w:r>
          </w:p>
        </w:tc>
        <w:tc>
          <w:tcPr>
            <w:tcW w:w="120" w:type="dxa"/>
            <w:vAlign w:val="bottom"/>
          </w:tcPr>
          <w:p>
            <w:pPr>
              <w:spacing w:after="0"/>
              <w:rPr>
                <w:sz w:val="12"/>
                <w:szCs w:val="12"/>
                <w:color w:val="auto"/>
              </w:rPr>
            </w:pPr>
          </w:p>
        </w:tc>
        <w:tc>
          <w:tcPr>
            <w:tcW w:w="720" w:type="dxa"/>
            <w:vAlign w:val="bottom"/>
          </w:tcPr>
          <w:p>
            <w:pPr>
              <w:jc w:val="center"/>
              <w:ind w:right="119"/>
              <w:spacing w:after="0"/>
              <w:rPr>
                <w:sz w:val="20"/>
                <w:szCs w:val="20"/>
                <w:color w:val="auto"/>
              </w:rPr>
            </w:pPr>
            <w:r>
              <w:rPr>
                <w:rFonts w:ascii="Times New Roman" w:cs="Times New Roman" w:eastAsia="Times New Roman" w:hAnsi="Times New Roman"/>
                <w:sz w:val="11"/>
                <w:szCs w:val="11"/>
                <w:b w:val="1"/>
                <w:bCs w:val="1"/>
                <w:color w:val="auto"/>
                <w:w w:val="98"/>
              </w:rPr>
              <w:t>Cumulative</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120" w:type="dxa"/>
            <w:vAlign w:val="bottom"/>
          </w:tcPr>
          <w:p>
            <w:pPr>
              <w:spacing w:after="0"/>
              <w:rPr>
                <w:sz w:val="12"/>
                <w:szCs w:val="12"/>
                <w:color w:val="auto"/>
              </w:rPr>
            </w:pPr>
          </w:p>
        </w:tc>
        <w:tc>
          <w:tcPr>
            <w:tcW w:w="520" w:type="dxa"/>
            <w:vAlign w:val="bottom"/>
            <w:vMerge w:val="restart"/>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w w:val="94"/>
              </w:rPr>
              <w:t>Realized</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Remaining</w:t>
            </w:r>
          </w:p>
        </w:tc>
        <w:tc>
          <w:tcPr>
            <w:tcW w:w="620" w:type="dxa"/>
            <w:vAlign w:val="bottom"/>
          </w:tcPr>
          <w:p>
            <w:pPr>
              <w:spacing w:after="0"/>
              <w:rPr>
                <w:sz w:val="12"/>
                <w:szCs w:val="12"/>
                <w:color w:val="auto"/>
              </w:rPr>
            </w:pPr>
          </w:p>
        </w:tc>
        <w:tc>
          <w:tcPr>
            <w:tcW w:w="760" w:type="dxa"/>
            <w:vAlign w:val="bottom"/>
            <w:vMerge w:val="restart"/>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w w:val="99"/>
              </w:rPr>
              <w:t>Gross IRR</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Net IRR</w:t>
            </w:r>
          </w:p>
        </w:tc>
        <w:tc>
          <w:tcPr>
            <w:tcW w:w="180" w:type="dxa"/>
            <w:vAlign w:val="bottom"/>
          </w:tcPr>
          <w:p>
            <w:pPr>
              <w:spacing w:after="0"/>
              <w:rPr>
                <w:sz w:val="12"/>
                <w:szCs w:val="12"/>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Net Accrued</w:t>
            </w:r>
          </w:p>
        </w:tc>
        <w:tc>
          <w:tcPr>
            <w:tcW w:w="0" w:type="dxa"/>
            <w:vAlign w:val="bottom"/>
          </w:tcPr>
          <w:p>
            <w:pPr>
              <w:spacing w:after="0"/>
              <w:rPr>
                <w:sz w:val="1"/>
                <w:szCs w:val="1"/>
                <w:color w:val="auto"/>
              </w:rPr>
            </w:pPr>
          </w:p>
        </w:tc>
      </w:tr>
      <w:tr>
        <w:trPr>
          <w:trHeight w:val="108"/>
        </w:trPr>
        <w:tc>
          <w:tcPr>
            <w:tcW w:w="26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Fund (Fee Initiation Date/Stepdown Date)(11)</w:t>
            </w: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ind w:right="159"/>
              <w:spacing w:after="0" w:line="108" w:lineRule="exact"/>
              <w:rPr>
                <w:sz w:val="20"/>
                <w:szCs w:val="20"/>
                <w:color w:val="auto"/>
              </w:rPr>
            </w:pPr>
            <w:r>
              <w:rPr>
                <w:rFonts w:ascii="Times New Roman" w:cs="Times New Roman" w:eastAsia="Times New Roman" w:hAnsi="Times New Roman"/>
                <w:sz w:val="11"/>
                <w:szCs w:val="11"/>
                <w:b w:val="1"/>
                <w:bCs w:val="1"/>
                <w:color w:val="auto"/>
                <w:w w:val="95"/>
              </w:rPr>
              <w:t>Invested</w:t>
            </w: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Fair Value</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MOIC (4)</w:t>
            </w: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6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1"/>
                <w:szCs w:val="11"/>
                <w:b w:val="1"/>
                <w:bCs w:val="1"/>
                <w:color w:val="auto"/>
              </w:rPr>
              <w:t>Carry/(Giveback)</w:t>
            </w:r>
          </w:p>
        </w:tc>
        <w:tc>
          <w:tcPr>
            <w:tcW w:w="0" w:type="dxa"/>
            <w:vAlign w:val="bottom"/>
          </w:tcPr>
          <w:p>
            <w:pPr>
              <w:spacing w:after="0"/>
              <w:rPr>
                <w:sz w:val="1"/>
                <w:szCs w:val="1"/>
                <w:color w:val="auto"/>
              </w:rPr>
            </w:pPr>
          </w:p>
        </w:tc>
      </w:tr>
      <w:tr>
        <w:trPr>
          <w:trHeight w:val="145"/>
        </w:trPr>
        <w:tc>
          <w:tcPr>
            <w:tcW w:w="264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Capital(12)</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1"/>
                <w:szCs w:val="11"/>
                <w:b w:val="1"/>
                <w:bCs w:val="1"/>
                <w:color w:val="auto"/>
                <w:w w:val="99"/>
              </w:rPr>
              <w:t>Capital (1)</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Invested</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w w:val="88"/>
              </w:rPr>
              <w:t>Value (2)</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3"/>
              </w:rPr>
              <w:t>(3)</w:t>
            </w:r>
          </w:p>
        </w:tc>
        <w:tc>
          <w:tcPr>
            <w:tcW w:w="62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w w:val="91"/>
              </w:rPr>
              <w:t>(5) (8)</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(6) (8)</w:t>
            </w: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1"/>
                <w:szCs w:val="11"/>
                <w:b w:val="1"/>
                <w:bCs w:val="1"/>
                <w:color w:val="auto"/>
              </w:rPr>
              <w:t>(7)</w:t>
            </w:r>
          </w:p>
        </w:tc>
        <w:tc>
          <w:tcPr>
            <w:tcW w:w="0" w:type="dxa"/>
            <w:vAlign w:val="bottom"/>
          </w:tcPr>
          <w:p>
            <w:pPr>
              <w:spacing w:after="0"/>
              <w:rPr>
                <w:sz w:val="1"/>
                <w:szCs w:val="1"/>
                <w:color w:val="auto"/>
              </w:rPr>
            </w:pPr>
          </w:p>
        </w:tc>
      </w:tr>
      <w:tr>
        <w:trPr>
          <w:trHeight w:val="183"/>
        </w:trPr>
        <w:tc>
          <w:tcPr>
            <w:tcW w:w="26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Global Credit Carry Funds</w:t>
            </w: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CCOF III (Feb 2023 / Jun 2028)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1,040</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46%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1,091</w:t>
            </w:r>
          </w:p>
        </w:tc>
        <w:tc>
          <w:tcPr>
            <w:tcW w:w="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1.1x</w:t>
            </w:r>
          </w:p>
        </w:tc>
        <w:tc>
          <w:tcPr>
            <w:tcW w:w="760" w:type="dxa"/>
            <w:vAlign w:val="bottom"/>
            <w:tcBorders>
              <w:bottom w:val="single" w:sz="8" w:color="CCEEFF"/>
            </w:tcBorders>
            <w:shd w:val="clear" w:color="auto" w:fill="CCEEFF"/>
          </w:tcPr>
          <w:p>
            <w:pPr>
              <w:jc w:val="center"/>
              <w:ind w:right="19"/>
              <w:spacing w:after="0"/>
              <w:rPr>
                <w:sz w:val="20"/>
                <w:szCs w:val="20"/>
                <w:color w:val="auto"/>
              </w:rPr>
            </w:pPr>
            <w:r>
              <w:rPr>
                <w:rFonts w:ascii="Times New Roman" w:cs="Times New Roman" w:eastAsia="Times New Roman" w:hAnsi="Times New Roman"/>
                <w:sz w:val="13"/>
                <w:szCs w:val="13"/>
                <w:color w:val="auto"/>
                <w:w w:val="95"/>
              </w:rPr>
              <w:t>NM</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0"/>
        </w:trPr>
        <w:tc>
          <w:tcPr>
            <w:tcW w:w="2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CCOF II (Nov 2020 / Oct 2025)</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5,263</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1,581</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5,006</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1.3x</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15%</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11%</w:t>
            </w:r>
          </w:p>
        </w:tc>
        <w:tc>
          <w:tcPr>
            <w:tcW w:w="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29"/>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CCOF I (Nov 2017 / Sep 2022)</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3,495</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147%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1,785</w:t>
            </w:r>
          </w:p>
        </w:tc>
        <w:tc>
          <w:tcPr>
            <w:tcW w:w="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1.4x</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17%</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200"/>
        </w:trPr>
        <w:tc>
          <w:tcPr>
            <w:tcW w:w="2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CSP IV (Apr 2016 / Dec 2020)</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2,500</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2,296</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1.3x</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10%</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5%</w:t>
            </w:r>
          </w:p>
        </w:tc>
        <w:tc>
          <w:tcPr>
            <w:tcW w:w="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CSP III (Dec 2011 / Aug 2015)</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703</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29</w:t>
            </w:r>
          </w:p>
        </w:tc>
        <w:tc>
          <w:tcPr>
            <w:tcW w:w="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1.4x</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18%</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8%</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0"/>
        </w:trPr>
        <w:tc>
          <w:tcPr>
            <w:tcW w:w="2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CEMOF II (Dec 2015 / Jun 2019)</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1,713</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1,847</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332</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1.3x</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3%</w:t>
            </w:r>
          </w:p>
        </w:tc>
        <w:tc>
          <w:tcPr>
            <w:tcW w:w="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SASOF III (Nov 2014 / n/a)</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991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60</w:t>
            </w:r>
          </w:p>
        </w:tc>
        <w:tc>
          <w:tcPr>
            <w:tcW w:w="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1.3x</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18%</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00"/>
        </w:trPr>
        <w:tc>
          <w:tcPr>
            <w:tcW w:w="2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All Other Active Funds &amp; Vehicles(9)</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10,094</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2,403</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8,605</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1.1x</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29"/>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Fully Realized Funds &amp; Vehicles(10)(13)</w:t>
            </w:r>
          </w:p>
        </w:tc>
        <w:tc>
          <w:tcPr>
            <w:tcW w:w="3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6,625</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1.2x</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3%</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26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TOTAL GLOBAL CREDIT CARRY FUNDS</w:t>
            </w: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b w:val="1"/>
                <w:bCs w:val="1"/>
                <w:color w:val="auto"/>
              </w:rPr>
              <w:t>32,424</w:t>
            </w:r>
          </w:p>
        </w:tc>
        <w:tc>
          <w:tcPr>
            <w:tcW w:w="7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n/a</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20,197</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19,204</w:t>
            </w:r>
          </w:p>
        </w:tc>
        <w:tc>
          <w:tcPr>
            <w:tcW w:w="6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1.2x</w:t>
            </w: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10%</w:t>
            </w: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5%</w:t>
            </w:r>
          </w:p>
        </w:tc>
        <w:tc>
          <w:tcPr>
            <w:tcW w:w="1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143</w:t>
            </w:r>
          </w:p>
        </w:tc>
        <w:tc>
          <w:tcPr>
            <w:tcW w:w="0" w:type="dxa"/>
            <w:vAlign w:val="bottom"/>
          </w:tcPr>
          <w:p>
            <w:pPr>
              <w:spacing w:after="0"/>
              <w:rPr>
                <w:sz w:val="1"/>
                <w:szCs w:val="1"/>
                <w:color w:val="auto"/>
              </w:rPr>
            </w:pPr>
          </w:p>
        </w:tc>
      </w:tr>
      <w:tr>
        <w:trPr>
          <w:trHeight w:val="29"/>
        </w:trPr>
        <w:tc>
          <w:tcPr>
            <w:tcW w:w="2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80" w:right="160" w:hanging="330"/>
        <w:spacing w:after="0" w:line="266" w:lineRule="auto"/>
        <w:tabs>
          <w:tab w:leader="none" w:pos="5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the original cost of investments since the inception of the fund. For CSP III and CSP IV, reflects amounts net of investment level recallable proceeds which is adjusted to reflect recyclability of invested capital for the purpose of calculating the fund MOIC.</w:t>
      </w:r>
    </w:p>
    <w:p>
      <w:pPr>
        <w:spacing w:after="0" w:line="67" w:lineRule="exact"/>
        <w:rPr>
          <w:rFonts w:ascii="Times New Roman" w:cs="Times New Roman" w:eastAsia="Times New Roman" w:hAnsi="Times New Roman"/>
          <w:sz w:val="17"/>
          <w:szCs w:val="17"/>
          <w:color w:val="auto"/>
        </w:rPr>
      </w:pPr>
    </w:p>
    <w:p>
      <w:pPr>
        <w:ind w:left="580" w:hanging="330"/>
        <w:spacing w:after="0"/>
        <w:tabs>
          <w:tab w:leader="none" w:pos="5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all realized proceeds since inception of the fund.</w:t>
      </w:r>
    </w:p>
    <w:p>
      <w:pPr>
        <w:spacing w:after="0" w:line="117" w:lineRule="exact"/>
        <w:rPr>
          <w:rFonts w:ascii="Times New Roman" w:cs="Times New Roman" w:eastAsia="Times New Roman" w:hAnsi="Times New Roman"/>
          <w:sz w:val="17"/>
          <w:szCs w:val="17"/>
          <w:color w:val="auto"/>
        </w:rPr>
      </w:pPr>
    </w:p>
    <w:p>
      <w:pPr>
        <w:ind w:left="580" w:right="300" w:hanging="330"/>
        <w:spacing w:after="0" w:line="282" w:lineRule="auto"/>
        <w:tabs>
          <w:tab w:leader="none" w:pos="5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remaining fair value, before management fees, expenses and carried interest, and may include remaining escrow values for realized investments.</w:t>
      </w:r>
    </w:p>
    <w:p>
      <w:pPr>
        <w:spacing w:after="0" w:line="53" w:lineRule="exact"/>
        <w:rPr>
          <w:rFonts w:ascii="Times New Roman" w:cs="Times New Roman" w:eastAsia="Times New Roman" w:hAnsi="Times New Roman"/>
          <w:sz w:val="17"/>
          <w:szCs w:val="17"/>
          <w:color w:val="auto"/>
        </w:rPr>
      </w:pPr>
    </w:p>
    <w:p>
      <w:pPr>
        <w:ind w:left="580" w:right="580" w:hanging="330"/>
        <w:spacing w:after="0" w:line="282" w:lineRule="auto"/>
        <w:tabs>
          <w:tab w:leader="none" w:pos="5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Multiple of invested capital (“MOIC”) represents total fair value, before management fees, expenses and carried interest, divided by cumulative invested capital.</w:t>
      </w:r>
    </w:p>
    <w:p>
      <w:pPr>
        <w:spacing w:after="0" w:line="53" w:lineRule="exact"/>
        <w:rPr>
          <w:rFonts w:ascii="Times New Roman" w:cs="Times New Roman" w:eastAsia="Times New Roman" w:hAnsi="Times New Roman"/>
          <w:sz w:val="17"/>
          <w:szCs w:val="17"/>
          <w:color w:val="auto"/>
        </w:rPr>
      </w:pPr>
    </w:p>
    <w:p>
      <w:pPr>
        <w:ind w:left="580" w:right="20" w:hanging="330"/>
        <w:spacing w:after="0" w:line="254" w:lineRule="auto"/>
        <w:tabs>
          <w:tab w:leader="none" w:pos="5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Gross Internal Rate of Return (“Gross IRR”) represents an annualized time-weighted return on Limited Partner invested capital, based on contributions, distributions and unrealized fair value as of the reporting date, before the impact of management fees, partnership expenses and carried interest. For fund vintages 2017 and after, Gross IRR includes the impact of interest expense related to the funding of investments on fund lines of credit. Gross IRR is calculated based on the timing of Limited Partner cash flows, which may differ to varying degrees from the timing of actual investment cash flows for the fund. Subtotal Gross IRR aggregations for multiple funds are calculated based on actual cash flow dates for each fund and represent a theoretical time-weighted return for a Limited Partner who invested sequentially in each fund.</w:t>
      </w:r>
    </w:p>
    <w:p>
      <w:pPr>
        <w:spacing w:after="0" w:line="83" w:lineRule="exact"/>
        <w:rPr>
          <w:rFonts w:ascii="Times New Roman" w:cs="Times New Roman" w:eastAsia="Times New Roman" w:hAnsi="Times New Roman"/>
          <w:sz w:val="17"/>
          <w:szCs w:val="17"/>
          <w:color w:val="auto"/>
        </w:rPr>
      </w:pPr>
    </w:p>
    <w:p>
      <w:pPr>
        <w:ind w:left="580" w:hanging="330"/>
        <w:spacing w:after="0" w:line="254" w:lineRule="auto"/>
        <w:tabs>
          <w:tab w:leader="none" w:pos="5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Net Internal Rate of Return (“Net IRR”) represents an annualized time-weighted return on Limited Partner invested capital, based on contributions, distributions and unrealized fair value as of the reporting date, after the impact of all management fees, partnership expenses and carried interest, including current accruals. Net IRR is calculated based on the timing of Limited Partner cash flows, which may differ to varying degrees from the timing of actual investment cash flows for the fund. Fund level IRRs are based on aggregate Limited Partner cash flows, and this blended return may differ from that of individual Limited Partners. As a result, certain funds may generate accrued performance revenues with a blended Net IRR that is below the preferred return hurdle for that fund. Subtotal Net IRR aggregations for multiple funds are calculated based on actual cash flow dates for each fund and represent a theoretical time-weighted return for a Limited Partner who invested sequentially in each fund.</w:t>
      </w:r>
    </w:p>
    <w:p>
      <w:pPr>
        <w:spacing w:after="0" w:line="80" w:lineRule="exact"/>
        <w:rPr>
          <w:rFonts w:ascii="Times New Roman" w:cs="Times New Roman" w:eastAsia="Times New Roman" w:hAnsi="Times New Roman"/>
          <w:sz w:val="17"/>
          <w:szCs w:val="17"/>
          <w:color w:val="auto"/>
        </w:rPr>
      </w:pPr>
    </w:p>
    <w:p>
      <w:pPr>
        <w:ind w:left="580" w:hanging="330"/>
        <w:spacing w:after="0"/>
        <w:tabs>
          <w:tab w:leader="none" w:pos="5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the net accrued performance revenue balance/(giveback obligation) as of the current quarter end.</w:t>
      </w:r>
    </w:p>
    <w:p>
      <w:pPr>
        <w:spacing w:after="0" w:line="117" w:lineRule="exact"/>
        <w:rPr>
          <w:rFonts w:ascii="Times New Roman" w:cs="Times New Roman" w:eastAsia="Times New Roman" w:hAnsi="Times New Roman"/>
          <w:sz w:val="17"/>
          <w:szCs w:val="17"/>
          <w:color w:val="auto"/>
        </w:rPr>
      </w:pPr>
    </w:p>
    <w:p>
      <w:pPr>
        <w:ind w:left="580" w:right="20" w:hanging="330"/>
        <w:spacing w:after="0" w:line="266" w:lineRule="auto"/>
        <w:tabs>
          <w:tab w:leader="none" w:pos="5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funds marked “NM,” IRR may be positive or negative, but is not considered meaningful because of the limited time since initial investment and early stage of capital deployment. For funds marked “Neg,” IRR is considered meaningful but is negative as of reporting period end.</w:t>
      </w:r>
    </w:p>
    <w:p>
      <w:pPr>
        <w:spacing w:after="0" w:line="67" w:lineRule="exact"/>
        <w:rPr>
          <w:rFonts w:ascii="Times New Roman" w:cs="Times New Roman" w:eastAsia="Times New Roman" w:hAnsi="Times New Roman"/>
          <w:sz w:val="17"/>
          <w:szCs w:val="17"/>
          <w:color w:val="auto"/>
        </w:rPr>
      </w:pPr>
    </w:p>
    <w:p>
      <w:pPr>
        <w:ind w:left="580" w:right="40" w:hanging="330"/>
        <w:spacing w:after="0" w:line="282" w:lineRule="auto"/>
        <w:tabs>
          <w:tab w:leader="none" w:pos="5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Aggregate includes the following funds, as well as all active co-investments, separately managed accounts (SMAs), and stand-alone investments arranged by us: SASOF IV, SASOF V, CICF, CICF II, and CALF.</w:t>
      </w:r>
    </w:p>
    <w:p>
      <w:pPr>
        <w:spacing w:after="0" w:line="53" w:lineRule="exact"/>
        <w:rPr>
          <w:rFonts w:ascii="Times New Roman" w:cs="Times New Roman" w:eastAsia="Times New Roman" w:hAnsi="Times New Roman"/>
          <w:sz w:val="17"/>
          <w:szCs w:val="17"/>
          <w:color w:val="auto"/>
        </w:rPr>
      </w:pPr>
    </w:p>
    <w:p>
      <w:pPr>
        <w:jc w:val="both"/>
        <w:ind w:left="580" w:right="160" w:hanging="330"/>
        <w:spacing w:after="0" w:line="276" w:lineRule="auto"/>
        <w:tabs>
          <w:tab w:leader="none" w:pos="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Aggregate includes the following funds, as well as related co-investments, separately managed accounts (SMAs), and certain other stand-alone investments arranged by us: CSP I, CSP II, CEMOF I, CSC, CMP I, CMP II, SASOF II, and</w:t>
      </w: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CASCOF.</w:t>
      </w:r>
    </w:p>
    <w:p>
      <w:pPr>
        <w:spacing w:after="0" w:line="98" w:lineRule="exact"/>
        <w:rPr>
          <w:rFonts w:ascii="Times New Roman" w:cs="Times New Roman" w:eastAsia="Times New Roman" w:hAnsi="Times New Roman"/>
          <w:sz w:val="16"/>
          <w:szCs w:val="16"/>
          <w:color w:val="auto"/>
        </w:rPr>
      </w:pPr>
    </w:p>
    <w:p>
      <w:pPr>
        <w:ind w:left="580" w:right="140" w:hanging="330"/>
        <w:spacing w:after="0" w:line="266" w:lineRule="auto"/>
        <w:tabs>
          <w:tab w:leader="none" w:pos="5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fund stepdown date represents the contractual stepdown date under the respective fund agreements for funds on which the fee basis stepdown has not yet occurred. Funds without a listed Fee Initiation Date and Stepdown Date have not yet initiated fees.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15849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16115" cy="158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left="580" w:right="80" w:hanging="330"/>
        <w:spacing w:after="0" w:line="258" w:lineRule="auto"/>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shown represent total capital commitments as of March 31, 2024. Certain of our recent vintage funds are currently in fundraising and total capital commitments are subject to change. Committed Capital for CEMOF II reflects original committed capital of $2.8 billion, less $1.1 billion in commitments that were extinguished following a Key Person Event. Committed capital for CCOF II excludes $150 million in capital committed by a CCOF II investor to a side vehicle.</w:t>
      </w:r>
    </w:p>
    <w:p>
      <w:pPr>
        <w:spacing w:after="0" w:line="75" w:lineRule="exact"/>
        <w:rPr>
          <w:rFonts w:ascii="Times New Roman" w:cs="Times New Roman" w:eastAsia="Times New Roman" w:hAnsi="Times New Roman"/>
          <w:sz w:val="18"/>
          <w:szCs w:val="18"/>
          <w:color w:val="auto"/>
        </w:rPr>
      </w:pPr>
    </w:p>
    <w:p>
      <w:pPr>
        <w:ind w:left="580" w:right="180" w:hanging="330"/>
        <w:spacing w:after="0" w:line="282" w:lineRule="auto"/>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are included when all investments have been realized. There may be remaining fair value and net accrued carry where there are outstanding escrow balances or undistributed proceeds.</w:t>
      </w:r>
    </w:p>
    <w:p>
      <w:pPr>
        <w:sectPr>
          <w:pgSz w:w="11900" w:h="16838" w:orient="portrait"/>
          <w:cols w:equalWidth="0" w:num="1">
            <w:col w:w="9240"/>
          </w:cols>
          <w:pgMar w:left="1320" w:top="108" w:right="1339" w:bottom="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4771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16115" cy="7477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2956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16115" cy="295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Investment Solutions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our Global Investment Solutions segment:</w:t>
      </w: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2740" w:type="dxa"/>
            <w:vAlign w:val="bottom"/>
            <w:gridSpan w:val="3"/>
          </w:tcPr>
          <w:p>
            <w:pPr>
              <w:ind w:left="1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780" w:type="dxa"/>
            <w:vAlign w:val="bottom"/>
          </w:tcPr>
          <w:p>
            <w:pPr>
              <w:spacing w:after="0"/>
              <w:rPr>
                <w:sz w:val="22"/>
                <w:szCs w:val="22"/>
                <w:color w:val="auto"/>
              </w:rPr>
            </w:pPr>
          </w:p>
        </w:tc>
        <w:tc>
          <w:tcPr>
            <w:tcW w:w="1600" w:type="dxa"/>
            <w:vAlign w:val="bottom"/>
          </w:tcPr>
          <w:p>
            <w:pPr>
              <w:ind w:left="126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spacing w:after="0"/>
              <w:rPr>
                <w:sz w:val="22"/>
                <w:szCs w:val="22"/>
                <w:color w:val="auto"/>
              </w:rPr>
            </w:pPr>
          </w:p>
        </w:tc>
        <w:tc>
          <w:tcPr>
            <w:tcW w:w="5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Segment Revenues</w:t>
            </w:r>
          </w:p>
        </w:tc>
        <w:tc>
          <w:tcPr>
            <w:tcW w:w="1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Fund level fee revenues</w:t>
            </w:r>
          </w:p>
        </w:tc>
        <w:tc>
          <w:tcPr>
            <w:tcW w:w="1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Fund management fees</w:t>
            </w:r>
          </w:p>
        </w:tc>
        <w:tc>
          <w:tcPr>
            <w:tcW w:w="160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74.1</w:t>
            </w:r>
          </w:p>
        </w:tc>
        <w:tc>
          <w:tcPr>
            <w:tcW w:w="76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56.7</w:t>
            </w:r>
          </w:p>
        </w:tc>
        <w:tc>
          <w:tcPr>
            <w:tcW w:w="7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17.4</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378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rPr>
              <w:t>Fee related performance revenues</w:t>
            </w:r>
          </w:p>
        </w:tc>
        <w:tc>
          <w:tcPr>
            <w:tcW w:w="16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7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720" w:type="dxa"/>
            <w:vAlign w:val="bottom"/>
          </w:tcPr>
          <w:p>
            <w:pPr>
              <w:spacing w:after="0"/>
              <w:rPr>
                <w:sz w:val="23"/>
                <w:szCs w:val="23"/>
                <w:color w:val="auto"/>
              </w:rPr>
            </w:pPr>
          </w:p>
        </w:tc>
        <w:tc>
          <w:tcPr>
            <w:tcW w:w="8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0.4</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378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rPr>
              <w:t>Total fund level fee revenues</w:t>
            </w:r>
          </w:p>
        </w:tc>
        <w:tc>
          <w:tcPr>
            <w:tcW w:w="16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75.3</w:t>
            </w:r>
          </w:p>
        </w:tc>
        <w:tc>
          <w:tcPr>
            <w:tcW w:w="7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57.5</w:t>
            </w:r>
          </w:p>
        </w:tc>
        <w:tc>
          <w:tcPr>
            <w:tcW w:w="720" w:type="dxa"/>
            <w:vAlign w:val="bottom"/>
          </w:tcPr>
          <w:p>
            <w:pPr>
              <w:spacing w:after="0"/>
              <w:rPr>
                <w:sz w:val="23"/>
                <w:szCs w:val="23"/>
                <w:color w:val="auto"/>
              </w:rPr>
            </w:pPr>
          </w:p>
        </w:tc>
        <w:tc>
          <w:tcPr>
            <w:tcW w:w="8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17.8</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3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Realized performance revenues</w:t>
            </w:r>
          </w:p>
        </w:tc>
        <w:tc>
          <w:tcPr>
            <w:tcW w:w="16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23.4</w:t>
            </w:r>
          </w:p>
        </w:tc>
        <w:tc>
          <w:tcPr>
            <w:tcW w:w="7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38.4</w:t>
            </w:r>
          </w:p>
        </w:tc>
        <w:tc>
          <w:tcPr>
            <w:tcW w:w="720" w:type="dxa"/>
            <w:vAlign w:val="bottom"/>
          </w:tcPr>
          <w:p>
            <w:pPr>
              <w:spacing w:after="0"/>
              <w:rPr>
                <w:sz w:val="23"/>
                <w:szCs w:val="23"/>
                <w:color w:val="auto"/>
              </w:rPr>
            </w:pPr>
          </w:p>
        </w:tc>
        <w:tc>
          <w:tcPr>
            <w:tcW w:w="8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8"/>
              </w:rPr>
              <w:t>(15.0)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70"/>
        </w:trPr>
        <w:tc>
          <w:tcPr>
            <w:tcW w:w="3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Realized principal investment income</w:t>
            </w:r>
          </w:p>
        </w:tc>
        <w:tc>
          <w:tcPr>
            <w:tcW w:w="16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7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720" w:type="dxa"/>
            <w:vAlign w:val="bottom"/>
          </w:tcPr>
          <w:p>
            <w:pPr>
              <w:spacing w:after="0"/>
              <w:rPr>
                <w:sz w:val="23"/>
                <w:szCs w:val="23"/>
                <w:color w:val="auto"/>
              </w:rPr>
            </w:pPr>
          </w:p>
        </w:tc>
        <w:tc>
          <w:tcPr>
            <w:tcW w:w="8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bl>
    <w:p>
      <w:pPr>
        <w:sectPr>
          <w:pgSz w:w="11900" w:h="16898" w:orient="portrait"/>
          <w:cols w:equalWidth="0" w:num="1">
            <w:col w:w="9220"/>
          </w:cols>
          <w:pgMar w:left="1320" w:top="1440" w:right="1359" w:bottom="0" w:gutter="0" w:footer="0" w:header="0"/>
        </w:sectPr>
      </w:pPr>
    </w:p>
    <w:bookmarkStart w:id="89" w:name="page90"/>
    <w:bookmarkEnd w:id="8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61055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016115" cy="610552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10"/>
        </w:trPr>
        <w:tc>
          <w:tcPr>
            <w:tcW w:w="4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income</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3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7"/>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Segment Expenses</w:t>
            </w:r>
          </w:p>
        </w:tc>
        <w:tc>
          <w:tcPr>
            <w:tcW w:w="3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7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Cash-based compensation and benefits</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60"/>
        </w:trPr>
        <w:tc>
          <w:tcPr>
            <w:tcW w:w="4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Realized performance revenues related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10"/>
        </w:trPr>
        <w:tc>
          <w:tcPr>
            <w:tcW w:w="470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60"/>
        </w:trPr>
        <w:tc>
          <w:tcPr>
            <w:tcW w:w="4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General, administrative, and other indirect expenses</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4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expenses</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60"/>
        </w:trPr>
        <w:tc>
          <w:tcPr>
            <w:tcW w:w="4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 Distributable Earnings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36.1</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w:t>
            </w: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81 %</w:t>
            </w:r>
          </w:p>
        </w:tc>
        <w:tc>
          <w:tcPr>
            <w:tcW w:w="0" w:type="dxa"/>
            <w:vAlign w:val="bottom"/>
          </w:tcPr>
          <w:p>
            <w:pPr>
              <w:spacing w:after="0"/>
              <w:rPr>
                <w:sz w:val="1"/>
                <w:szCs w:val="1"/>
                <w:color w:val="auto"/>
              </w:rPr>
            </w:pPr>
          </w:p>
        </w:tc>
      </w:tr>
      <w:tr>
        <w:trPr>
          <w:trHeight w:val="210"/>
        </w:trPr>
        <w:tc>
          <w:tcPr>
            <w:tcW w:w="4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 Realized Net Performance Revenues</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4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Realized Principal 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10"/>
        </w:trPr>
        <w:tc>
          <w:tcPr>
            <w:tcW w:w="4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 Net Interest</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4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 Fee Related Earnings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34.0</w:t>
            </w:r>
          </w:p>
        </w:tc>
        <w:tc>
          <w:tcPr>
            <w:tcW w:w="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17.9</w:t>
            </w:r>
          </w:p>
        </w:tc>
        <w:tc>
          <w:tcPr>
            <w:tcW w:w="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111 %</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4328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16115" cy="432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w:t>
      </w:r>
    </w:p>
    <w:p>
      <w:pPr>
        <w:spacing w:after="0" w:line="229"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Distributable Earnings increased $16.2 million for the three months ended March 31, 2024 as compared to the three months ended March 31, 2023. The following table provides the components of the changes in Distributable Earnings for the three months ended March 31, 2024:</w:t>
      </w:r>
    </w:p>
    <w:p>
      <w:pPr>
        <w:spacing w:after="0" w:line="105" w:lineRule="exact"/>
        <w:rPr>
          <w:sz w:val="20"/>
          <w:szCs w:val="20"/>
          <w:color w:val="auto"/>
        </w:rPr>
      </w:pPr>
    </w:p>
    <w:tbl>
      <w:tblPr>
        <w:tblLayout w:type="fixed"/>
        <w:tblInd w:w="148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3"/>
        </w:trPr>
        <w:tc>
          <w:tcPr>
            <w:tcW w:w="4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50"/>
        </w:trPr>
        <w:tc>
          <w:tcPr>
            <w:tcW w:w="44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2024 v. 2023</w:t>
            </w:r>
          </w:p>
        </w:tc>
      </w:tr>
      <w:tr>
        <w:trPr>
          <w:trHeight w:val="250"/>
        </w:trPr>
        <w:tc>
          <w:tcPr>
            <w:tcW w:w="4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70"/>
        </w:trPr>
        <w:tc>
          <w:tcPr>
            <w:tcW w:w="4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Distributable Earnings, March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70"/>
        </w:trPr>
        <w:tc>
          <w:tcPr>
            <w:tcW w:w="4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Increases (decreases):</w:t>
            </w: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0"/>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Increase in fee related earnings</w:t>
            </w: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70"/>
        </w:trPr>
        <w:tc>
          <w:tcPr>
            <w:tcW w:w="4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Increase in realized net performance revenues</w:t>
            </w:r>
          </w:p>
        </w:tc>
        <w:tc>
          <w:tcPr>
            <w:tcW w:w="1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70"/>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realized principal investment income</w:t>
            </w: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70"/>
        </w:trPr>
        <w:tc>
          <w:tcPr>
            <w:tcW w:w="4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Increase in net interest</w:t>
            </w: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50"/>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increase</w:t>
            </w:r>
          </w:p>
        </w:tc>
        <w:tc>
          <w:tcPr>
            <w:tcW w:w="16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23"/>
        </w:trPr>
        <w:tc>
          <w:tcPr>
            <w:tcW w:w="4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Distributable Earnings, March 31,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1"/>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right="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Realized Principal Investment Income</w:t>
      </w:r>
      <w:r>
        <w:rPr>
          <w:rFonts w:ascii="Times New Roman" w:cs="Times New Roman" w:eastAsia="Times New Roman" w:hAnsi="Times New Roman"/>
          <w:sz w:val="18"/>
          <w:szCs w:val="18"/>
          <w:color w:val="auto"/>
        </w:rPr>
        <w:t>. Realized principal investment income decreased $1.9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2024 as compared to three months ended March 31, 2023, primarily due to lower realized gains on investments in our secondary funds.</w:t>
      </w:r>
    </w:p>
    <w:p>
      <w:pPr>
        <w:sectPr>
          <w:pgSz w:w="11900" w:h="16838" w:orient="portrait"/>
          <w:cols w:equalWidth="0" w:num="1">
            <w:col w:w="9220"/>
          </w:cols>
          <w:pgMar w:left="1320" w:top="180" w:right="1359" w:bottom="0" w:gutter="0" w:footer="0" w:header="0"/>
        </w:sectPr>
      </w:pP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Fee Related Earnings</w:t>
      </w:r>
    </w:p>
    <w:p>
      <w:pPr>
        <w:sectPr>
          <w:pgSz w:w="11900" w:h="16838" w:orient="portrait"/>
          <w:cols w:equalWidth="0" w:num="1">
            <w:col w:w="9220"/>
          </w:cols>
          <w:pgMar w:left="1320" w:top="180" w:right="1359" w:bottom="0" w:gutter="0" w:footer="0" w:header="0"/>
          <w:type w:val="continuous"/>
        </w:sectPr>
      </w:pPr>
    </w:p>
    <w:bookmarkStart w:id="90" w:name="page91"/>
    <w:bookmarkEnd w:id="90"/>
    <w:p>
      <w:pPr>
        <w:spacing w:after="0" w:line="36" w:lineRule="exact"/>
        <w:rPr>
          <w:sz w:val="20"/>
          <w:szCs w:val="20"/>
          <w:color w:val="auto"/>
        </w:rPr>
      </w:pPr>
    </w:p>
    <w:p>
      <w:pPr>
        <w:ind w:right="300" w:firstLine="445"/>
        <w:spacing w:after="0" w:line="188" w:lineRule="auto"/>
        <w:rPr>
          <w:sz w:val="20"/>
          <w:szCs w:val="20"/>
          <w:color w:val="auto"/>
        </w:rPr>
      </w:pPr>
      <w:r>
        <w:rPr>
          <w:rFonts w:ascii="Times New Roman" w:cs="Times New Roman" w:eastAsia="Times New Roman" w:hAnsi="Times New Roman"/>
          <w:sz w:val="16"/>
          <w:szCs w:val="16"/>
          <w:color w:val="auto"/>
        </w:rPr>
        <w:t>Fee Related Earnings increased $17.9 million for the three months ended March 31, 2024 as compared to the three months ended March 31, 2023. The following table provides the components of the changes in Fee Related Earnings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-161925</wp:posOffset>
            </wp:positionV>
            <wp:extent cx="7016115" cy="47339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16115" cy="47339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three months ended March 31, 2024:</w:t>
      </w:r>
    </w:p>
    <w:p>
      <w:pPr>
        <w:spacing w:after="0" w:line="136"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3"/>
        </w:trPr>
        <w:tc>
          <w:tcPr>
            <w:tcW w:w="5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50"/>
        </w:trPr>
        <w:tc>
          <w:tcPr>
            <w:tcW w:w="5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2024 v. 2023</w:t>
            </w:r>
          </w:p>
        </w:tc>
      </w:tr>
      <w:tr>
        <w:trPr>
          <w:trHeight w:val="250"/>
        </w:trPr>
        <w:tc>
          <w:tcPr>
            <w:tcW w:w="5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70"/>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Fee Related Earnings, March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70"/>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Increases (decreases):</w:t>
            </w: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0"/>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Increase in fee revenues</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70"/>
        </w:trPr>
        <w:tc>
          <w:tcPr>
            <w:tcW w:w="5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Decrease in cash-based compensation and benefits</w:t>
            </w:r>
          </w:p>
        </w:tc>
        <w:tc>
          <w:tcPr>
            <w:tcW w:w="1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57"/>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Increase in general, administrative and other indirect expenses</w:t>
            </w:r>
          </w:p>
        </w:tc>
        <w:tc>
          <w:tcPr>
            <w:tcW w:w="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70"/>
        </w:trPr>
        <w:tc>
          <w:tcPr>
            <w:tcW w:w="51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All other changes</w:t>
            </w:r>
          </w:p>
        </w:tc>
        <w:tc>
          <w:tcPr>
            <w:tcW w:w="1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50"/>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increase</w:t>
            </w:r>
          </w:p>
        </w:tc>
        <w:tc>
          <w:tcPr>
            <w:tcW w:w="1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23"/>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Fee Related Earnings, March 31,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1"/>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6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Fee Revenues</w:t>
      </w:r>
      <w:r>
        <w:rPr>
          <w:rFonts w:ascii="Times New Roman" w:cs="Times New Roman" w:eastAsia="Times New Roman" w:hAnsi="Times New Roman"/>
          <w:sz w:val="18"/>
          <w:szCs w:val="18"/>
          <w:color w:val="auto"/>
        </w:rPr>
        <w:t>. Total fee revenues increased $17.8 million for the three months ended March 31, 2024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2023, primarily driven by fund management fees from the activation of fees in our secondaries and co-investment strategies during the third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56997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16115" cy="5699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Fee-earning AUM</w:t>
      </w:r>
    </w:p>
    <w:p>
      <w:pPr>
        <w:spacing w:after="0" w:line="229" w:lineRule="exact"/>
        <w:rPr>
          <w:sz w:val="20"/>
          <w:szCs w:val="20"/>
          <w:color w:val="auto"/>
        </w:rPr>
      </w:pPr>
    </w:p>
    <w:p>
      <w:pPr>
        <w:ind w:right="340" w:firstLine="445"/>
        <w:spacing w:after="0" w:line="297" w:lineRule="auto"/>
        <w:rPr>
          <w:sz w:val="20"/>
          <w:szCs w:val="20"/>
          <w:color w:val="auto"/>
        </w:rPr>
      </w:pPr>
      <w:r>
        <w:rPr>
          <w:rFonts w:ascii="Times New Roman" w:cs="Times New Roman" w:eastAsia="Times New Roman" w:hAnsi="Times New Roman"/>
          <w:sz w:val="18"/>
          <w:szCs w:val="18"/>
          <w:color w:val="auto"/>
        </w:rPr>
        <w:t>Fee-earning AUM is presented below for each period together with the components of change during each respective period.</w:t>
      </w:r>
    </w:p>
    <w:p>
      <w:pPr>
        <w:sectPr>
          <w:pgSz w:w="11900" w:h="16875" w:orient="portrait"/>
          <w:cols w:equalWidth="0" w:num="1">
            <w:col w:w="9220"/>
          </w:cols>
          <w:pgMar w:left="1320" w:top="108" w:right="1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Global Investment Solutions</w:t>
      </w:r>
    </w:p>
    <w:p>
      <w:pPr>
        <w:spacing w:after="0" w:line="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Components of Fee-earning AUM</w:t>
      </w:r>
      <w:r>
        <w:rPr>
          <w:rFonts w:ascii="Times New Roman" w:cs="Times New Roman" w:eastAsia="Times New Roman" w:hAnsi="Times New Roman"/>
          <w:sz w:val="21"/>
          <w:szCs w:val="21"/>
          <w:b w:val="1"/>
          <w:bCs w:val="1"/>
          <w:color w:val="auto"/>
          <w:vertAlign w:val="superscript"/>
        </w:rPr>
        <w:t>(1)</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Fee-earning AUM based on capital commitments</w:t>
      </w:r>
    </w:p>
    <w:p>
      <w:pPr>
        <w:spacing w:after="0" w:line="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Fee-earning AUM based on invested capital</w:t>
      </w:r>
      <w:r>
        <w:rPr>
          <w:rFonts w:ascii="Times New Roman" w:cs="Times New Roman" w:eastAsia="Times New Roman" w:hAnsi="Times New Roman"/>
          <w:sz w:val="21"/>
          <w:szCs w:val="21"/>
          <w:color w:val="auto"/>
          <w:vertAlign w:val="superscript"/>
        </w:rPr>
        <w:t>(2)</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Fee-earning AUM based on net asset value</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Fee-earning AUM based on lower of cost or fair market value</w:t>
      </w:r>
    </w:p>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Total Fee-earning AUM</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Annualized Management Fee Rate</w:t>
      </w:r>
      <w:r>
        <w:rPr>
          <w:rFonts w:ascii="Times New Roman" w:cs="Times New Roman" w:eastAsia="Times New Roman" w:hAnsi="Times New Roman"/>
          <w:sz w:val="21"/>
          <w:szCs w:val="21"/>
          <w:color w:val="auto"/>
          <w:vertAlign w:val="superscript"/>
        </w:rPr>
        <w:t>(3)</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b w:val="1"/>
          <w:bCs w:val="1"/>
          <w:color w:val="auto"/>
        </w:rPr>
        <w:t>As of March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4"/>
        </w:trPr>
        <w:tc>
          <w:tcPr>
            <w:tcW w:w="360" w:type="dxa"/>
            <w:vAlign w:val="bottom"/>
          </w:tcPr>
          <w:p>
            <w:pPr>
              <w:spacing w:after="0"/>
              <w:rPr>
                <w:sz w:val="21"/>
                <w:szCs w:val="21"/>
                <w:color w:val="auto"/>
              </w:rPr>
            </w:pPr>
          </w:p>
        </w:tc>
        <w:tc>
          <w:tcPr>
            <w:tcW w:w="264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527"/>
        </w:trPr>
        <w:tc>
          <w:tcPr>
            <w:tcW w:w="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18,356</w:t>
            </w:r>
          </w:p>
        </w:tc>
        <w:tc>
          <w:tcPr>
            <w:tcW w:w="80" w:type="dxa"/>
            <w:vAlign w:val="bottom"/>
          </w:tcPr>
          <w:p>
            <w:pPr>
              <w:spacing w:after="0"/>
              <w:rPr>
                <w:sz w:val="24"/>
                <w:szCs w:val="24"/>
                <w:color w:val="auto"/>
              </w:rPr>
            </w:pPr>
          </w:p>
        </w:tc>
        <w:tc>
          <w:tcPr>
            <w:tcW w:w="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19,991</w:t>
            </w:r>
          </w:p>
        </w:tc>
      </w:tr>
      <w:tr>
        <w:trPr>
          <w:trHeight w:val="270"/>
        </w:trPr>
        <w:tc>
          <w:tcPr>
            <w:tcW w:w="360" w:type="dxa"/>
            <w:vAlign w:val="bottom"/>
          </w:tcPr>
          <w:p>
            <w:pPr>
              <w:spacing w:after="0"/>
              <w:rPr>
                <w:sz w:val="23"/>
                <w:szCs w:val="23"/>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8,674</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4,966</w:t>
            </w:r>
          </w:p>
        </w:tc>
      </w:tr>
      <w:tr>
        <w:trPr>
          <w:trHeight w:val="270"/>
        </w:trPr>
        <w:tc>
          <w:tcPr>
            <w:tcW w:w="360" w:type="dxa"/>
            <w:vAlign w:val="bottom"/>
          </w:tcPr>
          <w:p>
            <w:pPr>
              <w:spacing w:after="0"/>
              <w:rPr>
                <w:sz w:val="23"/>
                <w:szCs w:val="23"/>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10,917</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4,126</w:t>
            </w:r>
          </w:p>
        </w:tc>
      </w:tr>
      <w:tr>
        <w:trPr>
          <w:trHeight w:val="263"/>
        </w:trPr>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8,826</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9,178</w:t>
            </w:r>
          </w:p>
        </w:tc>
      </w:tr>
      <w:tr>
        <w:trPr>
          <w:trHeight w:val="209"/>
        </w:trPr>
        <w:tc>
          <w:tcPr>
            <w:tcW w:w="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46,773</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38,261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87"/>
        </w:trPr>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0.60 %</w:t>
            </w:r>
          </w:p>
        </w:tc>
      </w:tr>
    </w:tbl>
    <w:p>
      <w:pPr>
        <w:spacing w:after="0" w:line="168" w:lineRule="exact"/>
        <w:rPr>
          <w:sz w:val="20"/>
          <w:szCs w:val="20"/>
          <w:color w:val="auto"/>
        </w:rPr>
      </w:pPr>
    </w:p>
    <w:p>
      <w:pPr>
        <w:sectPr>
          <w:pgSz w:w="11900" w:h="16875" w:orient="portrait"/>
          <w:cols w:equalWidth="0" w:num="2">
            <w:col w:w="5500" w:space="720"/>
            <w:col w:w="3000"/>
          </w:cols>
          <w:pgMar w:left="1320" w:top="108" w:right="1359" w:bottom="0" w:gutter="0" w:footer="0" w:header="0"/>
          <w:type w:val="continuous"/>
        </w:sectPr>
      </w:pPr>
    </w:p>
    <w:p>
      <w:pPr>
        <w:ind w:left="420" w:hanging="413"/>
        <w:spacing w:after="0"/>
        <w:tabs>
          <w:tab w:leader="none" w:pos="4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additional information concerning the components of Fee-earning AUM, see “—Key Financial Measures—Operating Metrics.”</w:t>
      </w:r>
    </w:p>
    <w:p>
      <w:pPr>
        <w:spacing w:after="0" w:line="59" w:lineRule="exact"/>
        <w:rPr>
          <w:rFonts w:ascii="Times New Roman" w:cs="Times New Roman" w:eastAsia="Times New Roman" w:hAnsi="Times New Roman"/>
          <w:sz w:val="16"/>
          <w:szCs w:val="16"/>
          <w:color w:val="auto"/>
        </w:rPr>
      </w:pPr>
    </w:p>
    <w:p>
      <w:pPr>
        <w:ind w:left="420" w:hanging="413"/>
        <w:spacing w:after="0"/>
        <w:tabs>
          <w:tab w:leader="none" w:pos="4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committed to or reserved for certain AlpInvest funds.</w:t>
      </w:r>
    </w:p>
    <w:p>
      <w:pPr>
        <w:spacing w:after="0" w:line="72" w:lineRule="exact"/>
        <w:rPr>
          <w:rFonts w:ascii="Times New Roman" w:cs="Times New Roman" w:eastAsia="Times New Roman" w:hAnsi="Times New Roman"/>
          <w:sz w:val="16"/>
          <w:szCs w:val="16"/>
          <w:color w:val="auto"/>
        </w:rPr>
      </w:pPr>
    </w:p>
    <w:p>
      <w:pPr>
        <w:ind w:left="420" w:right="20" w:hanging="413"/>
        <w:spacing w:after="0" w:line="280" w:lineRule="auto"/>
        <w:tabs>
          <w:tab w:leader="none" w:pos="4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annualized fund management fees divided by the average of the beginning of year and each quarter end’s Fee-earning AUM in the reporting period. Catch-up management fees were excluded in the calculation of the annualized fund management fees.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provides the period to period rollforward of Fee-earning AUM.</w:t>
      </w:r>
    </w:p>
    <w:p>
      <w:pPr>
        <w:spacing w:after="0" w:line="334" w:lineRule="exact"/>
        <w:rPr>
          <w:sz w:val="20"/>
          <w:szCs w:val="20"/>
          <w:color w:val="auto"/>
        </w:rPr>
      </w:pPr>
    </w:p>
    <w:p>
      <w:pPr>
        <w:jc w:val="center"/>
        <w:ind w:left="39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39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6" w:lineRule="exact"/>
        <w:rPr>
          <w:sz w:val="20"/>
          <w:szCs w:val="20"/>
          <w:color w:val="auto"/>
        </w:rPr>
      </w:pPr>
    </w:p>
    <w:tbl>
      <w:tblPr>
        <w:tblLayout w:type="fixed"/>
        <w:tblInd w:w="1400" w:type="dxa"/>
        <w:tblCellMar>
          <w:top w:w="0" w:type="dxa"/>
          <w:left w:w="0" w:type="dxa"/>
          <w:bottom w:w="0" w:type="dxa"/>
          <w:right w:w="0" w:type="dxa"/>
        </w:tblCellMar>
      </w:tblPr>
      <w:tr>
        <w:trPr>
          <w:trHeight w:val="212"/>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6"/>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Global Investment Solutions</w:t>
            </w:r>
          </w:p>
        </w:tc>
        <w:tc>
          <w:tcPr>
            <w:tcW w:w="940" w:type="dxa"/>
            <w:vAlign w:val="bottom"/>
          </w:tcPr>
          <w:p>
            <w:pPr>
              <w:spacing w:after="0"/>
              <w:rPr>
                <w:sz w:val="22"/>
                <w:szCs w:val="22"/>
                <w:color w:val="auto"/>
              </w:rPr>
            </w:pPr>
          </w:p>
        </w:tc>
        <w:tc>
          <w:tcPr>
            <w:tcW w:w="2280" w:type="dxa"/>
            <w:vAlign w:val="bottom"/>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56"/>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Fee-earning AUM Rollforward</w:t>
            </w:r>
          </w:p>
        </w:tc>
        <w:tc>
          <w:tcPr>
            <w:tcW w:w="9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3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45,529</w:t>
            </w:r>
          </w:p>
        </w:tc>
        <w:tc>
          <w:tcPr>
            <w:tcW w:w="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37,547</w:t>
            </w:r>
          </w:p>
        </w:tc>
      </w:tr>
      <w:tr>
        <w:trPr>
          <w:trHeight w:val="319"/>
        </w:trPr>
        <w:tc>
          <w:tcPr>
            <w:tcW w:w="3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Inflows</w:t>
            </w:r>
            <w:r>
              <w:rPr>
                <w:rFonts w:ascii="Times New Roman" w:cs="Times New Roman" w:eastAsia="Times New Roman" w:hAnsi="Times New Roman"/>
                <w:sz w:val="21"/>
                <w:szCs w:val="21"/>
                <w:color w:val="auto"/>
                <w:vertAlign w:val="superscript"/>
              </w:rPr>
              <w:t>(1)</w:t>
            </w:r>
          </w:p>
        </w:tc>
        <w:tc>
          <w:tcPr>
            <w:tcW w:w="94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2,184</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w:t>
            </w:r>
          </w:p>
        </w:tc>
      </w:tr>
      <w:tr>
        <w:trPr>
          <w:trHeight w:val="270"/>
        </w:trPr>
        <w:tc>
          <w:tcPr>
            <w:tcW w:w="3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Outflows (including realizations)</w:t>
            </w:r>
            <w:r>
              <w:rPr>
                <w:rFonts w:ascii="Times New Roman" w:cs="Times New Roman" w:eastAsia="Times New Roman" w:hAnsi="Times New Roman"/>
                <w:sz w:val="21"/>
                <w:szCs w:val="21"/>
                <w:color w:val="auto"/>
                <w:vertAlign w:val="superscript"/>
              </w:rPr>
              <w:t>(2)</w:t>
            </w:r>
          </w:p>
        </w:tc>
        <w:tc>
          <w:tcPr>
            <w:tcW w:w="9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r>
      <w:tr>
        <w:trPr>
          <w:trHeight w:val="270"/>
        </w:trPr>
        <w:tc>
          <w:tcPr>
            <w:tcW w:w="3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Market Activity &amp; Other</w:t>
            </w:r>
            <w:r>
              <w:rPr>
                <w:rFonts w:ascii="Times New Roman" w:cs="Times New Roman" w:eastAsia="Times New Roman" w:hAnsi="Times New Roman"/>
                <w:sz w:val="21"/>
                <w:szCs w:val="21"/>
                <w:color w:val="auto"/>
                <w:vertAlign w:val="superscript"/>
              </w:rPr>
              <w:t>(3)</w:t>
            </w:r>
          </w:p>
        </w:tc>
        <w:tc>
          <w:tcPr>
            <w:tcW w:w="94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215</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79"/>
        </w:trPr>
        <w:tc>
          <w:tcPr>
            <w:tcW w:w="3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 Exchange</w:t>
            </w:r>
            <w:r>
              <w:rPr>
                <w:rFonts w:ascii="Times New Roman" w:cs="Times New Roman" w:eastAsia="Times New Roman" w:hAnsi="Times New Roman"/>
                <w:sz w:val="21"/>
                <w:szCs w:val="21"/>
                <w:color w:val="auto"/>
                <w:vertAlign w:val="superscript"/>
              </w:rPr>
              <w:t>(4)</w:t>
            </w:r>
          </w:p>
        </w:tc>
        <w:tc>
          <w:tcPr>
            <w:tcW w:w="9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r>
    </w:tbl>
    <w:p>
      <w:pPr>
        <w:sectPr>
          <w:pgSz w:w="11900" w:h="16875" w:orient="portrait"/>
          <w:cols w:equalWidth="0" w:num="1">
            <w:col w:w="9220"/>
          </w:cols>
          <w:pgMar w:left="1320" w:top="108" w:right="1359" w:bottom="0" w:gutter="0" w:footer="0" w:header="0"/>
          <w:type w:val="continuous"/>
        </w:sectPr>
      </w:pPr>
    </w:p>
    <w:bookmarkStart w:id="91" w:name="page92"/>
    <w:bookmarkEnd w:id="91"/>
    <w:p>
      <w:pPr>
        <w:ind w:left="1400"/>
        <w:spacing w:after="0"/>
        <w:tabs>
          <w:tab w:leader="none" w:pos="5360" w:val="left"/>
          <w:tab w:leader="none" w:pos="6040" w:val="left"/>
          <w:tab w:leader="none" w:pos="6680" w:val="left"/>
          <w:tab w:leader="none" w:pos="7380" w:val="left"/>
        </w:tabs>
        <w:rPr>
          <w:sz w:val="20"/>
          <w:szCs w:val="20"/>
          <w:color w:val="auto"/>
        </w:rPr>
      </w:pPr>
      <w:r>
        <w:rPr>
          <w:rFonts w:ascii="Times New Roman" w:cs="Times New Roman" w:eastAsia="Times New Roman" w:hAnsi="Times New Roman"/>
          <w:sz w:val="16"/>
          <w:szCs w:val="16"/>
          <w:b w:val="1"/>
          <w:bCs w:val="1"/>
          <w:color w:val="auto"/>
        </w:rPr>
        <w:t>Balance, End of Period</w:t>
      </w:r>
      <w:r>
        <w:rPr>
          <w:sz w:val="20"/>
          <w:szCs w:val="20"/>
          <w:color w:val="auto"/>
        </w:rPr>
        <w:tab/>
      </w: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46,773</w:t>
        <w:tab/>
        <w:t>$</w:t>
      </w:r>
      <w:r>
        <w:rPr>
          <w:sz w:val="20"/>
          <w:szCs w:val="20"/>
          <w:color w:val="auto"/>
        </w:rPr>
        <w:tab/>
      </w:r>
      <w:r>
        <w:rPr>
          <w:rFonts w:ascii="Times New Roman" w:cs="Times New Roman" w:eastAsia="Times New Roman" w:hAnsi="Times New Roman"/>
          <w:sz w:val="16"/>
          <w:szCs w:val="16"/>
          <w:b w:val="1"/>
          <w:bCs w:val="1"/>
          <w:color w:val="auto"/>
        </w:rPr>
        <w:t>38,261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-97155</wp:posOffset>
            </wp:positionV>
            <wp:extent cx="7016115" cy="33623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16115" cy="3362325"/>
                    </a:xfrm>
                    <a:prstGeom prst="rect">
                      <a:avLst/>
                    </a:prstGeom>
                    <a:noFill/>
                  </pic:spPr>
                </pic:pic>
              </a:graphicData>
            </a:graphic>
          </wp:anchor>
        </w:drawing>
      </w:r>
    </w:p>
    <w:p>
      <w:pPr>
        <w:spacing w:after="0" w:line="136" w:lineRule="exact"/>
        <w:rPr>
          <w:sz w:val="20"/>
          <w:szCs w:val="20"/>
          <w:color w:val="auto"/>
        </w:rPr>
      </w:pPr>
    </w:p>
    <w:p>
      <w:pPr>
        <w:ind w:left="420" w:hanging="413"/>
        <w:spacing w:after="0" w:line="263" w:lineRule="auto"/>
        <w:tabs>
          <w:tab w:leader="none" w:pos="4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Inflows represents limited partner capital raised by our carry funds or separ</w:t>
      </w:r>
      <w:r>
        <w:rPr>
          <w:rFonts w:ascii="Times New Roman" w:cs="Times New Roman" w:eastAsia="Times New Roman" w:hAnsi="Times New Roman"/>
          <w:sz w:val="16"/>
          <w:szCs w:val="16"/>
          <w:color w:val="auto"/>
          <w:strike w:val="1"/>
        </w:rPr>
        <w:t>ately managed accounts for which mana</w:t>
      </w:r>
      <w:r>
        <w:rPr>
          <w:rFonts w:ascii="Times New Roman" w:cs="Times New Roman" w:eastAsia="Times New Roman" w:hAnsi="Times New Roman"/>
          <w:sz w:val="16"/>
          <w:szCs w:val="16"/>
          <w:color w:val="auto"/>
        </w:rPr>
        <w:t>gement fees based on commitments were activated during the period and the fee-earning commitments invested in vehicles for which management fees are based on invested capital. Inflows exclude fundraising amounts during the period for which fees have not yet been activated, which are referenced as Pending Fee-earning AUM.</w:t>
      </w:r>
    </w:p>
    <w:p>
      <w:pPr>
        <w:spacing w:after="0" w:line="30" w:lineRule="exact"/>
        <w:rPr>
          <w:rFonts w:ascii="Times New Roman" w:cs="Times New Roman" w:eastAsia="Times New Roman" w:hAnsi="Times New Roman"/>
          <w:sz w:val="16"/>
          <w:szCs w:val="16"/>
          <w:color w:val="auto"/>
        </w:rPr>
      </w:pPr>
    </w:p>
    <w:p>
      <w:pPr>
        <w:ind w:left="420" w:right="80" w:hanging="413"/>
        <w:spacing w:after="0" w:line="263" w:lineRule="auto"/>
        <w:tabs>
          <w:tab w:leader="none" w:pos="4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Outflows represents the impact of realizations from vehicles with management fees based on remaining invested capital at cost or fair value, changes in basis for funds where the investment period, weighted-average investment period or commitment fee period has expired during the period, and reductions for funds that are no longer calling for fees. Distributions for funds earning management fees based on commitments during the period do not affect Fee-earning AUM.</w:t>
      </w:r>
    </w:p>
    <w:p>
      <w:pPr>
        <w:spacing w:after="0" w:line="17" w:lineRule="exact"/>
        <w:rPr>
          <w:rFonts w:ascii="Times New Roman" w:cs="Times New Roman" w:eastAsia="Times New Roman" w:hAnsi="Times New Roman"/>
          <w:sz w:val="16"/>
          <w:szCs w:val="16"/>
          <w:color w:val="auto"/>
        </w:rPr>
      </w:pPr>
    </w:p>
    <w:p>
      <w:pPr>
        <w:ind w:left="420" w:right="380" w:hanging="413"/>
        <w:spacing w:after="0" w:line="290" w:lineRule="auto"/>
        <w:tabs>
          <w:tab w:leader="none" w:pos="4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Activity &amp; Other represents realized and unrealized gains (losses) on portfolio investments in our carry funds based on the lower of cost or fair value and net asset value.</w:t>
      </w:r>
    </w:p>
    <w:p>
      <w:pPr>
        <w:ind w:left="420" w:right="100" w:hanging="413"/>
        <w:spacing w:after="0" w:line="272" w:lineRule="auto"/>
        <w:tabs>
          <w:tab w:leader="none" w:pos="4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represents the impact of foreign exchange rate fluctuatio</w:t>
      </w:r>
      <w:r>
        <w:rPr>
          <w:rFonts w:ascii="Times New Roman" w:cs="Times New Roman" w:eastAsia="Times New Roman" w:hAnsi="Times New Roman"/>
          <w:sz w:val="16"/>
          <w:szCs w:val="16"/>
          <w:color w:val="auto"/>
          <w:strike w:val="1"/>
        </w:rPr>
        <w:t>ns on the translation of our non-U.S. dol</w:t>
      </w:r>
      <w:r>
        <w:rPr>
          <w:rFonts w:ascii="Times New Roman" w:cs="Times New Roman" w:eastAsia="Times New Roman" w:hAnsi="Times New Roman"/>
          <w:sz w:val="16"/>
          <w:szCs w:val="16"/>
          <w:color w:val="auto"/>
        </w:rPr>
        <w:t xml:space="preserve">lar denominated funds. Activity </w:t>
      </w:r>
      <w:r>
        <w:rPr>
          <w:rFonts w:ascii="Times New Roman" w:cs="Times New Roman" w:eastAsia="Times New Roman" w:hAnsi="Times New Roman"/>
          <w:sz w:val="16"/>
          <w:szCs w:val="16"/>
          <w:color w:val="auto"/>
          <w:shd w:val="clear" w:color="auto" w:fill="CCEEFF"/>
        </w:rPr>
        <w:t>during the period is translated at the average rate for the peri</w:t>
      </w:r>
      <w:r>
        <w:rPr>
          <w:rFonts w:ascii="Times New Roman" w:cs="Times New Roman" w:eastAsia="Times New Roman" w:hAnsi="Times New Roman"/>
          <w:sz w:val="16"/>
          <w:szCs w:val="16"/>
          <w:u w:val="single" w:color="auto"/>
          <w:color w:val="auto"/>
          <w:shd w:val="clear" w:color="auto" w:fill="CCEEFF"/>
        </w:rPr>
        <w:t>od. Ending balance</w:t>
      </w:r>
      <w:r>
        <w:rPr>
          <w:rFonts w:ascii="Times New Roman" w:cs="Times New Roman" w:eastAsia="Times New Roman" w:hAnsi="Times New Roman"/>
          <w:sz w:val="16"/>
          <w:szCs w:val="16"/>
          <w:color w:val="auto"/>
          <w:shd w:val="clear" w:color="auto" w:fill="CCEEFF"/>
        </w:rPr>
        <w:t>s are translated at th</w:t>
      </w:r>
      <w:r>
        <w:rPr>
          <w:rFonts w:ascii="Times New Roman" w:cs="Times New Roman" w:eastAsia="Times New Roman" w:hAnsi="Times New Roman"/>
          <w:sz w:val="16"/>
          <w:szCs w:val="16"/>
          <w:color w:val="auto"/>
        </w:rPr>
        <w:t>e spot rate as of the period end.</w:t>
      </w:r>
    </w:p>
    <w:p>
      <w:pPr>
        <w:spacing w:after="0" w:line="166" w:lineRule="exact"/>
        <w:rPr>
          <w:sz w:val="20"/>
          <w:szCs w:val="20"/>
          <w:color w:val="auto"/>
        </w:rPr>
      </w:pPr>
    </w:p>
    <w:p>
      <w:pPr>
        <w:ind w:right="140" w:firstLine="445"/>
        <w:spacing w:after="0" w:line="256" w:lineRule="auto"/>
        <w:rPr>
          <w:sz w:val="20"/>
          <w:szCs w:val="20"/>
          <w:color w:val="auto"/>
        </w:rPr>
      </w:pPr>
      <w:r>
        <w:rPr>
          <w:rFonts w:ascii="Times New Roman" w:cs="Times New Roman" w:eastAsia="Times New Roman" w:hAnsi="Times New Roman"/>
          <w:sz w:val="18"/>
          <w:szCs w:val="18"/>
          <w:color w:val="auto"/>
        </w:rPr>
        <w:t>Fee-earning AUM was $46.8 billion at March 31, 2024, an increase of $1.3 billion, or approximately 3%, compared to $45.5 billion at December 31, 2023, as inflows were partially offset by outflows. Inflows of $2.2 billion were primarily driven by fee-paying capital raised in our secondaries and co-investment strategies and investment activity across all strategies. Outflows of $0.7 billion were driven by realizations in our primary and secondaries funds that charge fees on invested capital. Distributions from funds still in the commitment or weighted-average investment period do not impact Fee-earning AUM as these funds are based on commitments and not invested capital.</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70713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16115" cy="7071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Fee-earning AUM was $46.8 billion at March 31, 2024, an increase of $8.5 billion, or approximately 22%, compared to $38.3 billion at March 31, 2023, as inflows more than outpaced outflows during the period. Inflows of $14.1 billion were primarily driven by the activation of of fees and additional commitments raised in our secondaries and co-investment strategies and investment activity across all strategies. Outflows of $5.9 billion were driven by realizations in our primary and secondaries funds and step-downs in fee bases.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provides the period to period rollforward of Total AUM.</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3"/>
        </w:trPr>
        <w:tc>
          <w:tcPr>
            <w:tcW w:w="5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50"/>
        </w:trPr>
        <w:tc>
          <w:tcPr>
            <w:tcW w:w="5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(Dollars in millions)</w:t>
            </w:r>
          </w:p>
        </w:tc>
      </w:tr>
      <w:tr>
        <w:trPr>
          <w:trHeight w:val="270"/>
        </w:trPr>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Global Investment Solutions</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70"/>
        </w:trPr>
        <w:tc>
          <w:tcPr>
            <w:tcW w:w="52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Total AUM Rollforward</w:t>
            </w: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0"/>
        </w:trPr>
        <w:tc>
          <w:tcPr>
            <w:tcW w:w="5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76,860</w:t>
            </w:r>
          </w:p>
        </w:tc>
      </w:tr>
      <w:tr>
        <w:trPr>
          <w:trHeight w:val="270"/>
        </w:trPr>
        <w:tc>
          <w:tcPr>
            <w:tcW w:w="52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Inflows</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w:t>
            </w:r>
          </w:p>
        </w:tc>
      </w:tr>
      <w:tr>
        <w:trPr>
          <w:trHeight w:val="270"/>
        </w:trPr>
        <w:tc>
          <w:tcPr>
            <w:tcW w:w="5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Outflows (including realizations)</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w:t>
            </w:r>
          </w:p>
        </w:tc>
      </w:tr>
      <w:tr>
        <w:trPr>
          <w:trHeight w:val="270"/>
        </w:trPr>
        <w:tc>
          <w:tcPr>
            <w:tcW w:w="52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Market Activity &amp; Other</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3,534</w:t>
            </w:r>
          </w:p>
        </w:tc>
      </w:tr>
      <w:tr>
        <w:trPr>
          <w:trHeight w:val="270"/>
        </w:trPr>
        <w:tc>
          <w:tcPr>
            <w:tcW w:w="5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Foreign Exchange</w:t>
            </w:r>
            <w:r>
              <w:rPr>
                <w:rFonts w:ascii="Times New Roman" w:cs="Times New Roman" w:eastAsia="Times New Roman" w:hAnsi="Times New Roman"/>
                <w:sz w:val="21"/>
                <w:szCs w:val="21"/>
                <w:color w:val="auto"/>
                <w:vertAlign w:val="superscript"/>
              </w:rPr>
              <w:t>(4)</w:t>
            </w:r>
          </w:p>
        </w:tc>
        <w:tc>
          <w:tcPr>
            <w:tcW w:w="1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r>
      <w:tr>
        <w:trPr>
          <w:trHeight w:val="223"/>
        </w:trPr>
        <w:tc>
          <w:tcPr>
            <w:tcW w:w="52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79,924</w:t>
            </w: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hanging="413"/>
        <w:spacing w:after="0" w:line="263" w:lineRule="auto"/>
        <w:tabs>
          <w:tab w:leader="none" w:pos="4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Inflows reflects the impact of gross fundraising during the period. For funds or vehicles denominated in foreign currencies, this reflects translation at the average quarterly rate, while the separately reported Fundraising metric is translated at the spot rate for each individual closing.</w:t>
      </w:r>
    </w:p>
    <w:p>
      <w:pPr>
        <w:spacing w:after="0" w:line="29" w:lineRule="exact"/>
        <w:rPr>
          <w:rFonts w:ascii="Times New Roman" w:cs="Times New Roman" w:eastAsia="Times New Roman" w:hAnsi="Times New Roman"/>
          <w:sz w:val="16"/>
          <w:szCs w:val="16"/>
          <w:color w:val="auto"/>
        </w:rPr>
      </w:pPr>
    </w:p>
    <w:p>
      <w:pPr>
        <w:ind w:left="420" w:right="400" w:hanging="413"/>
        <w:spacing w:after="0" w:line="280" w:lineRule="auto"/>
        <w:tabs>
          <w:tab w:leader="none" w:pos="4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Outflows includes distributions in our carry funds, related co-investment vehicles and separately managed accounts, as well as the expiration of available capital.</w:t>
      </w:r>
    </w:p>
    <w:p>
      <w:pPr>
        <w:spacing w:after="0" w:line="16" w:lineRule="exact"/>
        <w:rPr>
          <w:rFonts w:ascii="Times New Roman" w:cs="Times New Roman" w:eastAsia="Times New Roman" w:hAnsi="Times New Roman"/>
          <w:sz w:val="16"/>
          <w:szCs w:val="16"/>
          <w:color w:val="auto"/>
        </w:rPr>
      </w:pPr>
    </w:p>
    <w:p>
      <w:pPr>
        <w:jc w:val="both"/>
        <w:ind w:left="420" w:right="60" w:hanging="413"/>
        <w:spacing w:after="0" w:line="263" w:lineRule="auto"/>
        <w:tabs>
          <w:tab w:leader="none" w:pos="4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Activity &amp; Other generally represents realized and unrealized gains (losses) on portfolio investments in our carry funds, related co-investment vehicles and separately managed accounts, the net impact of fees, expenses and non-investment income, as well as other changes in AUM.</w:t>
      </w:r>
    </w:p>
    <w:p>
      <w:pPr>
        <w:spacing w:after="0" w:line="29" w:lineRule="exact"/>
        <w:rPr>
          <w:rFonts w:ascii="Times New Roman" w:cs="Times New Roman" w:eastAsia="Times New Roman" w:hAnsi="Times New Roman"/>
          <w:sz w:val="16"/>
          <w:szCs w:val="16"/>
          <w:color w:val="auto"/>
        </w:rPr>
      </w:pPr>
    </w:p>
    <w:p>
      <w:pPr>
        <w:ind w:left="420" w:right="100" w:hanging="413"/>
        <w:spacing w:after="0" w:line="272" w:lineRule="auto"/>
        <w:tabs>
          <w:tab w:leader="none" w:pos="4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represents the impact of foreign exchange rate fluctuations on the translation of our non-U.S. dollar denominated funds. Activity during the period is translated at the average rate for the period. Ending balances are translated at the spot rate as of the period end.</w:t>
      </w:r>
    </w:p>
    <w:p>
      <w:pPr>
        <w:spacing w:after="0" w:line="166"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Total AUM was $79.9 billion at March 31, 2024, an increase of $3.0 billion, or approximately 4%, compared to $76.9 billion at December 31, 2023. The increase was driven by $3.5 billion of market appreciation and other activity and $2.4 billion of inflows related to fundraising primarily in our secondaries and co-investment strategies. These increases were partially offset by outflows of $2.0 billion from realizations predominantly in our primary and secondaries funds.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 Performance Metrics</w:t>
      </w:r>
    </w:p>
    <w:p>
      <w:pPr>
        <w:spacing w:after="0" w:line="229"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Fund performance information for our Global Investment Solutions funds that have at least $1.0 billion in capital commitments, cumulative equity invested or total value as of March 31, 2024, which we refer to as our “significant funds,” is included throughout this discussion and analysis to facilitate an understanding of our results of operations for the periods presented. We also present fund performance information for portfolios of investments held by separately managed accounts, generally aggregated either as invested alongside the relevant commingled fund or over a specified time period. The fund return information reflected in this discussion and analysis is not indicative of the performance of The Carlyle Group Inc. and is also not necessarily indicative of the future performance of any particular fund. An investment in The Carlyle Group Inc. is not an</w:t>
      </w:r>
    </w:p>
    <w:p>
      <w:pPr>
        <w:sectPr>
          <w:pgSz w:w="11900" w:h="16838" w:orient="portrait"/>
          <w:cols w:equalWidth="0" w:num="1">
            <w:col w:w="9240"/>
          </w:cols>
          <w:pgMar w:left="1320" w:top="110" w:right="1339" w:bottom="0" w:gutter="0" w:footer="0" w:header="0"/>
        </w:sectPr>
      </w:pPr>
    </w:p>
    <w:bookmarkStart w:id="92" w:name="page93"/>
    <w:bookmarkEnd w:id="92"/>
    <w:p>
      <w:pPr>
        <w:ind w:right="440"/>
        <w:spacing w:after="0" w:line="185" w:lineRule="auto"/>
        <w:rPr>
          <w:sz w:val="20"/>
          <w:szCs w:val="20"/>
          <w:color w:val="auto"/>
        </w:rPr>
      </w:pPr>
      <w:r>
        <w:rPr>
          <w:rFonts w:ascii="Times New Roman" w:cs="Times New Roman" w:eastAsia="Times New Roman" w:hAnsi="Times New Roman"/>
          <w:sz w:val="17"/>
          <w:szCs w:val="17"/>
          <w:color w:val="auto"/>
        </w:rPr>
        <w:t>investment in any of our funds. There can be no assurance that any of our funds or our other existing and future funds will achieve similar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-170180</wp:posOffset>
            </wp:positionV>
            <wp:extent cx="7016115" cy="19907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16115" cy="199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84429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16115" cy="844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reflect the performance of our significant funds in our Global Investment Solutions business.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60" w:type="dxa"/>
            <w:vAlign w:val="bottom"/>
          </w:tcPr>
          <w:p>
            <w:pPr>
              <w:ind w:left="60"/>
              <w:spacing w:after="0"/>
              <w:rPr>
                <w:sz w:val="20"/>
                <w:szCs w:val="20"/>
                <w:color w:val="auto"/>
              </w:rPr>
            </w:pPr>
            <w:r>
              <w:rPr>
                <w:rFonts w:ascii="Times New Roman" w:cs="Times New Roman" w:eastAsia="Times New Roman" w:hAnsi="Times New Roman"/>
                <w:sz w:val="11"/>
                <w:szCs w:val="11"/>
                <w:i w:val="1"/>
                <w:iCs w:val="1"/>
                <w:color w:val="auto"/>
                <w:w w:val="90"/>
              </w:rPr>
              <w:t>(Amounts in millions)</w:t>
            </w:r>
          </w:p>
        </w:tc>
        <w:tc>
          <w:tcPr>
            <w:tcW w:w="2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6"/>
              </w:rPr>
              <w:t>TOTAL INVESTMENTS</w:t>
            </w: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6"/>
              </w:rPr>
              <w:t>As of March 31, 2024</w:t>
            </w:r>
          </w:p>
        </w:tc>
        <w:tc>
          <w:tcPr>
            <w:tcW w:w="4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9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b w:val="1"/>
                <w:bCs w:val="1"/>
                <w:color w:val="auto"/>
              </w:rPr>
              <w:t>Cumulative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Remaining</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Net</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b w:val="1"/>
                <w:bCs w:val="1"/>
                <w:color w:val="auto"/>
              </w:rPr>
              <w:t>Net Accrued</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Vintage</w:t>
            </w: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b w:val="1"/>
                <w:bCs w:val="1"/>
                <w:color w:val="auto"/>
                <w:w w:val="97"/>
              </w:rPr>
              <w:t>Invested</w:t>
            </w: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Realized</w:t>
            </w:r>
          </w:p>
        </w:tc>
        <w:tc>
          <w:tcPr>
            <w:tcW w:w="720" w:type="dxa"/>
            <w:vAlign w:val="bottom"/>
            <w:gridSpan w:val="2"/>
            <w:vMerge w:val="continue"/>
          </w:tcPr>
          <w:p>
            <w:pPr>
              <w:spacing w:after="0"/>
              <w:rPr>
                <w:sz w:val="10"/>
                <w:szCs w:val="10"/>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 Fair</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MOIC</w:t>
            </w:r>
          </w:p>
        </w:tc>
        <w:tc>
          <w:tcPr>
            <w:tcW w:w="4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center"/>
              <w:ind w:right="77"/>
              <w:spacing w:after="0" w:line="122" w:lineRule="exact"/>
              <w:rPr>
                <w:sz w:val="20"/>
                <w:szCs w:val="20"/>
                <w:color w:val="auto"/>
              </w:rPr>
            </w:pPr>
            <w:r>
              <w:rPr>
                <w:rFonts w:ascii="Times New Roman" w:cs="Times New Roman" w:eastAsia="Times New Roman" w:hAnsi="Times New Roman"/>
                <w:sz w:val="13"/>
                <w:szCs w:val="13"/>
                <w:b w:val="1"/>
                <w:bCs w:val="1"/>
                <w:color w:val="auto"/>
                <w:w w:val="95"/>
              </w:rPr>
              <w:t>Carry/</w:t>
            </w: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77"/>
              <w:spacing w:after="0" w:line="128"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580" w:type="dxa"/>
            <w:vAlign w:val="bottom"/>
            <w:gridSpan w:val="2"/>
            <w:vMerge w:val="continue"/>
          </w:tcPr>
          <w:p>
            <w:pPr>
              <w:spacing w:after="0"/>
              <w:rPr>
                <w:sz w:val="11"/>
                <w:szCs w:val="11"/>
                <w:color w:val="auto"/>
              </w:rPr>
            </w:pPr>
          </w:p>
        </w:tc>
        <w:tc>
          <w:tcPr>
            <w:tcW w:w="720" w:type="dxa"/>
            <w:vAlign w:val="bottom"/>
            <w:gridSpan w:val="2"/>
          </w:tcPr>
          <w:p>
            <w:pPr>
              <w:ind w:left="80"/>
              <w:spacing w:after="0" w:line="12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72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4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IRR</w:t>
            </w:r>
          </w:p>
        </w:tc>
        <w:tc>
          <w:tcPr>
            <w:tcW w:w="5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IRR</w:t>
            </w:r>
          </w:p>
        </w:tc>
        <w:tc>
          <w:tcPr>
            <w:tcW w:w="76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(Giveback)</w:t>
            </w:r>
          </w:p>
        </w:tc>
        <w:tc>
          <w:tcPr>
            <w:tcW w:w="0" w:type="dxa"/>
            <w:vAlign w:val="bottom"/>
          </w:tcPr>
          <w:p>
            <w:pPr>
              <w:spacing w:after="0"/>
              <w:rPr>
                <w:sz w:val="1"/>
                <w:szCs w:val="1"/>
                <w:color w:val="auto"/>
              </w:rPr>
            </w:pPr>
          </w:p>
        </w:tc>
      </w:tr>
      <w:tr>
        <w:trPr>
          <w:trHeight w:val="167"/>
        </w:trPr>
        <w:tc>
          <w:tcPr>
            <w:tcW w:w="3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Global Investment Solutions (1)(8)</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6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Fund Size</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8"/>
              </w:rPr>
              <w:t>(2)(3)</w:t>
            </w:r>
          </w:p>
        </w:tc>
        <w:tc>
          <w:tcPr>
            <w:tcW w:w="5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w w:val="98"/>
              </w:rPr>
              <w:t>Value (3)</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(3)</w:t>
            </w:r>
          </w:p>
        </w:tc>
        <w:tc>
          <w:tcPr>
            <w:tcW w:w="7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Value(3)(4)</w:t>
            </w:r>
          </w:p>
        </w:tc>
        <w:tc>
          <w:tcPr>
            <w:tcW w:w="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(5)</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(6)(10)</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(7)(10)</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2"/>
              </w:rPr>
              <w:t>(12)</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8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(Reported in Local Currency, in Millions)</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60" w:type="dxa"/>
            <w:vAlign w:val="bottom"/>
            <w:tcBorders>
              <w:top w:val="single" w:sz="8" w:color="08335E"/>
            </w:tcBorders>
            <w:shd w:val="clear" w:color="auto" w:fill="08335E"/>
          </w:tcPr>
          <w:p>
            <w:pPr>
              <w:spacing w:after="0"/>
              <w:rPr>
                <w:sz w:val="15"/>
                <w:szCs w:val="15"/>
                <w:color w:val="auto"/>
              </w:rPr>
            </w:pPr>
          </w:p>
        </w:tc>
        <w:tc>
          <w:tcPr>
            <w:tcW w:w="2160" w:type="dxa"/>
            <w:vAlign w:val="bottom"/>
            <w:tcBorders>
              <w:top w:val="single" w:sz="8" w:color="CCEEFF"/>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ASF VIII</w:t>
            </w:r>
          </w:p>
        </w:tc>
        <w:tc>
          <w:tcPr>
            <w:tcW w:w="5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2024</w:t>
            </w:r>
          </w:p>
        </w:tc>
        <w:tc>
          <w:tcPr>
            <w:tcW w:w="1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6,506</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1,259</w:t>
            </w:r>
          </w:p>
        </w:tc>
        <w:tc>
          <w:tcPr>
            <w:tcW w:w="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1,843</w:t>
            </w: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1,843</w:t>
            </w: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1.5x</w:t>
            </w:r>
          </w:p>
        </w:tc>
        <w:tc>
          <w:tcPr>
            <w:tcW w:w="4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1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201"/>
        </w:trPr>
        <w:tc>
          <w:tcPr>
            <w:tcW w:w="960" w:type="dxa"/>
            <w:vAlign w:val="bottom"/>
            <w:shd w:val="clear" w:color="auto" w:fill="08335E"/>
          </w:tcPr>
          <w:p>
            <w:pPr>
              <w:spacing w:after="0"/>
              <w:rPr>
                <w:sz w:val="17"/>
                <w:szCs w:val="17"/>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ASF VII</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2020</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6,769</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5,417</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1,057</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6,623</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7,679</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1.4x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25%</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204"/>
        </w:trPr>
        <w:tc>
          <w:tcPr>
            <w:tcW w:w="960" w:type="dxa"/>
            <w:vAlign w:val="bottom"/>
            <w:shd w:val="clear" w:color="auto" w:fill="08335E"/>
          </w:tcPr>
          <w:p>
            <w:pPr>
              <w:spacing w:after="0"/>
              <w:rPr>
                <w:sz w:val="17"/>
                <w:szCs w:val="17"/>
                <w:color w:val="auto"/>
              </w:rPr>
            </w:pPr>
          </w:p>
        </w:tc>
        <w:tc>
          <w:tcPr>
            <w:tcW w:w="216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ASF VII - SMAs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2020</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1,635</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2,388</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1.5x</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24%</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21%</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201"/>
        </w:trPr>
        <w:tc>
          <w:tcPr>
            <w:tcW w:w="960" w:type="dxa"/>
            <w:vAlign w:val="bottom"/>
            <w:vMerge w:val="restart"/>
            <w:shd w:val="clear" w:color="auto" w:fill="08335E"/>
          </w:tcPr>
          <w:p>
            <w:pPr>
              <w:jc w:val="center"/>
              <w:spacing w:after="0"/>
              <w:rPr>
                <w:sz w:val="20"/>
                <w:szCs w:val="20"/>
                <w:color w:val="auto"/>
              </w:rPr>
            </w:pPr>
            <w:r>
              <w:rPr>
                <w:rFonts w:ascii="Times New Roman" w:cs="Times New Roman" w:eastAsia="Times New Roman" w:hAnsi="Times New Roman"/>
                <w:sz w:val="13"/>
                <w:szCs w:val="13"/>
                <w:b w:val="1"/>
                <w:bCs w:val="1"/>
                <w:color w:val="FFFFFF"/>
                <w:w w:val="96"/>
              </w:rPr>
              <w:t>Secondaries</w:t>
            </w:r>
          </w:p>
        </w:tc>
        <w:tc>
          <w:tcPr>
            <w:tcW w:w="2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ASF VI</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2017</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3,333</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3,147</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2,960</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1,985</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4,945</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1.6x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14%</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84"/>
        </w:trPr>
        <w:tc>
          <w:tcPr>
            <w:tcW w:w="960" w:type="dxa"/>
            <w:vAlign w:val="bottom"/>
            <w:tcBorders>
              <w:bottom w:val="single" w:sz="8" w:color="08335E"/>
            </w:tcBorders>
            <w:vMerge w:val="continue"/>
            <w:shd w:val="clear" w:color="auto" w:fill="08335E"/>
          </w:tcPr>
          <w:p>
            <w:pPr>
              <w:spacing w:after="0"/>
              <w:rPr>
                <w:sz w:val="15"/>
                <w:szCs w:val="15"/>
                <w:color w:val="auto"/>
              </w:rPr>
            </w:pPr>
          </w:p>
        </w:tc>
        <w:tc>
          <w:tcPr>
            <w:tcW w:w="2160" w:type="dxa"/>
            <w:vAlign w:val="bottom"/>
            <w:tcBorders>
              <w:left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ASF VI - SMAs</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2017</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2,817</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2,739</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2,225</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2,201</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4,425</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1.6x</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16%</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14%</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54"/>
        </w:trPr>
        <w:tc>
          <w:tcPr>
            <w:tcW w:w="960" w:type="dxa"/>
            <w:vAlign w:val="bottom"/>
            <w:shd w:val="clear" w:color="auto" w:fill="08335E"/>
          </w:tcPr>
          <w:p>
            <w:pPr>
              <w:jc w:val="center"/>
              <w:spacing w:after="0" w:line="54" w:lineRule="exact"/>
              <w:rPr>
                <w:sz w:val="20"/>
                <w:szCs w:val="20"/>
                <w:color w:val="auto"/>
              </w:rPr>
            </w:pPr>
            <w:r>
              <w:rPr>
                <w:rFonts w:ascii="Times New Roman" w:cs="Times New Roman" w:eastAsia="Times New Roman" w:hAnsi="Times New Roman"/>
                <w:sz w:val="6"/>
                <w:szCs w:val="6"/>
                <w:b w:val="1"/>
                <w:bCs w:val="1"/>
                <w:color w:val="FFFFFF"/>
              </w:rPr>
              <w:t>and Portfolio</w:t>
            </w:r>
          </w:p>
        </w:tc>
        <w:tc>
          <w:tcPr>
            <w:tcW w:w="21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ASF V</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2"/>
              </w:rPr>
              <w:t>2012</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756</w:t>
            </w:r>
          </w:p>
        </w:tc>
        <w:tc>
          <w:tcPr>
            <w:tcW w:w="20" w:type="dxa"/>
            <w:vAlign w:val="bottom"/>
          </w:tcPr>
          <w:p>
            <w:pPr>
              <w:spacing w:after="0"/>
              <w:rPr>
                <w:sz w:val="4"/>
                <w:szCs w:val="4"/>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1,007</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1.8x</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2"/>
              </w:rPr>
              <w:t>15%</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48"/>
        </w:trPr>
        <w:tc>
          <w:tcPr>
            <w:tcW w:w="960" w:type="dxa"/>
            <w:vAlign w:val="bottom"/>
            <w:shd w:val="clear" w:color="auto" w:fill="08335E"/>
          </w:tcPr>
          <w:p>
            <w:pPr>
              <w:jc w:val="center"/>
              <w:spacing w:after="0"/>
              <w:rPr>
                <w:sz w:val="20"/>
                <w:szCs w:val="20"/>
                <w:color w:val="auto"/>
              </w:rPr>
            </w:pPr>
            <w:r>
              <w:rPr>
                <w:rFonts w:ascii="Times New Roman" w:cs="Times New Roman" w:eastAsia="Times New Roman" w:hAnsi="Times New Roman"/>
                <w:sz w:val="13"/>
                <w:szCs w:val="13"/>
                <w:b w:val="1"/>
                <w:bCs w:val="1"/>
                <w:color w:val="FFFFFF"/>
                <w:w w:val="95"/>
              </w:rPr>
              <w:t>Finance</w:t>
            </w:r>
          </w:p>
        </w:tc>
        <w:tc>
          <w:tcPr>
            <w:tcW w:w="216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60" w:type="dxa"/>
            <w:vAlign w:val="bottom"/>
            <w:shd w:val="clear" w:color="auto" w:fill="08335E"/>
          </w:tcPr>
          <w:p>
            <w:pPr>
              <w:spacing w:after="0"/>
              <w:rPr>
                <w:sz w:val="17"/>
                <w:szCs w:val="17"/>
                <w:color w:val="auto"/>
              </w:rPr>
            </w:pPr>
          </w:p>
        </w:tc>
        <w:tc>
          <w:tcPr>
            <w:tcW w:w="216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ASF V - SMAs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2012</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4,137</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6,989</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7,780</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1.9x</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21%</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201"/>
        </w:trPr>
        <w:tc>
          <w:tcPr>
            <w:tcW w:w="960" w:type="dxa"/>
            <w:vAlign w:val="bottom"/>
            <w:shd w:val="clear" w:color="auto" w:fill="08335E"/>
          </w:tcPr>
          <w:p>
            <w:pPr>
              <w:spacing w:after="0"/>
              <w:rPr>
                <w:sz w:val="17"/>
                <w:szCs w:val="17"/>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SMAs 2009-2011</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2010</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1,859</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2,029</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3,459</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3,529</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1.7x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18%</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4"/>
        </w:trPr>
        <w:tc>
          <w:tcPr>
            <w:tcW w:w="960" w:type="dxa"/>
            <w:vAlign w:val="bottom"/>
            <w:shd w:val="clear" w:color="auto" w:fill="08335E"/>
          </w:tcPr>
          <w:p>
            <w:pPr>
              <w:spacing w:after="0"/>
              <w:rPr>
                <w:sz w:val="17"/>
                <w:szCs w:val="17"/>
                <w:color w:val="auto"/>
              </w:rPr>
            </w:pPr>
          </w:p>
        </w:tc>
        <w:tc>
          <w:tcPr>
            <w:tcW w:w="216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All Other Active Funds &amp; Vehicles (9)</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Various</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1,805</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1.4x</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23%</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21%</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203"/>
        </w:trPr>
        <w:tc>
          <w:tcPr>
            <w:tcW w:w="960" w:type="dxa"/>
            <w:vAlign w:val="bottom"/>
            <w:shd w:val="clear" w:color="auto" w:fill="08335E"/>
          </w:tcPr>
          <w:p>
            <w:pPr>
              <w:spacing w:after="0"/>
              <w:rPr>
                <w:sz w:val="17"/>
                <w:szCs w:val="17"/>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Fully Realized Funds &amp; Vehicles</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Various</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4,312</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7,077</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7,111</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1.6x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18%</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3"/>
        </w:trPr>
        <w:tc>
          <w:tcPr>
            <w:tcW w:w="960" w:type="dxa"/>
            <w:vAlign w:val="bottom"/>
            <w:shd w:val="clear" w:color="auto" w:fill="EBEBEB"/>
          </w:tcPr>
          <w:p>
            <w:pPr>
              <w:spacing w:after="0"/>
              <w:rPr>
                <w:sz w:val="17"/>
                <w:szCs w:val="17"/>
                <w:color w:val="auto"/>
              </w:rPr>
            </w:pPr>
          </w:p>
        </w:tc>
        <w:tc>
          <w:tcPr>
            <w:tcW w:w="216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ACF IX</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2023</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1.0x</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1"/>
        </w:trPr>
        <w:tc>
          <w:tcPr>
            <w:tcW w:w="960" w:type="dxa"/>
            <w:vAlign w:val="bottom"/>
            <w:shd w:val="clear" w:color="auto" w:fill="EBEBEB"/>
          </w:tcPr>
          <w:p>
            <w:pPr>
              <w:spacing w:after="0"/>
              <w:rPr>
                <w:sz w:val="17"/>
                <w:szCs w:val="17"/>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ACF VIII</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2021</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3,614</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3,243</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3,881</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3,926</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1.2x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204"/>
        </w:trPr>
        <w:tc>
          <w:tcPr>
            <w:tcW w:w="960" w:type="dxa"/>
            <w:vAlign w:val="bottom"/>
            <w:shd w:val="clear" w:color="auto" w:fill="EBEBEB"/>
          </w:tcPr>
          <w:p>
            <w:pPr>
              <w:spacing w:after="0"/>
              <w:rPr>
                <w:sz w:val="17"/>
                <w:szCs w:val="17"/>
                <w:color w:val="auto"/>
              </w:rPr>
            </w:pPr>
          </w:p>
        </w:tc>
        <w:tc>
          <w:tcPr>
            <w:tcW w:w="216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ACF VIII - SMAs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2021</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1,038</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1.2x</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10%</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01"/>
        </w:trPr>
        <w:tc>
          <w:tcPr>
            <w:tcW w:w="960" w:type="dxa"/>
            <w:vAlign w:val="bottom"/>
            <w:shd w:val="clear" w:color="auto" w:fill="EBEBEB"/>
          </w:tcPr>
          <w:p>
            <w:pPr>
              <w:spacing w:after="0"/>
              <w:rPr>
                <w:sz w:val="17"/>
                <w:szCs w:val="17"/>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ACF VII</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2017</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1,688</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1,620</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2,349</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3,154</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1.9x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15%</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204"/>
        </w:trPr>
        <w:tc>
          <w:tcPr>
            <w:tcW w:w="960" w:type="dxa"/>
            <w:vAlign w:val="bottom"/>
            <w:shd w:val="clear" w:color="auto" w:fill="EBEBEB"/>
          </w:tcPr>
          <w:p>
            <w:pPr>
              <w:spacing w:after="0"/>
              <w:rPr>
                <w:sz w:val="17"/>
                <w:szCs w:val="17"/>
                <w:color w:val="auto"/>
              </w:rPr>
            </w:pPr>
          </w:p>
        </w:tc>
        <w:tc>
          <w:tcPr>
            <w:tcW w:w="216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ACF VII - SMAs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2017</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1,441</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2,602</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1.8x</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15%</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201"/>
        </w:trPr>
        <w:tc>
          <w:tcPr>
            <w:tcW w:w="960" w:type="dxa"/>
            <w:vAlign w:val="bottom"/>
            <w:shd w:val="clear" w:color="auto" w:fill="EBEBEB"/>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Co-Investments</w:t>
            </w:r>
          </w:p>
        </w:tc>
        <w:tc>
          <w:tcPr>
            <w:tcW w:w="2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SMAs 2014-2016</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2014</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2,172</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2,964</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2.6x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25%</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23%</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204"/>
        </w:trPr>
        <w:tc>
          <w:tcPr>
            <w:tcW w:w="960" w:type="dxa"/>
            <w:vAlign w:val="bottom"/>
            <w:shd w:val="clear" w:color="auto" w:fill="EBEBEB"/>
          </w:tcPr>
          <w:p>
            <w:pPr>
              <w:spacing w:after="0"/>
              <w:rPr>
                <w:sz w:val="17"/>
                <w:szCs w:val="17"/>
                <w:color w:val="auto"/>
              </w:rPr>
            </w:pPr>
          </w:p>
        </w:tc>
        <w:tc>
          <w:tcPr>
            <w:tcW w:w="216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SMAs 2012-2013</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2012</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1,074</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2,778</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3,058</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2.8x</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28%</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26%</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01"/>
        </w:trPr>
        <w:tc>
          <w:tcPr>
            <w:tcW w:w="960" w:type="dxa"/>
            <w:vAlign w:val="bottom"/>
            <w:shd w:val="clear" w:color="auto" w:fill="EBEBEB"/>
          </w:tcPr>
          <w:p>
            <w:pPr>
              <w:spacing w:after="0"/>
              <w:rPr>
                <w:sz w:val="17"/>
                <w:szCs w:val="17"/>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SMAs 2009-2010</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2010</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3,597</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4,164</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3.0x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23%</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22%</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4"/>
        </w:trPr>
        <w:tc>
          <w:tcPr>
            <w:tcW w:w="960" w:type="dxa"/>
            <w:vAlign w:val="bottom"/>
            <w:shd w:val="clear" w:color="auto" w:fill="EBEBEB"/>
          </w:tcPr>
          <w:p>
            <w:pPr>
              <w:spacing w:after="0"/>
              <w:rPr>
                <w:sz w:val="17"/>
                <w:szCs w:val="17"/>
                <w:color w:val="auto"/>
              </w:rPr>
            </w:pPr>
          </w:p>
        </w:tc>
        <w:tc>
          <w:tcPr>
            <w:tcW w:w="216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Strategic SMAs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Various</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3,662</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4,863</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6,048</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1.7x</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19%</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17%</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95"/>
        </w:trPr>
        <w:tc>
          <w:tcPr>
            <w:tcW w:w="960" w:type="dxa"/>
            <w:vAlign w:val="bottom"/>
            <w:shd w:val="clear" w:color="auto" w:fill="EBEBEB"/>
          </w:tcPr>
          <w:p>
            <w:pPr>
              <w:spacing w:after="0"/>
              <w:rPr>
                <w:sz w:val="16"/>
                <w:szCs w:val="16"/>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All Other Active Funds &amp; Vehicles (9)</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Various</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1.5x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16%</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14%</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10"/>
        </w:trPr>
        <w:tc>
          <w:tcPr>
            <w:tcW w:w="960" w:type="dxa"/>
            <w:vAlign w:val="bottom"/>
            <w:shd w:val="clear" w:color="auto" w:fill="EBEBEB"/>
          </w:tcPr>
          <w:p>
            <w:pPr>
              <w:spacing w:after="0"/>
              <w:rPr>
                <w:sz w:val="18"/>
                <w:szCs w:val="18"/>
                <w:color w:val="auto"/>
              </w:rPr>
            </w:pPr>
          </w:p>
        </w:tc>
        <w:tc>
          <w:tcPr>
            <w:tcW w:w="216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Fully Realized Funds &amp; Vehicles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Various</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5,814</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9,993</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9,994</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1.7x</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12%</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1"/>
        </w:trPr>
        <w:tc>
          <w:tcPr>
            <w:tcW w:w="960" w:type="dxa"/>
            <w:vAlign w:val="bottom"/>
            <w:shd w:val="clear" w:color="auto" w:fill="61A1E0"/>
          </w:tcPr>
          <w:p>
            <w:pPr>
              <w:spacing w:after="0"/>
              <w:rPr>
                <w:sz w:val="17"/>
                <w:szCs w:val="17"/>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SMAs 2021-2023</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2021</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4,374</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NM</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4"/>
        </w:trPr>
        <w:tc>
          <w:tcPr>
            <w:tcW w:w="960" w:type="dxa"/>
            <w:vAlign w:val="bottom"/>
            <w:shd w:val="clear" w:color="auto" w:fill="61A1E0"/>
          </w:tcPr>
          <w:p>
            <w:pPr>
              <w:spacing w:after="0"/>
              <w:rPr>
                <w:sz w:val="17"/>
                <w:szCs w:val="17"/>
                <w:color w:val="auto"/>
              </w:rPr>
            </w:pPr>
          </w:p>
        </w:tc>
        <w:tc>
          <w:tcPr>
            <w:tcW w:w="216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SMAs 2018-2020</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2018</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2,074</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2,603</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2,941</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1.4x</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16%</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01"/>
        </w:trPr>
        <w:tc>
          <w:tcPr>
            <w:tcW w:w="960" w:type="dxa"/>
            <w:vAlign w:val="bottom"/>
            <w:shd w:val="clear" w:color="auto" w:fill="61A1E0"/>
          </w:tcPr>
          <w:p>
            <w:pPr>
              <w:spacing w:after="0"/>
              <w:rPr>
                <w:sz w:val="17"/>
                <w:szCs w:val="17"/>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SMAs 2015-2017</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2015</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2,501</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2,466</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2,192</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2,701</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4,894</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2.0x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21%</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04"/>
        </w:trPr>
        <w:tc>
          <w:tcPr>
            <w:tcW w:w="960" w:type="dxa"/>
            <w:vAlign w:val="bottom"/>
            <w:vMerge w:val="restart"/>
            <w:shd w:val="clear" w:color="auto" w:fill="61A1E0"/>
          </w:tcPr>
          <w:p>
            <w:pPr>
              <w:jc w:val="center"/>
              <w:spacing w:after="0"/>
              <w:rPr>
                <w:sz w:val="20"/>
                <w:szCs w:val="20"/>
                <w:color w:val="auto"/>
              </w:rPr>
            </w:pPr>
            <w:r>
              <w:rPr>
                <w:rFonts w:ascii="Times New Roman" w:cs="Times New Roman" w:eastAsia="Times New Roman" w:hAnsi="Times New Roman"/>
                <w:sz w:val="13"/>
                <w:szCs w:val="13"/>
                <w:b w:val="1"/>
                <w:bCs w:val="1"/>
                <w:color w:val="FFFFFF"/>
                <w:w w:val="97"/>
              </w:rPr>
              <w:t>Primary</w:t>
            </w:r>
          </w:p>
        </w:tc>
        <w:tc>
          <w:tcPr>
            <w:tcW w:w="216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SMAs 2012-2014</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2012</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8,823</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4,451</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13,274</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2.2x</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18%</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88"/>
        </w:trPr>
        <w:tc>
          <w:tcPr>
            <w:tcW w:w="960" w:type="dxa"/>
            <w:vAlign w:val="bottom"/>
            <w:vMerge w:val="continue"/>
            <w:shd w:val="clear" w:color="auto" w:fill="61A1E0"/>
          </w:tcPr>
          <w:p>
            <w:pPr>
              <w:spacing w:after="0"/>
              <w:rPr>
                <w:sz w:val="7"/>
                <w:szCs w:val="7"/>
                <w:color w:val="auto"/>
              </w:rPr>
            </w:pPr>
          </w:p>
        </w:tc>
        <w:tc>
          <w:tcPr>
            <w:tcW w:w="21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SMAs 2009-2011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2"/>
              </w:rPr>
              <w:t>2009</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4,877</w:t>
            </w:r>
          </w:p>
        </w:tc>
        <w:tc>
          <w:tcPr>
            <w:tcW w:w="20" w:type="dxa"/>
            <w:vAlign w:val="bottom"/>
          </w:tcPr>
          <w:p>
            <w:pPr>
              <w:spacing w:after="0"/>
              <w:rPr>
                <w:sz w:val="7"/>
                <w:szCs w:val="7"/>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5,800</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10,350</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2,252</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12,602</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2.2x</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2"/>
              </w:rPr>
              <w:t>17%</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6"/>
        </w:trPr>
        <w:tc>
          <w:tcPr>
            <w:tcW w:w="960" w:type="dxa"/>
            <w:vAlign w:val="bottom"/>
            <w:tcBorders>
              <w:bottom w:val="single" w:sz="8" w:color="61A1E0"/>
            </w:tcBorders>
            <w:shd w:val="clear" w:color="auto" w:fill="61A1E0"/>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FFFFFF"/>
                <w:w w:val="98"/>
              </w:rPr>
              <w:t>Investments</w:t>
            </w:r>
          </w:p>
        </w:tc>
        <w:tc>
          <w:tcPr>
            <w:tcW w:w="2160" w:type="dxa"/>
            <w:vAlign w:val="bottom"/>
            <w:tcBorders>
              <w:bottom w:val="single" w:sz="8" w:color="CCEEFF"/>
            </w:tcBorders>
            <w:vMerge w:val="continue"/>
          </w:tcPr>
          <w:p>
            <w:pPr>
              <w:spacing w:after="0"/>
              <w:rPr>
                <w:sz w:val="12"/>
                <w:szCs w:val="12"/>
                <w:color w:val="auto"/>
              </w:rPr>
            </w:pPr>
          </w:p>
        </w:tc>
        <w:tc>
          <w:tcPr>
            <w:tcW w:w="50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4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46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50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540" w:type="dxa"/>
            <w:vAlign w:val="bottom"/>
            <w:tcBorders>
              <w:bottom w:val="single" w:sz="8" w:color="CCEEFF"/>
            </w:tcBorders>
            <w:vMerge w:val="continue"/>
          </w:tcPr>
          <w:p>
            <w:pPr>
              <w:spacing w:after="0"/>
              <w:rPr>
                <w:sz w:val="12"/>
                <w:szCs w:val="12"/>
                <w:color w:val="auto"/>
              </w:rPr>
            </w:pPr>
          </w:p>
        </w:tc>
        <w:tc>
          <w:tcPr>
            <w:tcW w:w="500" w:type="dxa"/>
            <w:vAlign w:val="bottom"/>
            <w:tcBorders>
              <w:bottom w:val="single" w:sz="8" w:color="CCEEFF"/>
            </w:tcBorders>
            <w:vMerge w:val="continue"/>
          </w:tcPr>
          <w:p>
            <w:pPr>
              <w:spacing w:after="0"/>
              <w:rPr>
                <w:sz w:val="12"/>
                <w:szCs w:val="12"/>
                <w:color w:val="auto"/>
              </w:rPr>
            </w:pPr>
          </w:p>
        </w:tc>
        <w:tc>
          <w:tcPr>
            <w:tcW w:w="440" w:type="dxa"/>
            <w:vAlign w:val="bottom"/>
            <w:tcBorders>
              <w:bottom w:val="single" w:sz="8" w:color="CCEEFF"/>
            </w:tcBorders>
            <w:vMerge w:val="continue"/>
          </w:tcPr>
          <w:p>
            <w:pPr>
              <w:spacing w:after="0"/>
              <w:rPr>
                <w:sz w:val="12"/>
                <w:szCs w:val="12"/>
                <w:color w:val="auto"/>
              </w:rPr>
            </w:pPr>
          </w:p>
        </w:tc>
        <w:tc>
          <w:tcPr>
            <w:tcW w:w="50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960" w:type="dxa"/>
            <w:vAlign w:val="bottom"/>
            <w:shd w:val="clear" w:color="auto" w:fill="61A1E0"/>
          </w:tcPr>
          <w:p>
            <w:pPr>
              <w:spacing w:after="0"/>
              <w:rPr>
                <w:sz w:val="13"/>
                <w:szCs w:val="13"/>
                <w:color w:val="auto"/>
              </w:rPr>
            </w:pPr>
          </w:p>
        </w:tc>
        <w:tc>
          <w:tcPr>
            <w:tcW w:w="2160" w:type="dxa"/>
            <w:vAlign w:val="bottom"/>
            <w:tcBorders>
              <w:left w:val="single" w:sz="8" w:color="CCEEFF"/>
            </w:tcBorders>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SMAs 2006-2008</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2005</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13,623</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22,166</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1,552</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23,717</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1.7x</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10%</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1"/>
        </w:trPr>
        <w:tc>
          <w:tcPr>
            <w:tcW w:w="960" w:type="dxa"/>
            <w:vAlign w:val="bottom"/>
            <w:shd w:val="clear" w:color="auto" w:fill="61A1E0"/>
          </w:tcPr>
          <w:p>
            <w:pPr>
              <w:spacing w:after="0"/>
              <w:rPr>
                <w:sz w:val="17"/>
                <w:szCs w:val="17"/>
                <w:color w:val="auto"/>
              </w:rPr>
            </w:pPr>
          </w:p>
        </w:tc>
        <w:tc>
          <w:tcPr>
            <w:tcW w:w="2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SMAs 2003-2005</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2003</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4,628</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5,143</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8,131</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8,329</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1.6x</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4"/>
        </w:trPr>
        <w:tc>
          <w:tcPr>
            <w:tcW w:w="960" w:type="dxa"/>
            <w:vAlign w:val="bottom"/>
            <w:shd w:val="clear" w:color="auto" w:fill="61A1E0"/>
          </w:tcPr>
          <w:p>
            <w:pPr>
              <w:spacing w:after="0"/>
              <w:rPr>
                <w:sz w:val="17"/>
                <w:szCs w:val="17"/>
                <w:color w:val="auto"/>
              </w:rPr>
            </w:pPr>
          </w:p>
        </w:tc>
        <w:tc>
          <w:tcPr>
            <w:tcW w:w="216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All Other Active Funds &amp; Vehicles (9)</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Various</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1,856</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1,792</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2,108</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1.1x</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3%</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960" w:type="dxa"/>
            <w:vAlign w:val="bottom"/>
            <w:tcBorders>
              <w:bottom w:val="single" w:sz="8" w:color="auto"/>
            </w:tcBorders>
            <w:shd w:val="clear" w:color="auto" w:fill="61A1E0"/>
          </w:tcPr>
          <w:p>
            <w:pPr>
              <w:spacing w:after="0"/>
              <w:rPr>
                <w:sz w:val="17"/>
                <w:szCs w:val="17"/>
                <w:color w:val="auto"/>
              </w:rPr>
            </w:pPr>
          </w:p>
        </w:tc>
        <w:tc>
          <w:tcPr>
            <w:tcW w:w="2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Fully Realized Funds &amp; Vehicles</w:t>
            </w:r>
          </w:p>
        </w:tc>
        <w:tc>
          <w:tcPr>
            <w:tcW w:w="5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2"/>
              </w:rPr>
              <w:t>Various</w:t>
            </w:r>
          </w:p>
        </w:tc>
        <w:tc>
          <w:tcPr>
            <w:tcW w:w="18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5,025</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8,178</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8,217</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1.6x</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11%</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7"/>
        </w:trPr>
        <w:tc>
          <w:tcPr>
            <w:tcW w:w="362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TOTAL GLOBAL INVESTMENT SOLUTIONS (USD)(11)</w:t>
            </w:r>
          </w:p>
        </w:tc>
        <w:tc>
          <w:tcPr>
            <w:tcW w:w="1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95,855</w:t>
            </w:r>
          </w:p>
        </w:tc>
        <w:tc>
          <w:tcPr>
            <w:tcW w:w="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117,478</w:t>
            </w:r>
          </w:p>
        </w:tc>
        <w:tc>
          <w:tcPr>
            <w:tcW w:w="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50,040</w:t>
            </w:r>
          </w:p>
        </w:tc>
        <w:tc>
          <w:tcPr>
            <w:tcW w:w="1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167,518</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1.7x</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14%</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13%</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527</w:t>
            </w: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right="180" w:hanging="333"/>
        <w:spacing w:after="0" w:line="256" w:lineRule="auto"/>
        <w:tabs>
          <w:tab w:leader="none" w:pos="3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Includes private equity and mezzanine primary fund investments, secondary fund investments and co-investments originated by AlpInvest. Excluded from the performance information shown are: (a) investments that were not originated by AlpInvest (i.e., AlpInvest did not make the original investment decision or recommendation); (b) Direct Investments, which was spun off from AlpInvest in 2005; (c) Carlyle AlpInvest Private Markets Fund; and (d) LP co-investment vehicles managed by AlpInvest. As of March 31, 2024, these excluded portfolios amounted to approximately $6.4 billion of AUM in the aggregate.</w:t>
      </w:r>
    </w:p>
    <w:p>
      <w:pPr>
        <w:spacing w:after="0" w:line="79" w:lineRule="exact"/>
        <w:rPr>
          <w:rFonts w:ascii="Times New Roman" w:cs="Times New Roman" w:eastAsia="Times New Roman" w:hAnsi="Times New Roman"/>
          <w:sz w:val="17"/>
          <w:szCs w:val="17"/>
          <w:color w:val="auto"/>
        </w:rPr>
      </w:pPr>
    </w:p>
    <w:p>
      <w:pPr>
        <w:ind w:left="340" w:hanging="333"/>
        <w:spacing w:after="0"/>
        <w:tabs>
          <w:tab w:leader="none" w:pos="3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the original cost of investments since inception of the fund.</w:t>
      </w:r>
    </w:p>
    <w:p>
      <w:pPr>
        <w:spacing w:after="0" w:line="117" w:lineRule="exact"/>
        <w:rPr>
          <w:rFonts w:ascii="Times New Roman" w:cs="Times New Roman" w:eastAsia="Times New Roman" w:hAnsi="Times New Roman"/>
          <w:sz w:val="17"/>
          <w:szCs w:val="17"/>
          <w:color w:val="auto"/>
        </w:rPr>
      </w:pPr>
    </w:p>
    <w:p>
      <w:pPr>
        <w:ind w:left="340" w:right="160" w:hanging="333"/>
        <w:spacing w:after="0" w:line="282" w:lineRule="auto"/>
        <w:tabs>
          <w:tab w:leader="none" w:pos="3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exclude the impact of FX, all foreign currency cash flows have been converted to the currency representing a majority of the capital committed to the relevant fund at the reporting period spot rate.</w:t>
      </w:r>
    </w:p>
    <w:p>
      <w:pPr>
        <w:spacing w:after="0" w:line="53" w:lineRule="exact"/>
        <w:rPr>
          <w:rFonts w:ascii="Times New Roman" w:cs="Times New Roman" w:eastAsia="Times New Roman" w:hAnsi="Times New Roman"/>
          <w:sz w:val="17"/>
          <w:szCs w:val="17"/>
          <w:color w:val="auto"/>
        </w:rPr>
      </w:pPr>
    </w:p>
    <w:p>
      <w:pPr>
        <w:ind w:left="340" w:right="540" w:hanging="333"/>
        <w:spacing w:after="0" w:line="282" w:lineRule="auto"/>
        <w:tabs>
          <w:tab w:leader="none" w:pos="3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all realized proceeds combined with remaining fair value, before management fees, expenses and carried interest.</w:t>
      </w:r>
    </w:p>
    <w:p>
      <w:pPr>
        <w:spacing w:after="0" w:line="53" w:lineRule="exact"/>
        <w:rPr>
          <w:rFonts w:ascii="Times New Roman" w:cs="Times New Roman" w:eastAsia="Times New Roman" w:hAnsi="Times New Roman"/>
          <w:sz w:val="17"/>
          <w:szCs w:val="17"/>
          <w:color w:val="auto"/>
        </w:rPr>
      </w:pPr>
    </w:p>
    <w:p>
      <w:pPr>
        <w:ind w:left="340" w:right="200" w:hanging="333"/>
        <w:spacing w:after="0" w:line="282" w:lineRule="auto"/>
        <w:tabs>
          <w:tab w:leader="none" w:pos="3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Multiple of invested capital (“MOIC”) represents total fair value, before management fees, expenses and carried interest, divided by cumulative invested capital.</w:t>
      </w:r>
    </w:p>
    <w:p>
      <w:pPr>
        <w:spacing w:after="0" w:line="53" w:lineRule="exact"/>
        <w:rPr>
          <w:rFonts w:ascii="Times New Roman" w:cs="Times New Roman" w:eastAsia="Times New Roman" w:hAnsi="Times New Roman"/>
          <w:sz w:val="17"/>
          <w:szCs w:val="17"/>
          <w:color w:val="auto"/>
        </w:rPr>
      </w:pPr>
    </w:p>
    <w:p>
      <w:pPr>
        <w:ind w:left="340" w:right="20" w:hanging="333"/>
        <w:spacing w:after="0" w:line="266" w:lineRule="auto"/>
        <w:tabs>
          <w:tab w:leader="none" w:pos="3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Gross Internal Rate of Return (“Gross IRR”) represents the annualized IRR for the period indicated on Limited Partner invested capital based on investment contributions, distributions and unrealized value of the underlying investments, before management fees, expenses and carried interest at the AlpInvest level.</w:t>
      </w:r>
    </w:p>
    <w:p>
      <w:pPr>
        <w:spacing w:after="0" w:line="67" w:lineRule="exact"/>
        <w:rPr>
          <w:rFonts w:ascii="Times New Roman" w:cs="Times New Roman" w:eastAsia="Times New Roman" w:hAnsi="Times New Roman"/>
          <w:sz w:val="17"/>
          <w:szCs w:val="17"/>
          <w:color w:val="auto"/>
        </w:rPr>
      </w:pPr>
    </w:p>
    <w:p>
      <w:pPr>
        <w:ind w:left="340" w:hanging="333"/>
        <w:spacing w:after="0"/>
        <w:tabs>
          <w:tab w:leader="none" w:pos="3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Net Internal Rate of Return (“Net IRR”) represents the annualized IRR for the period indicated on Limited Partner invested</w:t>
      </w:r>
    </w:p>
    <w:p>
      <w:pPr>
        <w:sectPr>
          <w:pgSz w:w="11900" w:h="16838" w:orient="portrait"/>
          <w:cols w:equalWidth="0" w:num="1">
            <w:col w:w="9240"/>
          </w:cols>
          <w:pgMar w:left="1320" w:top="108" w:right="1339" w:bottom="0" w:gutter="0" w:footer="0" w:header="0"/>
        </w:sectPr>
      </w:pPr>
    </w:p>
    <w:bookmarkStart w:id="93" w:name="page94"/>
    <w:bookmarkEnd w:id="93"/>
    <w:p>
      <w:pPr>
        <w:ind w:left="340"/>
        <w:spacing w:after="0"/>
        <w:rPr>
          <w:sz w:val="20"/>
          <w:szCs w:val="20"/>
          <w:color w:val="auto"/>
        </w:rPr>
      </w:pPr>
      <w:r>
        <w:rPr>
          <w:rFonts w:ascii="Times New Roman" w:cs="Times New Roman" w:eastAsia="Times New Roman" w:hAnsi="Times New Roman"/>
          <w:sz w:val="18"/>
          <w:szCs w:val="18"/>
          <w:color w:val="auto"/>
        </w:rPr>
        <w:t>capital based on investment contributions, distributions and unrealized value of the underlying investments,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-110490</wp:posOffset>
            </wp:positionV>
            <wp:extent cx="7016115" cy="6191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16115" cy="619125"/>
                    </a:xfrm>
                    <a:prstGeom prst="rect">
                      <a:avLst/>
                    </a:prstGeom>
                    <a:noFill/>
                  </pic:spPr>
                </pic:pic>
              </a:graphicData>
            </a:graphic>
          </wp:anchor>
        </w:drawing>
      </w:r>
    </w:p>
    <w:p>
      <w:pPr>
        <w:spacing w:after="0" w:line="12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90735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left="340" w:right="200"/>
        <w:spacing w:after="0" w:line="266" w:lineRule="auto"/>
        <w:rPr>
          <w:sz w:val="20"/>
          <w:szCs w:val="20"/>
          <w:color w:val="auto"/>
        </w:rPr>
      </w:pPr>
      <w:r>
        <w:rPr>
          <w:rFonts w:ascii="Times New Roman" w:cs="Times New Roman" w:eastAsia="Times New Roman" w:hAnsi="Times New Roman"/>
          <w:sz w:val="18"/>
          <w:szCs w:val="18"/>
          <w:color w:val="auto"/>
        </w:rPr>
        <w:t>management fees, expenses and carried interest. Fund level IRRs are based on aggregate Limited Partner cash flows, and this blended return may differ from that of individual Limited Partners. As a result, certain funds may generate accrued performance revenues with a blended Net IRR that is below the preferred return hurdle for that fund.</w:t>
      </w:r>
    </w:p>
    <w:p>
      <w:pPr>
        <w:spacing w:after="0" w:line="68" w:lineRule="exact"/>
        <w:rPr>
          <w:sz w:val="20"/>
          <w:szCs w:val="20"/>
          <w:color w:val="auto"/>
        </w:rPr>
      </w:pPr>
    </w:p>
    <w:p>
      <w:pPr>
        <w:ind w:left="340" w:right="20" w:hanging="333"/>
        <w:spacing w:after="0" w:line="272" w:lineRule="auto"/>
        <w:tabs>
          <w:tab w:leader="none" w:pos="3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“ASF” stands for AlpInvest Secondaries Fund, “ACF” stands forAlpInvest Co-Investment Fund, and “SMAs” are Separately Managed Accounts. “ASF - SMAs” and “ACF - SMAs” reflect the aggregated portfolios of investments held by SMAs within the relevant strategy, which invest alongside the relevant ASF or ACF (as applicable). Strategic SMAs reflect the aggregated portfolios of co-investments made by SMAs sourced from the SMA investor’s own private equity fund investment portfolio. Other SMAs reflect the aggregated portfolios of investments within the relevant strategy that began making investments in the corresponding time periods. Co-Investments SMAs 2014-2016 does not include two SMAs that started in 2016 but invested a substantial majority alongside ACF VII. These two SMAs have instead been grouped with ACF VII - SMAs. An SMA may pursue multiple investment strategies and make commitments over multiple years.</w:t>
      </w:r>
    </w:p>
    <w:p>
      <w:pPr>
        <w:spacing w:after="0" w:line="63" w:lineRule="exact"/>
        <w:rPr>
          <w:rFonts w:ascii="Times New Roman" w:cs="Times New Roman" w:eastAsia="Times New Roman" w:hAnsi="Times New Roman"/>
          <w:sz w:val="16"/>
          <w:szCs w:val="16"/>
          <w:color w:val="auto"/>
        </w:rPr>
      </w:pPr>
    </w:p>
    <w:p>
      <w:pPr>
        <w:ind w:left="340" w:right="140" w:hanging="333"/>
        <w:spacing w:after="0" w:line="266" w:lineRule="auto"/>
        <w:tabs>
          <w:tab w:leader="none" w:pos="3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Includes AlpInvest Atom Fund, all mezzanine investment portfolios, all ‘clean technology’ private equity investment portfolios, all strategic portfolio finance portfolios, ASF VIII - SMAs, ACF IX - SMAs, and any state-focused investment mandate portfolios.</w:t>
      </w:r>
    </w:p>
    <w:p>
      <w:pPr>
        <w:spacing w:after="0" w:line="67" w:lineRule="exact"/>
        <w:rPr>
          <w:rFonts w:ascii="Times New Roman" w:cs="Times New Roman" w:eastAsia="Times New Roman" w:hAnsi="Times New Roman"/>
          <w:sz w:val="17"/>
          <w:szCs w:val="17"/>
          <w:color w:val="auto"/>
        </w:rPr>
      </w:pPr>
    </w:p>
    <w:p>
      <w:pPr>
        <w:ind w:left="340" w:right="100" w:hanging="333"/>
        <w:spacing w:after="0" w:line="266" w:lineRule="auto"/>
        <w:tabs>
          <w:tab w:leader="none" w:pos="3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funds marked “NM,” IRR may be positive or negative, but is not considered meaningful because of the limited time since initial investment and early stage of capital deployment. For funds marked “Neg,” IRR is considered meaningful but is negative as of reporting period end.</w:t>
      </w:r>
    </w:p>
    <w:p>
      <w:pPr>
        <w:spacing w:after="0" w:line="67" w:lineRule="exact"/>
        <w:rPr>
          <w:rFonts w:ascii="Times New Roman" w:cs="Times New Roman" w:eastAsia="Times New Roman" w:hAnsi="Times New Roman"/>
          <w:sz w:val="17"/>
          <w:szCs w:val="17"/>
          <w:color w:val="auto"/>
        </w:rPr>
      </w:pPr>
    </w:p>
    <w:p>
      <w:pPr>
        <w:ind w:left="340" w:right="420" w:hanging="333"/>
        <w:spacing w:after="0" w:line="282" w:lineRule="auto"/>
        <w:tabs>
          <w:tab w:leader="none" w:pos="3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purposes of aggregation, funds that report in foreign currency have been converted to U.S. dollars at the reporting period spot rate.</w:t>
      </w:r>
    </w:p>
    <w:p>
      <w:pPr>
        <w:spacing w:after="0" w:line="53" w:lineRule="exact"/>
        <w:rPr>
          <w:rFonts w:ascii="Times New Roman" w:cs="Times New Roman" w:eastAsia="Times New Roman" w:hAnsi="Times New Roman"/>
          <w:sz w:val="17"/>
          <w:szCs w:val="17"/>
          <w:color w:val="auto"/>
        </w:rPr>
      </w:pPr>
    </w:p>
    <w:p>
      <w:pPr>
        <w:jc w:val="both"/>
        <w:ind w:left="340" w:right="340" w:hanging="333"/>
        <w:spacing w:after="0" w:line="266" w:lineRule="auto"/>
        <w:tabs>
          <w:tab w:leader="none" w:pos="3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Represents the net accrued performance revenue balance/(giveback obligation) as of the current quarter end. Total Net Accrued Carry excludes $2 million of net accrued carry as of March 31, 2024, which was retained as part of the sale of MRE on April 1, 2021.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Liquidity and Capital Resources</w:t>
      </w:r>
    </w:p>
    <w:p>
      <w:pPr>
        <w:spacing w:after="0" w:line="229" w:lineRule="exact"/>
        <w:rPr>
          <w:sz w:val="20"/>
          <w:szCs w:val="20"/>
          <w:color w:val="auto"/>
        </w:rPr>
      </w:pPr>
    </w:p>
    <w:p>
      <w:pPr>
        <w:ind w:right="220" w:firstLine="445"/>
        <w:spacing w:after="0" w:line="256" w:lineRule="auto"/>
        <w:rPr>
          <w:sz w:val="20"/>
          <w:szCs w:val="20"/>
          <w:color w:val="auto"/>
        </w:rPr>
      </w:pPr>
      <w:r>
        <w:rPr>
          <w:rFonts w:ascii="Times New Roman" w:cs="Times New Roman" w:eastAsia="Times New Roman" w:hAnsi="Times New Roman"/>
          <w:sz w:val="18"/>
          <w:szCs w:val="18"/>
          <w:color w:val="auto"/>
        </w:rPr>
        <w:t>We have historically required limited capital resources to support the working capital and operating needs of our business. Our management fees have largely covered our operating costs and all realized performance allocations, after covering the related compensation, are available for distribution to stockholders. Approximately 95% – 97% of all capital commitments to our funds are provided by our fund investors, with the remaining amount typically funded by Carlyle, our senior Carlyle professionals, advisors and other professionals. We may elect to invest additional amounts in funds focused on new investment areas.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Sources of Liquidity</w:t>
      </w:r>
    </w:p>
    <w:p>
      <w:pPr>
        <w:spacing w:after="0" w:line="22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have multiple sources of liquidity to meet our capital needs, including cash on hand, annual cash flows, accumulated earnings and funds from our senior revolving credit facility, which has $1.0 billion of available capacity as of March 31, 2024. We believe these sources will be sufficient to fund our capital needs for at least the next twelve months. We believe we will meet longer-term expected future cash requirements and obligations through a combination of existing cash and cash equivalent balances, cash flow from operations, accumulated earnings, and amounts available for borrowing from our senior revolving credit facility or other financings.</w:t>
      </w:r>
    </w:p>
    <w:p>
      <w:pPr>
        <w:spacing w:after="0" w:line="185"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Cash and cash equivalents were approximately $1.3 billion at March 31, 2024. However,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of this cash is allocated for specific business purposes, including, but not limited to: (i) performance allocations and incentive fee related cash that has been received but not yet distributed as performance allocations and incentive fee related compensation and amounts owed to non-controlling interests, (ii) proceeds received from realized investments that are allocable to non-controlling interests, and (iii) regulatory capital.</w:t>
      </w:r>
    </w:p>
    <w:p>
      <w:pPr>
        <w:spacing w:after="0" w:line="183" w:lineRule="exact"/>
        <w:rPr>
          <w:sz w:val="20"/>
          <w:szCs w:val="20"/>
          <w:color w:val="auto"/>
        </w:rPr>
      </w:pPr>
    </w:p>
    <w:p>
      <w:pPr>
        <w:jc w:val="both"/>
        <w:ind w:right="36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Corporate Treasury Investments</w:t>
      </w:r>
      <w:r>
        <w:rPr>
          <w:rFonts w:ascii="Times New Roman" w:cs="Times New Roman" w:eastAsia="Times New Roman" w:hAnsi="Times New Roman"/>
          <w:sz w:val="18"/>
          <w:szCs w:val="18"/>
          <w:color w:val="auto"/>
        </w:rPr>
        <w:t>. These investments represent investments in U.S. Treasury and government agency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commercial paper, certificates of deposit, other investment grade securities and other investments with original maturities of greater than three months when purchased.</w:t>
      </w:r>
    </w:p>
    <w:p>
      <w:pPr>
        <w:spacing w:after="0" w:line="175" w:lineRule="exact"/>
        <w:rPr>
          <w:sz w:val="20"/>
          <w:szCs w:val="20"/>
          <w:color w:val="auto"/>
        </w:rPr>
      </w:pPr>
    </w:p>
    <w:p>
      <w:pPr>
        <w:jc w:val="center"/>
        <w:ind w:right="300"/>
        <w:spacing w:after="0" w:line="282" w:lineRule="auto"/>
        <w:rPr>
          <w:sz w:val="20"/>
          <w:szCs w:val="20"/>
          <w:color w:val="auto"/>
        </w:rPr>
      </w:pPr>
      <w:r>
        <w:rPr>
          <w:rFonts w:ascii="Times New Roman" w:cs="Times New Roman" w:eastAsia="Times New Roman" w:hAnsi="Times New Roman"/>
          <w:sz w:val="18"/>
          <w:szCs w:val="18"/>
          <w:color w:val="auto"/>
        </w:rPr>
        <w:t>After deducting cash amounts allocated to the specific requirements mentioned above, the remaining cash, cash equivalents, and corporate treasury investments, is approximately $1.2 billion as of March 31, 2024. This remaining amount</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6591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016115" cy="65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used towards our primary liquidity needs, as outlined in the next section. This amount does not take into consideration</w:t>
      </w:r>
    </w:p>
    <w:p>
      <w:pPr>
        <w:sectPr>
          <w:pgSz w:w="11900" w:h="16838" w:orient="portrait"/>
          <w:cols w:equalWidth="0" w:num="1">
            <w:col w:w="9240"/>
          </w:cols>
          <w:pgMar w:left="1320" w:top="108" w:right="1339" w:bottom="0" w:gutter="0" w:footer="0" w:header="0"/>
        </w:sectPr>
      </w:pPr>
    </w:p>
    <w:bookmarkStart w:id="94" w:name="page95"/>
    <w:bookmarkEnd w:id="94"/>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course of business payables and reserves for specific business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-110490</wp:posOffset>
            </wp:positionV>
            <wp:extent cx="7016115" cy="8402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016115" cy="8402955"/>
                    </a:xfrm>
                    <a:prstGeom prst="rect">
                      <a:avLst/>
                    </a:prstGeom>
                    <a:noFill/>
                  </pic:spPr>
                </pic:pic>
              </a:graphicData>
            </a:graphic>
          </wp:anchor>
        </w:drawing>
      </w:r>
    </w:p>
    <w:p>
      <w:pPr>
        <w:spacing w:after="0" w:line="149"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Senior Revolving Credit Facility</w:t>
      </w:r>
      <w:r>
        <w:rPr>
          <w:rFonts w:ascii="Times New Roman" w:cs="Times New Roman" w:eastAsia="Times New Roman" w:hAnsi="Times New Roman"/>
          <w:sz w:val="18"/>
          <w:szCs w:val="18"/>
          <w:color w:val="auto"/>
        </w:rPr>
        <w:t>. The capacity under the revolving credit facility is $1.0 billion and the facility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scheduled to mature on April 29, 2027. The Company’s borrowing capacity is subject to the ability of the financial institutions in the banking syndicate to fulfill their respective obligations under the revolving credit facility. Principal amounts outstanding under the amended and restated revolving credit facility accrue interest, at the option of the borrowers, either (a) at an alternate base rate plus an applicable margin not to exceed 0.50% per annum, or (b) at SOFR (or similar benchmark rate for non-U.S. dollar borrowings) plus a 0.10% adjustment and an applicable margin not to exceed 1.50% per annum (6.43% at March 31, 2024). As of March 31, 2024, there were no amounts outstanding under the senior revolving credit facility.</w:t>
      </w:r>
    </w:p>
    <w:p>
      <w:pPr>
        <w:spacing w:after="0" w:line="185" w:lineRule="exact"/>
        <w:rPr>
          <w:sz w:val="20"/>
          <w:szCs w:val="20"/>
          <w:color w:val="auto"/>
        </w:rPr>
      </w:pPr>
    </w:p>
    <w:p>
      <w:pPr>
        <w:ind w:firstLine="445"/>
        <w:spacing w:after="0" w:line="272" w:lineRule="auto"/>
        <w:rPr>
          <w:sz w:val="20"/>
          <w:szCs w:val="20"/>
          <w:color w:val="auto"/>
        </w:rPr>
      </w:pPr>
      <w:r>
        <w:rPr>
          <w:rFonts w:ascii="Times New Roman" w:cs="Times New Roman" w:eastAsia="Times New Roman" w:hAnsi="Times New Roman"/>
          <w:sz w:val="17"/>
          <w:szCs w:val="17"/>
          <w:color w:val="auto"/>
        </w:rPr>
        <w:t>The senior revolving credit facility is unsecured. We are required to maintain management fee earning assets (as defined in the amended and restated senior revolving credit facility) of at least $126.6 billion and a total leverage ratio of less than 4.0 to 1.0, in each case, tested on a quarterly basis. Non-compliance with any of the financial or non-financial covenants without cure or waiver would constitute an event of default under the senior revolving credit facility. An event of default resulting from a breach of certain financial or non-financial covenants may result, at the option of the lenders, in an acceleration of the principal and interest outstanding, and a termination of the senior revolving credit facility. The senior credit facility also contains other customary events of default, including defaults based on events of bankruptcy and insolvency, nonpayment of principal, interest or fees when due, breach of specified covenants, change in control and material inaccuracy of representations and warranties.</w:t>
      </w:r>
    </w:p>
    <w:p>
      <w:pPr>
        <w:spacing w:after="0" w:line="170" w:lineRule="exact"/>
        <w:rPr>
          <w:sz w:val="20"/>
          <w:szCs w:val="20"/>
          <w:color w:val="auto"/>
        </w:rPr>
      </w:pPr>
    </w:p>
    <w:p>
      <w:pPr>
        <w:ind w:right="160"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Global Credit Revolving Credit Facility</w:t>
      </w:r>
      <w:r>
        <w:rPr>
          <w:rFonts w:ascii="Times New Roman" w:cs="Times New Roman" w:eastAsia="Times New Roman" w:hAnsi="Times New Roman"/>
          <w:sz w:val="18"/>
          <w:szCs w:val="18"/>
          <w:color w:val="auto"/>
        </w:rPr>
        <w:t>. Certain subsidiaries of the Company are parties to a revolving line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intended to support certain lending activities within the Global Credit segment. In August 2023, certain subsidiaries of the Company entered into an amendment to the Global Credit Revolving Credit Facility to increase the capacity of the existing revolving line of credit from $250 million to $300 million (the “2027 Tranche Revolving Loans”) and extend the maturity date to occur in September 2027. This amendment also provides for a new tranche of revolving loans with a capacity of $200 million maturing in August 2024 (the “2024 Tranche Revolving Loans,” together with the 2027 Tranche Revolving Loans, the “Global Credit Revolving Credit Facility”). The Company’s borrowing capacity is subject to the ability of the financial institutions in the banking syndicate to fulfill their respective obligations under the Global Credit Revolving Credit Facility. Principal amounts outstanding accrue interest at applicable SOFR or Eurocurrency rates plus an applicable margin of</w:t>
      </w:r>
    </w:p>
    <w:p>
      <w:pPr>
        <w:spacing w:after="0" w:line="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2.00% or an alternate base rate plus an applicable margin of 1.00%. The Company made no borrowings under the Global Credit Revolving Credit Facility during the three months ended March 31, 2024 and there was no balance outstanding as of March 31, 2024.</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CLO Borrowings</w:t>
      </w:r>
      <w:r>
        <w:rPr>
          <w:rFonts w:ascii="Times New Roman" w:cs="Times New Roman" w:eastAsia="Times New Roman" w:hAnsi="Times New Roman"/>
          <w:sz w:val="18"/>
          <w:szCs w:val="18"/>
          <w:color w:val="auto"/>
        </w:rPr>
        <w:t>. For certain of our CLOs, the Company finances a portion of its investment in the CLOs through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from term loans and other financing arrangements with financial institutions or other financing arrangements.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CLO borrowings were $408.1 million and $431.7 million at March 31, 2024 and December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The CLO borrowings are secured by the Company’s investments in the respective CLO, have a general unsecured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 the Carlyle entity that manages the CLO and generally do not have recourse to any other Carlyle entity.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$387.1 million of these borrowings are secured by investments attributable to The Carlyle Group Inc. See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Borrowings, to the condensed consolidated financial statements included in this Quarterly Report on Form 10-Q for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our CLO borrowings.</w:t>
      </w:r>
    </w:p>
    <w:p>
      <w:pPr>
        <w:spacing w:after="0" w:line="205"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Senior Notes</w:t>
      </w:r>
      <w:r>
        <w:rPr>
          <w:rFonts w:ascii="Times New Roman" w:cs="Times New Roman" w:eastAsia="Times New Roman" w:hAnsi="Times New Roman"/>
          <w:sz w:val="18"/>
          <w:szCs w:val="18"/>
          <w:color w:val="auto"/>
        </w:rPr>
        <w:t>. Certain indirect finance subsidiaries of the Company have issued senior notes, on which interest is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semi-annually, as discussed below. The senior notes are unsecured and unsubordinated obligations of the respective subsidiary and are fully and unconditionally guaranteed, jointly and severally, by the Company and each of the Carlyle Holdings partnerships. The indentures governing each of the senior notes contain customary covenants that, among other things, limit the issuers’ and the guarantors’ ability, subject to certain exceptions, to incur indebtedness secured by liens on voting stock or profit participating equity interests of their subsidiaries or merge, consolidate or sell, transfer or lease assets. The notes also contain customary events of default. All or a portion of the notes may be redeemed at our option, in whole or in part, at any time and from time to time, prior to their stated maturity, at the make-whole redemption price set forth in the notes. If a change of control repurchase event occurs, the notes are subject to repurchase at the repurchase price as set forth in the notes.</w:t>
      </w:r>
    </w:p>
    <w:p>
      <w:pPr>
        <w:spacing w:after="0" w:line="190"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u w:val="single" w:color="auto"/>
          <w:color w:val="auto"/>
        </w:rPr>
        <w:t>3.500% Senior Notes</w:t>
      </w:r>
      <w:r>
        <w:rPr>
          <w:rFonts w:ascii="Times New Roman" w:cs="Times New Roman" w:eastAsia="Times New Roman" w:hAnsi="Times New Roman"/>
          <w:sz w:val="18"/>
          <w:szCs w:val="18"/>
          <w:color w:val="auto"/>
        </w:rPr>
        <w:t>. In September 2019, Carlyle Finance Subsidiary L.L.C. issued $425.0 million of 3.500% senior notes due September 19, 2029 at 99.841% of par.</w:t>
      </w:r>
    </w:p>
    <w:p>
      <w:pPr>
        <w:spacing w:after="0" w:line="52" w:lineRule="exact"/>
        <w:rPr>
          <w:sz w:val="20"/>
          <w:szCs w:val="20"/>
          <w:color w:val="auto"/>
        </w:rPr>
      </w:pPr>
    </w:p>
    <w:p>
      <w:pPr>
        <w:jc w:val="both"/>
        <w:ind w:right="100" w:firstLine="445"/>
        <w:spacing w:after="0" w:line="267" w:lineRule="auto"/>
        <w:rPr>
          <w:sz w:val="20"/>
          <w:szCs w:val="20"/>
          <w:color w:val="auto"/>
        </w:rPr>
      </w:pPr>
      <w:r>
        <w:rPr>
          <w:rFonts w:ascii="Times New Roman" w:cs="Times New Roman" w:eastAsia="Times New Roman" w:hAnsi="Times New Roman"/>
          <w:sz w:val="18"/>
          <w:szCs w:val="18"/>
          <w:u w:val="single" w:color="auto"/>
          <w:color w:val="auto"/>
        </w:rPr>
        <w:t>5.625% Senior Notes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March 2013, Carlyle Holdings II Finance L.L.C. issued $400.0 million of 5.625% senior notes due March 30, 2043 at 99.583% of par. In March 2014, an additional $200.0 million of these notes were issued at 104.315% of par and are treated as a single class with the already outstanding $400.0 million aggregate principal amount of these notes.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20307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16115" cy="203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8" w:lineRule="exact"/>
        <w:rPr>
          <w:sz w:val="20"/>
          <w:szCs w:val="20"/>
          <w:color w:val="auto"/>
        </w:rPr>
      </w:pPr>
    </w:p>
    <w:p>
      <w:pPr>
        <w:ind w:right="440" w:firstLine="445"/>
        <w:spacing w:after="0" w:line="284" w:lineRule="auto"/>
        <w:rPr>
          <w:sz w:val="20"/>
          <w:szCs w:val="20"/>
          <w:color w:val="auto"/>
        </w:rPr>
      </w:pPr>
      <w:r>
        <w:rPr>
          <w:rFonts w:ascii="Times New Roman" w:cs="Times New Roman" w:eastAsia="Times New Roman" w:hAnsi="Times New Roman"/>
          <w:sz w:val="18"/>
          <w:szCs w:val="18"/>
          <w:u w:val="single" w:color="auto"/>
          <w:color w:val="auto"/>
        </w:rPr>
        <w:t>5.650% Senior Notes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September 2018, Carlyle Finance L.L.C. issued $350.0 million of 5.650% senior notes due September 15, 2048 at 99.914% of par.</w:t>
      </w:r>
    </w:p>
    <w:p>
      <w:pPr>
        <w:spacing w:after="0" w:line="158"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Subordinated Notes</w:t>
      </w:r>
      <w:r>
        <w:rPr>
          <w:rFonts w:ascii="Times New Roman" w:cs="Times New Roman" w:eastAsia="Times New Roman" w:hAnsi="Times New Roman"/>
          <w:sz w:val="18"/>
          <w:szCs w:val="18"/>
          <w:color w:val="auto"/>
        </w:rPr>
        <w:t>. In May and June 2021, Carlyle Finance L.L.C. issued $500.0 million aggregate principal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4.625% subordinated notes due May 15, 2061. The subordinated notes are unsecured and subordinated obligations of the issuer and are fully and unconditionally guaranteed, jointly and severally, on a subordinated basis, by the Company, each of the Carlyle Holdings partnerships, and CG Subsidiary Holdings L.L.C., an indirect subsidiary of the Company. The indentures governing the subordinated notes contain customary covenants that, among other things, limit the issuers’ and the guarantors’ ability, subject to certain exceptions, to incur indebtedness ranking on a parity with the subordinated notes or indebtedness ranking junior to the subordinated notes secured by liens on voting stock or profit participating equity interests of their subsidiaries or merge, consolidate or sell, transfer or lease all or substantially all of their assets. The subordinated notes also</w:t>
      </w:r>
    </w:p>
    <w:p>
      <w:pPr>
        <w:sectPr>
          <w:pgSz w:w="11900" w:h="16861" w:orient="portrait"/>
          <w:cols w:equalWidth="0" w:num="1">
            <w:col w:w="9240"/>
          </w:cols>
          <w:pgMar w:left="1320" w:top="108" w:right="1339" w:bottom="0" w:gutter="0" w:footer="0" w:header="0"/>
        </w:sectPr>
      </w:pPr>
    </w:p>
    <w:bookmarkStart w:id="95" w:name="page96"/>
    <w:bookmarkEnd w:id="95"/>
    <w:p>
      <w:pPr>
        <w:ind w:right="60"/>
        <w:spacing w:after="0" w:line="243" w:lineRule="auto"/>
        <w:rPr>
          <w:sz w:val="20"/>
          <w:szCs w:val="20"/>
          <w:color w:val="auto"/>
        </w:rPr>
      </w:pPr>
      <w:r>
        <w:rPr>
          <w:rFonts w:ascii="Times New Roman" w:cs="Times New Roman" w:eastAsia="Times New Roman" w:hAnsi="Times New Roman"/>
          <w:sz w:val="17"/>
          <w:szCs w:val="17"/>
          <w:color w:val="auto"/>
        </w:rPr>
        <w:t>contain customary events of default. All or a portion of the notes may be redeemed at our option, in whole or in part, at any time and from time to time on or after June 15, 2026, prior to their stated maturity, at a redemption price equal to their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-230505</wp:posOffset>
            </wp:positionV>
            <wp:extent cx="7016115" cy="70313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16115" cy="7031355"/>
                    </a:xfrm>
                    <a:prstGeom prst="rect">
                      <a:avLst/>
                    </a:prstGeom>
                    <a:noFill/>
                  </pic:spPr>
                </pic:pic>
              </a:graphicData>
            </a:graphic>
          </wp:anchor>
        </w:drawing>
      </w:r>
    </w:p>
    <w:p>
      <w:pPr>
        <w:spacing w:after="0" w:line="251" w:lineRule="auto"/>
        <w:rPr>
          <w:sz w:val="20"/>
          <w:szCs w:val="20"/>
          <w:color w:val="auto"/>
        </w:rPr>
      </w:pPr>
      <w:r>
        <w:rPr>
          <w:rFonts w:ascii="Times New Roman" w:cs="Times New Roman" w:eastAsia="Times New Roman" w:hAnsi="Times New Roman"/>
          <w:sz w:val="18"/>
          <w:szCs w:val="18"/>
          <w:color w:val="auto"/>
        </w:rPr>
        <w:t>amount plus any accrued and unpaid interest to, but excluding, the date of redemption. If interest due on the Subordinated Notes is deemed to no longer be deductible in the U.S., a “Tax Redemption Event,” the subordinated notes may be redeemed, in whole, but not in part, within 120 days of the occurrence of such event at a redemption price equal to their principal amount plus accrued and unpaid interest to, but excluding, the date of redemption. In addition, the subordinated notes may be redeemed, in whole, but not in part, at any time prior to May 15, 2026, within 90 days of the rating agencies determining that the Subordinated Notes should no longer receive partial equity treatment pursuant to the rating agency’s criteria, a “rating agency event,” at a redemption price equal to 102% of their principal amount plus any accrued and unpaid interest to, but excluding, the date of redemption.</w:t>
      </w:r>
    </w:p>
    <w:p>
      <w:pPr>
        <w:spacing w:after="0" w:line="192" w:lineRule="exact"/>
        <w:rPr>
          <w:sz w:val="20"/>
          <w:szCs w:val="20"/>
          <w:color w:val="auto"/>
        </w:rPr>
      </w:pPr>
    </w:p>
    <w:p>
      <w:pPr>
        <w:ind w:right="34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Obligations of CLOs</w:t>
      </w:r>
      <w:r>
        <w:rPr>
          <w:rFonts w:ascii="Times New Roman" w:cs="Times New Roman" w:eastAsia="Times New Roman" w:hAnsi="Times New Roman"/>
          <w:sz w:val="18"/>
          <w:szCs w:val="18"/>
          <w:color w:val="auto"/>
        </w:rPr>
        <w:t>. Loans payable of the Consolidated Funds primarily comprise amounts due to holders of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issued by the CLOs. We are not liable for any loans payable of the CLOs. Loans payable of the CLOs are collateralized by the assets held by the CLOs and the assets of one CLO may not be used to satisfy the liabilities of another. This collateral consists of cash and cash equivalents, corporate loans, corporate bonds and other securities.</w:t>
      </w:r>
    </w:p>
    <w:p>
      <w:pPr>
        <w:spacing w:after="0" w:line="180" w:lineRule="exact"/>
        <w:rPr>
          <w:sz w:val="20"/>
          <w:szCs w:val="20"/>
          <w:color w:val="auto"/>
        </w:rPr>
      </w:pPr>
    </w:p>
    <w:p>
      <w:pPr>
        <w:ind w:right="8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Realized Performance Allocation Revenues</w:t>
      </w:r>
      <w:r>
        <w:rPr>
          <w:rFonts w:ascii="Times New Roman" w:cs="Times New Roman" w:eastAsia="Times New Roman" w:hAnsi="Times New Roman"/>
          <w:sz w:val="18"/>
          <w:szCs w:val="18"/>
          <w:color w:val="auto"/>
        </w:rPr>
        <w:t>. Another source of liquidity we may use to meet our capital needs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realized performance allocation revenues generated by our investment funds. Performance allocations are generally realized when an underlying investment is profitably disposed of and the fund’s cumulative returns are in excess of the preferred return. For certain funds, performance allocations are realized once all invested capital and expenses have been returned to the fund’s investors and the fund’s cumulative returns are in excess of the preferred return. Incentive fees earned on our CLO vehicles generally are paid upon the dissolution of such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34023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16115" cy="340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Our accrued performance allocations by segment as of March 31, 2024, gross and net of accrued giveback obligations, are set forth below:</w:t>
      </w:r>
    </w:p>
    <w:p>
      <w:pPr>
        <w:spacing w:after="0" w:line="117"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Accrued</w:t>
            </w:r>
          </w:p>
        </w:tc>
        <w:tc>
          <w:tcPr>
            <w:tcW w:w="300" w:type="dxa"/>
            <w:vAlign w:val="bottom"/>
          </w:tcPr>
          <w:p>
            <w:pPr>
              <w:spacing w:after="0"/>
              <w:rPr>
                <w:sz w:val="16"/>
                <w:szCs w:val="16"/>
                <w:color w:val="auto"/>
              </w:rPr>
            </w:pPr>
          </w:p>
        </w:tc>
        <w:tc>
          <w:tcPr>
            <w:tcW w:w="12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Accrued</w:t>
            </w:r>
          </w:p>
        </w:tc>
        <w:tc>
          <w:tcPr>
            <w:tcW w:w="200" w:type="dxa"/>
            <w:vAlign w:val="bottom"/>
          </w:tcPr>
          <w:p>
            <w:pPr>
              <w:spacing w:after="0"/>
              <w:rPr>
                <w:sz w:val="16"/>
                <w:szCs w:val="16"/>
                <w:color w:val="auto"/>
              </w:rPr>
            </w:pPr>
          </w:p>
        </w:tc>
        <w:tc>
          <w:tcPr>
            <w:tcW w:w="1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Net Accrued</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159"/>
              <w:spacing w:after="0" w:line="162"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300" w:type="dxa"/>
            <w:vAlign w:val="bottom"/>
          </w:tcPr>
          <w:p>
            <w:pPr>
              <w:spacing w:after="0"/>
              <w:rPr>
                <w:sz w:val="14"/>
                <w:szCs w:val="14"/>
                <w:color w:val="auto"/>
              </w:rPr>
            </w:pPr>
          </w:p>
        </w:tc>
        <w:tc>
          <w:tcPr>
            <w:tcW w:w="1220" w:type="dxa"/>
            <w:vAlign w:val="bottom"/>
          </w:tcPr>
          <w:p>
            <w:pPr>
              <w:jc w:val="center"/>
              <w:ind w:right="199"/>
              <w:spacing w:after="0" w:line="162" w:lineRule="exact"/>
              <w:rPr>
                <w:sz w:val="20"/>
                <w:szCs w:val="20"/>
                <w:color w:val="auto"/>
              </w:rPr>
            </w:pPr>
            <w:r>
              <w:rPr>
                <w:rFonts w:ascii="Times New Roman" w:cs="Times New Roman" w:eastAsia="Times New Roman" w:hAnsi="Times New Roman"/>
                <w:sz w:val="16"/>
                <w:szCs w:val="16"/>
                <w:b w:val="1"/>
                <w:bCs w:val="1"/>
                <w:color w:val="auto"/>
              </w:rPr>
              <w:t>Giveback</w:t>
            </w:r>
          </w:p>
        </w:tc>
        <w:tc>
          <w:tcPr>
            <w:tcW w:w="200" w:type="dxa"/>
            <w:vAlign w:val="bottom"/>
          </w:tcPr>
          <w:p>
            <w:pPr>
              <w:spacing w:after="0"/>
              <w:rPr>
                <w:sz w:val="14"/>
                <w:szCs w:val="14"/>
                <w:color w:val="auto"/>
              </w:rPr>
            </w:pPr>
          </w:p>
        </w:tc>
        <w:tc>
          <w:tcPr>
            <w:tcW w:w="118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0" w:type="dxa"/>
            <w:vAlign w:val="bottom"/>
          </w:tcPr>
          <w:p>
            <w:pPr>
              <w:spacing w:after="0"/>
              <w:rPr>
                <w:sz w:val="1"/>
                <w:szCs w:val="1"/>
                <w:color w:val="auto"/>
              </w:rPr>
            </w:pPr>
          </w:p>
        </w:tc>
      </w:tr>
      <w:tr>
        <w:trPr>
          <w:trHeight w:val="227"/>
        </w:trPr>
        <w:tc>
          <w:tcPr>
            <w:tcW w:w="4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59"/>
              <w:spacing w:after="0" w:line="227" w:lineRule="exact"/>
              <w:rPr>
                <w:sz w:val="20"/>
                <w:szCs w:val="20"/>
                <w:color w:val="auto"/>
              </w:rPr>
            </w:pPr>
            <w:r>
              <w:rPr>
                <w:rFonts w:ascii="Times New Roman" w:cs="Times New Roman" w:eastAsia="Times New Roman" w:hAnsi="Times New Roman"/>
                <w:sz w:val="16"/>
                <w:szCs w:val="16"/>
                <w:b w:val="1"/>
                <w:bCs w:val="1"/>
                <w:color w:val="auto"/>
                <w:w w:val="99"/>
              </w:rPr>
              <w:t>Allocations</w:t>
            </w:r>
            <w:r>
              <w:rPr>
                <w:rFonts w:ascii="Times New Roman" w:cs="Times New Roman" w:eastAsia="Times New Roman" w:hAnsi="Times New Roman"/>
                <w:sz w:val="21"/>
                <w:szCs w:val="21"/>
                <w:b w:val="1"/>
                <w:bCs w:val="1"/>
                <w:color w:val="auto"/>
                <w:w w:val="99"/>
                <w:vertAlign w:val="superscript"/>
              </w:rPr>
              <w:t>(1)</w:t>
            </w:r>
          </w:p>
        </w:tc>
        <w:tc>
          <w:tcPr>
            <w:tcW w:w="300" w:type="dxa"/>
            <w:vAlign w:val="bottom"/>
          </w:tcPr>
          <w:p>
            <w:pPr>
              <w:spacing w:after="0"/>
              <w:rPr>
                <w:sz w:val="19"/>
                <w:szCs w:val="19"/>
                <w:color w:val="auto"/>
              </w:rPr>
            </w:pPr>
          </w:p>
        </w:tc>
        <w:tc>
          <w:tcPr>
            <w:tcW w:w="12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Obligation</w:t>
            </w:r>
          </w:p>
        </w:tc>
        <w:tc>
          <w:tcPr>
            <w:tcW w:w="200" w:type="dxa"/>
            <w:vAlign w:val="bottom"/>
          </w:tcPr>
          <w:p>
            <w:pPr>
              <w:spacing w:after="0"/>
              <w:rPr>
                <w:sz w:val="19"/>
                <w:szCs w:val="19"/>
                <w:color w:val="auto"/>
              </w:rPr>
            </w:pPr>
          </w:p>
        </w:tc>
        <w:tc>
          <w:tcPr>
            <w:tcW w:w="1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0" w:type="dxa"/>
            <w:vAlign w:val="bottom"/>
          </w:tcPr>
          <w:p>
            <w:pPr>
              <w:spacing w:after="0"/>
              <w:rPr>
                <w:sz w:val="1"/>
                <w:szCs w:val="1"/>
                <w:color w:val="auto"/>
              </w:rPr>
            </w:pPr>
          </w:p>
        </w:tc>
      </w:tr>
      <w:tr>
        <w:trPr>
          <w:trHeight w:val="212"/>
        </w:trPr>
        <w:tc>
          <w:tcPr>
            <w:tcW w:w="4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Global Private Equity</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3,547.7</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3,529.3</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Global Credit</w:t>
            </w: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381.6</w:t>
            </w: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Global Investment Solutions</w:t>
            </w: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1,638.3</w:t>
            </w:r>
          </w:p>
        </w:tc>
        <w:tc>
          <w:tcPr>
            <w:tcW w:w="30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1,638.3</w:t>
            </w:r>
          </w:p>
        </w:tc>
        <w:tc>
          <w:tcPr>
            <w:tcW w:w="0" w:type="dxa"/>
            <w:vAlign w:val="bottom"/>
          </w:tcPr>
          <w:p>
            <w:pPr>
              <w:spacing w:after="0"/>
              <w:rPr>
                <w:sz w:val="1"/>
                <w:szCs w:val="1"/>
                <w:color w:val="auto"/>
              </w:rPr>
            </w:pPr>
          </w:p>
        </w:tc>
      </w:tr>
      <w:tr>
        <w:trPr>
          <w:trHeight w:val="270"/>
        </w:trPr>
        <w:tc>
          <w:tcPr>
            <w:tcW w:w="4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5,567.6</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5,523.6</w:t>
            </w:r>
          </w:p>
        </w:tc>
        <w:tc>
          <w:tcPr>
            <w:tcW w:w="0" w:type="dxa"/>
            <w:vAlign w:val="bottom"/>
          </w:tcPr>
          <w:p>
            <w:pPr>
              <w:spacing w:after="0"/>
              <w:rPr>
                <w:sz w:val="1"/>
                <w:szCs w:val="1"/>
                <w:color w:val="auto"/>
              </w:rPr>
            </w:pPr>
          </w:p>
        </w:tc>
      </w:tr>
      <w:tr>
        <w:trPr>
          <w:trHeight w:val="327"/>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Plus: Accrued performance allocations from NGP Carry Funds</w:t>
            </w:r>
            <w:r>
              <w:rPr>
                <w:rFonts w:ascii="Times New Roman" w:cs="Times New Roman" w:eastAsia="Times New Roman" w:hAnsi="Times New Roman"/>
                <w:sz w:val="21"/>
                <w:szCs w:val="21"/>
                <w:color w:val="auto"/>
                <w:vertAlign w:val="superscript"/>
              </w:rPr>
              <w:t>(2)</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0" w:type="dxa"/>
            <w:vAlign w:val="bottom"/>
          </w:tcPr>
          <w:p>
            <w:pPr>
              <w:spacing w:after="0"/>
              <w:rPr>
                <w:sz w:val="1"/>
                <w:szCs w:val="1"/>
                <w:color w:val="auto"/>
              </w:rPr>
            </w:pPr>
          </w:p>
        </w:tc>
      </w:tr>
      <w:tr>
        <w:trPr>
          <w:trHeight w:val="213"/>
        </w:trPr>
        <w:tc>
          <w:tcPr>
            <w:tcW w:w="5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Less: Net accrued performance allocations presented as fee related performance revenues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Less: Accrued performance allocation-related compensation</w:t>
            </w: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(3,939.4)</w:t>
            </w:r>
          </w:p>
        </w:tc>
        <w:tc>
          <w:tcPr>
            <w:tcW w:w="0" w:type="dxa"/>
            <w:vAlign w:val="bottom"/>
          </w:tcPr>
          <w:p>
            <w:pPr>
              <w:spacing w:after="0"/>
              <w:rPr>
                <w:sz w:val="1"/>
                <w:szCs w:val="1"/>
                <w:color w:val="auto"/>
              </w:rPr>
            </w:pPr>
          </w:p>
        </w:tc>
      </w:tr>
      <w:tr>
        <w:trPr>
          <w:trHeight w:val="270"/>
        </w:trPr>
        <w:tc>
          <w:tcPr>
            <w:tcW w:w="5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Plus: Receivable for giveback obligations from current and former employees</w:t>
            </w: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70"/>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Deferred taxes on certain foreign accrued performance allocations</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181"/>
        </w:trPr>
        <w:tc>
          <w:tcPr>
            <w:tcW w:w="7460" w:type="dxa"/>
            <w:vAlign w:val="bottom"/>
            <w:gridSpan w:val="5"/>
          </w:tcPr>
          <w:p>
            <w:pPr>
              <w:spacing w:after="0" w:line="181" w:lineRule="exact"/>
              <w:rPr>
                <w:sz w:val="20"/>
                <w:szCs w:val="20"/>
                <w:color w:val="auto"/>
              </w:rPr>
            </w:pPr>
            <w:r>
              <w:rPr>
                <w:rFonts w:ascii="Times New Roman" w:cs="Times New Roman" w:eastAsia="Times New Roman" w:hAnsi="Times New Roman"/>
                <w:sz w:val="16"/>
                <w:szCs w:val="16"/>
                <w:color w:val="auto"/>
              </w:rPr>
              <w:t>Less/Plus: Net accrued performance allocations/giveback obligations attributable to non-controlling interests in</w:t>
            </w: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0"/>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entities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4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Plus: Net accrued performance allocations attributable to Consolidated Funds, eliminated in consolidation</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bl>
    <w:p>
      <w:pPr>
        <w:sectPr>
          <w:pgSz w:w="11900" w:h="16838" w:orient="portrait"/>
          <w:cols w:equalWidth="0" w:num="1">
            <w:col w:w="9240"/>
          </w:cols>
          <w:pgMar w:left="1320" w:top="108" w:right="1339" w:bottom="0" w:gutter="0" w:footer="0" w:header="0"/>
        </w:sectPr>
      </w:pPr>
    </w:p>
    <w:bookmarkStart w:id="96" w:name="page97"/>
    <w:bookmarkEnd w:id="96"/>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accrued performance revenues before timing differences</w:t>
            </w:r>
          </w:p>
        </w:tc>
        <w:tc>
          <w:tcPr>
            <w:tcW w:w="6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2,073.9</w:t>
            </w:r>
          </w:p>
        </w:tc>
        <w:tc>
          <w:tcPr>
            <w:tcW w:w="0" w:type="dxa"/>
            <w:vAlign w:val="bottom"/>
          </w:tcPr>
          <w:p>
            <w:pPr>
              <w:spacing w:after="0"/>
              <w:rPr>
                <w:sz w:val="1"/>
                <w:szCs w:val="1"/>
                <w:color w:val="auto"/>
              </w:rPr>
            </w:pPr>
          </w:p>
        </w:tc>
      </w:tr>
      <w:tr>
        <w:trPr>
          <w:trHeight w:val="148"/>
        </w:trPr>
        <w:tc>
          <w:tcPr>
            <w:tcW w:w="7340" w:type="dxa"/>
            <w:vAlign w:val="bottom"/>
            <w:gridSpan w:val="2"/>
          </w:tcPr>
          <w:p>
            <w:pPr>
              <w:spacing w:after="0" w:line="148" w:lineRule="exact"/>
              <w:rPr>
                <w:sz w:val="20"/>
                <w:szCs w:val="20"/>
                <w:color w:val="auto"/>
              </w:rPr>
            </w:pPr>
            <w:r>
              <w:rPr>
                <w:rFonts w:ascii="Times New Roman" w:cs="Times New Roman" w:eastAsia="Times New Roman" w:hAnsi="Times New Roman"/>
                <w:sz w:val="16"/>
                <w:szCs w:val="16"/>
                <w:color w:val="auto"/>
              </w:rPr>
              <w:t>Less/Plus: Timing differences between the period when accrued performance allocations/giveback obligations</w:t>
            </w:r>
          </w:p>
        </w:tc>
        <w:tc>
          <w:tcPr>
            <w:tcW w:w="6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0" w:type="dxa"/>
            <w:vAlign w:val="bottom"/>
          </w:tcPr>
          <w:p>
            <w:pPr>
              <w:spacing w:after="0"/>
              <w:rPr>
                <w:sz w:val="1"/>
                <w:szCs w:val="1"/>
                <w:color w:val="auto"/>
              </w:rPr>
            </w:pPr>
          </w:p>
        </w:tc>
      </w:tr>
      <w:tr>
        <w:trPr>
          <w:trHeight w:val="270"/>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are realized and the period they are collected/distributed</w:t>
            </w:r>
            <w:r>
              <w:rPr>
                <w:rFonts w:ascii="Times New Roman" w:cs="Times New Roman" w:eastAsia="Times New Roman" w:hAnsi="Times New Roman"/>
                <w:sz w:val="21"/>
                <w:szCs w:val="21"/>
                <w:color w:val="auto"/>
                <w:vertAlign w:val="superscript"/>
              </w:rPr>
              <w:t>(3)</w:t>
            </w:r>
          </w:p>
        </w:tc>
        <w:tc>
          <w:tcPr>
            <w:tcW w:w="620" w:type="dxa"/>
            <w:vAlign w:val="bottom"/>
          </w:tcPr>
          <w:p>
            <w:pPr>
              <w:spacing w:after="0"/>
              <w:rPr>
                <w:sz w:val="23"/>
                <w:szCs w:val="23"/>
                <w:color w:val="auto"/>
              </w:rPr>
            </w:pPr>
          </w:p>
        </w:tc>
        <w:tc>
          <w:tcPr>
            <w:tcW w:w="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accrued performance revenues attributable to The Carlyle Group</w:t>
            </w:r>
          </w:p>
        </w:tc>
        <w:tc>
          <w:tcPr>
            <w:tcW w:w="2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560" w:type="dxa"/>
            <w:vAlign w:val="bottom"/>
            <w:vMerge w:val="continue"/>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Inc.</w:t>
            </w:r>
          </w:p>
        </w:tc>
        <w:tc>
          <w:tcPr>
            <w:tcW w:w="6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-509905</wp:posOffset>
            </wp:positionV>
            <wp:extent cx="7016115" cy="56597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16115" cy="5659755"/>
                    </a:xfrm>
                    <a:prstGeom prst="rect">
                      <a:avLst/>
                    </a:prstGeom>
                    <a:noFill/>
                  </pic:spPr>
                </pic:pic>
              </a:graphicData>
            </a:graphic>
          </wp:anchor>
        </w:drawing>
      </w:r>
    </w:p>
    <w:p>
      <w:pPr>
        <w:spacing w:after="0" w:line="107" w:lineRule="exact"/>
        <w:rPr>
          <w:sz w:val="20"/>
          <w:szCs w:val="20"/>
          <w:color w:val="auto"/>
        </w:rPr>
      </w:pPr>
    </w:p>
    <w:p>
      <w:pPr>
        <w:ind w:left="660" w:hanging="329"/>
        <w:spacing w:after="0"/>
        <w:tabs>
          <w:tab w:leader="none" w:pos="6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Accrued incentive fees are excluded from net accrued performance revenues.</w:t>
      </w:r>
    </w:p>
    <w:p>
      <w:pPr>
        <w:spacing w:after="0" w:line="59" w:lineRule="exact"/>
        <w:rPr>
          <w:rFonts w:ascii="Times New Roman" w:cs="Times New Roman" w:eastAsia="Times New Roman" w:hAnsi="Times New Roman"/>
          <w:sz w:val="16"/>
          <w:szCs w:val="16"/>
          <w:color w:val="auto"/>
        </w:rPr>
      </w:pPr>
    </w:p>
    <w:p>
      <w:pPr>
        <w:ind w:left="660" w:hanging="329"/>
        <w:spacing w:after="0"/>
        <w:tabs>
          <w:tab w:leader="none" w:pos="6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Accrued performance allocations from NGP funds are presented as investments in the condensed consolidated balance sheet.</w:t>
      </w:r>
    </w:p>
    <w:p>
      <w:pPr>
        <w:spacing w:after="0" w:line="59" w:lineRule="exact"/>
        <w:rPr>
          <w:rFonts w:ascii="Times New Roman" w:cs="Times New Roman" w:eastAsia="Times New Roman" w:hAnsi="Times New Roman"/>
          <w:sz w:val="16"/>
          <w:szCs w:val="16"/>
          <w:color w:val="auto"/>
        </w:rPr>
      </w:pPr>
    </w:p>
    <w:p>
      <w:pPr>
        <w:ind w:left="660" w:right="100" w:hanging="329"/>
        <w:spacing w:after="0" w:line="298" w:lineRule="auto"/>
        <w:tabs>
          <w:tab w:leader="none" w:pos="6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realized performance allocation-related compensation </w:t>
      </w:r>
      <w:r>
        <w:rPr>
          <w:rFonts w:ascii="Times New Roman" w:cs="Times New Roman" w:eastAsia="Times New Roman" w:hAnsi="Times New Roman"/>
          <w:sz w:val="16"/>
          <w:szCs w:val="16"/>
          <w:u w:val="single" w:color="auto"/>
          <w:color w:val="auto"/>
        </w:rPr>
        <w:t>associated with our u</w:t>
      </w:r>
      <w:r>
        <w:rPr>
          <w:rFonts w:ascii="Times New Roman" w:cs="Times New Roman" w:eastAsia="Times New Roman" w:hAnsi="Times New Roman"/>
          <w:sz w:val="16"/>
          <w:szCs w:val="16"/>
          <w:color w:val="auto"/>
        </w:rPr>
        <w:t>p</w:t>
      </w:r>
      <w:r>
        <w:rPr>
          <w:rFonts w:ascii="Times New Roman" w:cs="Times New Roman" w:eastAsia="Times New Roman" w:hAnsi="Times New Roman"/>
          <w:sz w:val="16"/>
          <w:szCs w:val="16"/>
          <w:u w:val="single" w:color="auto"/>
          <w:color w:val="auto"/>
        </w:rPr>
        <w:t>dated compensation p</w:t>
      </w:r>
      <w:r>
        <w:rPr>
          <w:rFonts w:ascii="Times New Roman" w:cs="Times New Roman" w:eastAsia="Times New Roman" w:hAnsi="Times New Roman"/>
          <w:sz w:val="16"/>
          <w:szCs w:val="16"/>
          <w:color w:val="auto"/>
        </w:rPr>
        <w:t>r</w:t>
      </w:r>
      <w:r>
        <w:rPr>
          <w:rFonts w:ascii="Times New Roman" w:cs="Times New Roman" w:eastAsia="Times New Roman" w:hAnsi="Times New Roman"/>
          <w:sz w:val="16"/>
          <w:szCs w:val="16"/>
          <w:u w:val="single" w:color="auto"/>
          <w:color w:val="auto"/>
        </w:rPr>
        <w:t>ogram that has not ye</w:t>
      </w:r>
      <w:r>
        <w:rPr>
          <w:rFonts w:ascii="Times New Roman" w:cs="Times New Roman" w:eastAsia="Times New Roman" w:hAnsi="Times New Roman"/>
          <w:sz w:val="16"/>
          <w:szCs w:val="16"/>
          <w:color w:val="auto"/>
        </w:rPr>
        <w:t>t been paid.</w:t>
      </w:r>
    </w:p>
    <w:p>
      <w:pPr>
        <w:spacing w:after="0" w:line="146"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net accrued performance revenues attributable to The Carlyle Group Inc., excluding realized amounts, related to our ca</w:t>
      </w:r>
      <w:r>
        <w:rPr>
          <w:rFonts w:ascii="Times New Roman" w:cs="Times New Roman" w:eastAsia="Times New Roman" w:hAnsi="Times New Roman"/>
          <w:sz w:val="18"/>
          <w:szCs w:val="18"/>
          <w:color w:val="auto"/>
          <w:highlight w:val="white"/>
        </w:rPr>
        <w:t>rry funds and our other vehicles as of March 31, 2024, as well as the carry fund appreciation (depreciation), is set forth belo</w:t>
      </w:r>
      <w:r>
        <w:rPr>
          <w:rFonts w:ascii="Times New Roman" w:cs="Times New Roman" w:eastAsia="Times New Roman" w:hAnsi="Times New Roman"/>
          <w:sz w:val="18"/>
          <w:szCs w:val="18"/>
          <w:color w:val="auto"/>
        </w:rPr>
        <w:t>w by segment (Dollars in millions):</w:t>
      </w:r>
    </w:p>
    <w:p>
      <w:pPr>
        <w:spacing w:after="0" w:line="1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Carry Fund Appreciation/(Depreciation)</w:t>
      </w:r>
      <w:r>
        <w:rPr>
          <w:rFonts w:ascii="Times New Roman" w:cs="Times New Roman" w:eastAsia="Times New Roman" w:hAnsi="Times New Roman"/>
          <w:sz w:val="21"/>
          <w:szCs w:val="21"/>
          <w:b w:val="1"/>
          <w:bCs w:val="1"/>
          <w:color w:val="auto"/>
          <w:vertAlign w:val="superscript"/>
        </w:rPr>
        <w:t>(1)</w:t>
      </w:r>
    </w:p>
    <w:tbl>
      <w:tblPr>
        <w:tblLayout w:type="fixed"/>
        <w:tblInd w:w="160" w:type="dxa"/>
        <w:tblCellMar>
          <w:top w:w="0" w:type="dxa"/>
          <w:left w:w="0" w:type="dxa"/>
          <w:bottom w:w="0" w:type="dxa"/>
          <w:right w:w="0" w:type="dxa"/>
        </w:tblCellMar>
      </w:tblPr>
      <w:tr>
        <w:trPr>
          <w:trHeight w:val="163"/>
        </w:trPr>
        <w:tc>
          <w:tcPr>
            <w:tcW w:w="5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5"/>
          </w:tcPr>
          <w:p>
            <w:pPr>
              <w:jc w:val="right"/>
              <w:ind w:right="580"/>
              <w:spacing w:after="0" w:line="164" w:lineRule="exact"/>
              <w:rPr>
                <w:sz w:val="20"/>
                <w:szCs w:val="20"/>
                <w:color w:val="auto"/>
              </w:rPr>
            </w:pPr>
            <w:r>
              <w:rPr>
                <w:rFonts w:ascii="Times New Roman" w:cs="Times New Roman" w:eastAsia="Times New Roman" w:hAnsi="Times New Roman"/>
                <w:sz w:val="16"/>
                <w:szCs w:val="16"/>
                <w:b w:val="1"/>
                <w:bCs w:val="1"/>
                <w:color w:val="auto"/>
              </w:rPr>
              <w:t>Last Twelve</w:t>
            </w:r>
          </w:p>
        </w:tc>
        <w:tc>
          <w:tcPr>
            <w:tcW w:w="176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Net Accrued</w:t>
            </w:r>
          </w:p>
        </w:tc>
        <w:tc>
          <w:tcPr>
            <w:tcW w:w="0" w:type="dxa"/>
            <w:vAlign w:val="bottom"/>
          </w:tcPr>
          <w:p>
            <w:pPr>
              <w:spacing w:after="0"/>
              <w:rPr>
                <w:sz w:val="1"/>
                <w:szCs w:val="1"/>
                <w:color w:val="auto"/>
              </w:rPr>
            </w:pPr>
          </w:p>
        </w:tc>
      </w:tr>
      <w:tr>
        <w:trPr>
          <w:trHeight w:val="68"/>
        </w:trPr>
        <w:tc>
          <w:tcPr>
            <w:tcW w:w="58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500" w:type="dxa"/>
            <w:vAlign w:val="bottom"/>
            <w:gridSpan w:val="2"/>
            <w:vMerge w:val="restart"/>
          </w:tcPr>
          <w:p>
            <w:pPr>
              <w:jc w:val="right"/>
              <w:ind w:right="80"/>
              <w:spacing w:after="0" w:line="169" w:lineRule="exact"/>
              <w:rPr>
                <w:sz w:val="20"/>
                <w:szCs w:val="20"/>
                <w:color w:val="auto"/>
              </w:rPr>
            </w:pPr>
            <w:r>
              <w:rPr>
                <w:rFonts w:ascii="Times New Roman" w:cs="Times New Roman" w:eastAsia="Times New Roman" w:hAnsi="Times New Roman"/>
                <w:sz w:val="16"/>
                <w:szCs w:val="16"/>
                <w:b w:val="1"/>
                <w:bCs w:val="1"/>
                <w:color w:val="auto"/>
              </w:rPr>
              <w:t>Quarter-to-Date</w:t>
            </w:r>
          </w:p>
        </w:tc>
        <w:tc>
          <w:tcPr>
            <w:tcW w:w="60" w:type="dxa"/>
            <w:vAlign w:val="bottom"/>
          </w:tcPr>
          <w:p>
            <w:pPr>
              <w:spacing w:after="0"/>
              <w:rPr>
                <w:sz w:val="5"/>
                <w:szCs w:val="5"/>
                <w:color w:val="auto"/>
              </w:rPr>
            </w:pPr>
          </w:p>
        </w:tc>
        <w:tc>
          <w:tcPr>
            <w:tcW w:w="1500" w:type="dxa"/>
            <w:vAlign w:val="bottom"/>
            <w:gridSpan w:val="3"/>
            <w:vMerge w:val="restart"/>
          </w:tcPr>
          <w:p>
            <w:pPr>
              <w:jc w:val="right"/>
              <w:ind w:right="380"/>
              <w:spacing w:after="0" w:line="169" w:lineRule="exact"/>
              <w:rPr>
                <w:sz w:val="20"/>
                <w:szCs w:val="20"/>
                <w:color w:val="auto"/>
              </w:rPr>
            </w:pPr>
            <w:r>
              <w:rPr>
                <w:rFonts w:ascii="Times New Roman" w:cs="Times New Roman" w:eastAsia="Times New Roman" w:hAnsi="Times New Roman"/>
                <w:sz w:val="16"/>
                <w:szCs w:val="16"/>
                <w:b w:val="1"/>
                <w:bCs w:val="1"/>
                <w:color w:val="auto"/>
              </w:rPr>
              <w:t>Months</w:t>
            </w: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5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500" w:type="dxa"/>
            <w:vAlign w:val="bottom"/>
            <w:tcBorders>
              <w:bottom w:val="single" w:sz="8" w:color="auto"/>
            </w:tcBorders>
            <w:gridSpan w:val="2"/>
            <w:vMerge w:val="continue"/>
          </w:tcPr>
          <w:p>
            <w:pPr>
              <w:spacing w:after="0"/>
              <w:rPr>
                <w:sz w:val="10"/>
                <w:szCs w:val="10"/>
                <w:color w:val="auto"/>
              </w:rPr>
            </w:pPr>
          </w:p>
        </w:tc>
        <w:tc>
          <w:tcPr>
            <w:tcW w:w="60" w:type="dxa"/>
            <w:vAlign w:val="bottom"/>
            <w:vMerge w:val="restart"/>
          </w:tcPr>
          <w:p>
            <w:pPr>
              <w:spacing w:after="0"/>
              <w:rPr>
                <w:sz w:val="10"/>
                <w:szCs w:val="10"/>
                <w:color w:val="auto"/>
              </w:rPr>
            </w:pPr>
          </w:p>
        </w:tc>
        <w:tc>
          <w:tcPr>
            <w:tcW w:w="1500" w:type="dxa"/>
            <w:vAlign w:val="bottom"/>
            <w:tcBorders>
              <w:bottom w:val="single" w:sz="8" w:color="auto"/>
            </w:tcBorders>
            <w:gridSpan w:val="3"/>
            <w:vMerge w:val="continue"/>
          </w:tcPr>
          <w:p>
            <w:pPr>
              <w:spacing w:after="0"/>
              <w:rPr>
                <w:sz w:val="10"/>
                <w:szCs w:val="10"/>
                <w:color w:val="auto"/>
              </w:rPr>
            </w:pPr>
          </w:p>
        </w:tc>
        <w:tc>
          <w:tcPr>
            <w:tcW w:w="260" w:type="dxa"/>
            <w:vAlign w:val="bottom"/>
            <w:gridSpan w:val="2"/>
            <w:vMerge w:val="restart"/>
          </w:tcPr>
          <w:p>
            <w:pPr>
              <w:spacing w:after="0"/>
              <w:rPr>
                <w:sz w:val="10"/>
                <w:szCs w:val="10"/>
                <w:color w:val="auto"/>
              </w:rPr>
            </w:pPr>
          </w:p>
        </w:tc>
        <w:tc>
          <w:tcPr>
            <w:tcW w:w="1760" w:type="dxa"/>
            <w:vAlign w:val="bottom"/>
            <w:gridSpan w:val="2"/>
            <w:vMerge w:val="restart"/>
          </w:tcPr>
          <w:p>
            <w:pPr>
              <w:jc w:val="center"/>
              <w:ind w:right="740"/>
              <w:spacing w:after="0" w:line="162"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0" w:type="dxa"/>
            <w:vAlign w:val="bottom"/>
            <w:tcBorders>
              <w:bottom w:val="single" w:sz="8" w:color="CCEEFF"/>
            </w:tcBorders>
          </w:tcPr>
          <w:p>
            <w:pPr>
              <w:spacing w:after="0"/>
              <w:rPr>
                <w:sz w:val="16"/>
                <w:szCs w:val="16"/>
                <w:color w:val="auto"/>
              </w:rPr>
            </w:pPr>
          </w:p>
        </w:tc>
        <w:tc>
          <w:tcPr>
            <w:tcW w:w="32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jc w:val="right"/>
              <w:ind w:right="60"/>
              <w:spacing w:after="0" w:line="142" w:lineRule="exact"/>
              <w:rPr>
                <w:sz w:val="20"/>
                <w:szCs w:val="20"/>
                <w:color w:val="auto"/>
              </w:rPr>
            </w:pPr>
            <w:r>
              <w:rPr>
                <w:rFonts w:ascii="Times New Roman" w:cs="Times New Roman" w:eastAsia="Times New Roman" w:hAnsi="Times New Roman"/>
                <w:sz w:val="16"/>
                <w:szCs w:val="16"/>
                <w:b w:val="1"/>
                <w:bCs w:val="1"/>
                <w:color w:val="auto"/>
              </w:rPr>
              <w:t>Q1 2023</w:t>
            </w:r>
          </w:p>
        </w:tc>
        <w:tc>
          <w:tcPr>
            <w:tcW w:w="760" w:type="dxa"/>
            <w:vAlign w:val="bottom"/>
            <w:tcBorders>
              <w:bottom w:val="single" w:sz="8" w:color="CCEEFF"/>
            </w:tcBorders>
            <w:gridSpan w:val="2"/>
          </w:tcPr>
          <w:p>
            <w:pPr>
              <w:ind w:left="80"/>
              <w:spacing w:after="0" w:line="142" w:lineRule="exact"/>
              <w:rPr>
                <w:sz w:val="20"/>
                <w:szCs w:val="20"/>
                <w:color w:val="auto"/>
              </w:rPr>
            </w:pPr>
            <w:r>
              <w:rPr>
                <w:rFonts w:ascii="Times New Roman" w:cs="Times New Roman" w:eastAsia="Times New Roman" w:hAnsi="Times New Roman"/>
                <w:sz w:val="16"/>
                <w:szCs w:val="16"/>
                <w:b w:val="1"/>
                <w:bCs w:val="1"/>
                <w:color w:val="auto"/>
              </w:rPr>
              <w:t>Q1 2024</w:t>
            </w:r>
          </w:p>
        </w:tc>
        <w:tc>
          <w:tcPr>
            <w:tcW w:w="800" w:type="dxa"/>
            <w:vAlign w:val="bottom"/>
            <w:tcBorders>
              <w:bottom w:val="single" w:sz="8" w:color="CCEEFF"/>
            </w:tcBorders>
            <w:gridSpan w:val="2"/>
          </w:tcPr>
          <w:p>
            <w:pPr>
              <w:ind w:left="80"/>
              <w:spacing w:after="0" w:line="142" w:lineRule="exact"/>
              <w:rPr>
                <w:sz w:val="20"/>
                <w:szCs w:val="20"/>
                <w:color w:val="auto"/>
              </w:rPr>
            </w:pPr>
            <w:r>
              <w:rPr>
                <w:rFonts w:ascii="Times New Roman" w:cs="Times New Roman" w:eastAsia="Times New Roman" w:hAnsi="Times New Roman"/>
                <w:sz w:val="16"/>
                <w:szCs w:val="16"/>
                <w:b w:val="1"/>
                <w:bCs w:val="1"/>
                <w:color w:val="auto"/>
              </w:rPr>
              <w:t>Q1 2023</w:t>
            </w:r>
          </w:p>
        </w:tc>
        <w:tc>
          <w:tcPr>
            <w:tcW w:w="960" w:type="dxa"/>
            <w:vAlign w:val="bottom"/>
            <w:tcBorders>
              <w:bottom w:val="single" w:sz="8" w:color="CCEEFF"/>
            </w:tcBorders>
            <w:gridSpan w:val="3"/>
          </w:tcPr>
          <w:p>
            <w:pPr>
              <w:jc w:val="right"/>
              <w:ind w:right="320"/>
              <w:spacing w:after="0" w:line="142" w:lineRule="exact"/>
              <w:rPr>
                <w:sz w:val="20"/>
                <w:szCs w:val="20"/>
                <w:color w:val="auto"/>
              </w:rPr>
            </w:pPr>
            <w:r>
              <w:rPr>
                <w:rFonts w:ascii="Times New Roman" w:cs="Times New Roman" w:eastAsia="Times New Roman" w:hAnsi="Times New Roman"/>
                <w:sz w:val="16"/>
                <w:szCs w:val="16"/>
                <w:b w:val="1"/>
                <w:bCs w:val="1"/>
                <w:color w:val="auto"/>
              </w:rPr>
              <w:t>Q1 2024</w:t>
            </w:r>
          </w:p>
        </w:tc>
        <w:tc>
          <w:tcPr>
            <w:tcW w:w="1760" w:type="dxa"/>
            <w:vAlign w:val="bottom"/>
            <w:tcBorders>
              <w:bottom w:val="single" w:sz="8" w:color="CCEEFF"/>
            </w:tcBorders>
            <w:gridSpan w:val="2"/>
          </w:tcPr>
          <w:p>
            <w:pPr>
              <w:jc w:val="center"/>
              <w:ind w:right="740"/>
              <w:spacing w:after="0" w:line="142"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0" w:type="dxa"/>
            <w:vAlign w:val="bottom"/>
          </w:tcPr>
          <w:p>
            <w:pPr>
              <w:spacing w:after="0"/>
              <w:rPr>
                <w:sz w:val="1"/>
                <w:szCs w:val="1"/>
                <w:color w:val="auto"/>
              </w:rPr>
            </w:pPr>
          </w:p>
        </w:tc>
      </w:tr>
      <w:tr>
        <w:trPr>
          <w:trHeight w:val="223"/>
        </w:trPr>
        <w:tc>
          <w:tcPr>
            <w:tcW w:w="580" w:type="dxa"/>
            <w:vAlign w:val="bottom"/>
            <w:tcBorders>
              <w:top w:val="single" w:sz="8" w:color="CCEEFF"/>
            </w:tcBorders>
            <w:shd w:val="clear" w:color="auto" w:fill="CCEEFF"/>
          </w:tcPr>
          <w:p>
            <w:pPr>
              <w:spacing w:after="0"/>
              <w:rPr>
                <w:sz w:val="19"/>
                <w:szCs w:val="19"/>
                <w:color w:val="auto"/>
              </w:rPr>
            </w:pPr>
          </w:p>
        </w:tc>
        <w:tc>
          <w:tcPr>
            <w:tcW w:w="326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Overall Carry Fund Appreciation/(Depreciation)</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Global Private Equity</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w:t>
            </w: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1,497.9</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 w:type="dxa"/>
            <w:vAlign w:val="bottom"/>
            <w:shd w:val="clear" w:color="auto" w:fill="CCEEFF"/>
          </w:tcPr>
          <w:p>
            <w:pPr>
              <w:spacing w:after="0"/>
              <w:rPr>
                <w:sz w:val="22"/>
                <w:szCs w:val="22"/>
                <w:color w:val="auto"/>
              </w:rPr>
            </w:pPr>
          </w:p>
        </w:tc>
        <w:tc>
          <w:tcPr>
            <w:tcW w:w="3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Corporate Private Equity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908.8</w:t>
            </w: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580" w:type="dxa"/>
            <w:vAlign w:val="bottom"/>
            <w:shd w:val="clear" w:color="auto" w:fill="CCEEFF"/>
          </w:tcPr>
          <w:p>
            <w:pPr>
              <w:spacing w:after="0"/>
              <w:rPr>
                <w:sz w:val="9"/>
                <w:szCs w:val="9"/>
                <w:color w:val="auto"/>
              </w:rPr>
            </w:pPr>
          </w:p>
        </w:tc>
        <w:tc>
          <w:tcPr>
            <w:tcW w:w="32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60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3260" w:type="dxa"/>
            <w:vAlign w:val="bottom"/>
          </w:tcPr>
          <w:p>
            <w:pPr>
              <w:ind w:left="280"/>
              <w:spacing w:after="0" w:line="129" w:lineRule="exact"/>
              <w:rPr>
                <w:sz w:val="20"/>
                <w:szCs w:val="20"/>
                <w:color w:val="auto"/>
              </w:rPr>
            </w:pPr>
            <w:r>
              <w:rPr>
                <w:rFonts w:ascii="Times New Roman" w:cs="Times New Roman" w:eastAsia="Times New Roman" w:hAnsi="Times New Roman"/>
                <w:sz w:val="14"/>
                <w:szCs w:val="14"/>
                <w:color w:val="auto"/>
              </w:rPr>
              <w:t>Real Estate</w:t>
            </w: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1 %</w:t>
            </w:r>
          </w:p>
        </w:tc>
        <w:tc>
          <w:tcPr>
            <w:tcW w:w="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5 %</w:t>
            </w:r>
          </w:p>
        </w:tc>
        <w:tc>
          <w:tcPr>
            <w:tcW w:w="80" w:type="dxa"/>
            <w:vAlign w:val="bottom"/>
          </w:tcPr>
          <w:p>
            <w:pPr>
              <w:spacing w:after="0"/>
              <w:rPr>
                <w:sz w:val="11"/>
                <w:szCs w:val="11"/>
                <w:color w:val="auto"/>
              </w:rPr>
            </w:pPr>
          </w:p>
        </w:tc>
        <w:tc>
          <w:tcPr>
            <w:tcW w:w="960" w:type="dxa"/>
            <w:vAlign w:val="bottom"/>
            <w:gridSpan w:val="3"/>
          </w:tcPr>
          <w:p>
            <w:pPr>
              <w:jc w:val="right"/>
              <w:ind w:right="260"/>
              <w:spacing w:after="0" w:line="129" w:lineRule="exact"/>
              <w:rPr>
                <w:sz w:val="20"/>
                <w:szCs w:val="20"/>
                <w:color w:val="auto"/>
              </w:rPr>
            </w:pPr>
            <w:r>
              <w:rPr>
                <w:rFonts w:ascii="Times New Roman" w:cs="Times New Roman" w:eastAsia="Times New Roman" w:hAnsi="Times New Roman"/>
                <w:sz w:val="14"/>
                <w:szCs w:val="14"/>
                <w:color w:val="auto"/>
              </w:rPr>
              <w:t>— %</w:t>
            </w: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154.6</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580" w:type="dxa"/>
            <w:vAlign w:val="bottom"/>
            <w:vMerge w:val="restart"/>
          </w:tcPr>
          <w:p>
            <w:pPr>
              <w:spacing w:after="0"/>
              <w:rPr>
                <w:sz w:val="8"/>
                <w:szCs w:val="8"/>
                <w:color w:val="auto"/>
              </w:rPr>
            </w:pPr>
          </w:p>
        </w:tc>
        <w:tc>
          <w:tcPr>
            <w:tcW w:w="3260" w:type="dxa"/>
            <w:vAlign w:val="bottom"/>
            <w:tcBorders>
              <w:bottom w:val="single" w:sz="8" w:color="CCEEFF"/>
            </w:tcBorders>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Infrastructure &amp; Natural Resources</w:t>
            </w:r>
          </w:p>
        </w:tc>
        <w:tc>
          <w:tcPr>
            <w:tcW w:w="80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60" w:type="dxa"/>
            <w:vAlign w:val="bottom"/>
            <w:tcBorders>
              <w:bottom w:val="single" w:sz="8" w:color="CCEEFF"/>
            </w:tcBorders>
            <w:vMerge w:val="restart"/>
            <w:shd w:val="clear" w:color="auto" w:fill="CCEEFF"/>
          </w:tcPr>
          <w:p>
            <w:pPr>
              <w:spacing w:after="0"/>
              <w:rPr>
                <w:sz w:val="8"/>
                <w:szCs w:val="8"/>
                <w:color w:val="auto"/>
              </w:rPr>
            </w:pPr>
          </w:p>
        </w:tc>
        <w:tc>
          <w:tcPr>
            <w:tcW w:w="72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80" w:type="dxa"/>
            <w:vAlign w:val="bottom"/>
            <w:tcBorders>
              <w:bottom w:val="single" w:sz="8" w:color="CCEEFF"/>
            </w:tcBorders>
            <w:vMerge w:val="restart"/>
            <w:shd w:val="clear" w:color="auto" w:fill="CCEEFF"/>
          </w:tcPr>
          <w:p>
            <w:pPr>
              <w:spacing w:after="0"/>
              <w:rPr>
                <w:sz w:val="8"/>
                <w:szCs w:val="8"/>
                <w:color w:val="auto"/>
              </w:rPr>
            </w:pPr>
          </w:p>
        </w:tc>
        <w:tc>
          <w:tcPr>
            <w:tcW w:w="70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tcBorders>
              <w:bottom w:val="single" w:sz="8" w:color="CCEEFF"/>
            </w:tcBorders>
            <w:vMerge w:val="restart"/>
            <w:shd w:val="clear" w:color="auto" w:fill="CCEEFF"/>
          </w:tcPr>
          <w:p>
            <w:pPr>
              <w:spacing w:after="0"/>
              <w:rPr>
                <w:sz w:val="8"/>
                <w:szCs w:val="8"/>
                <w:color w:val="auto"/>
              </w:rPr>
            </w:pPr>
          </w:p>
        </w:tc>
        <w:tc>
          <w:tcPr>
            <w:tcW w:w="180" w:type="dxa"/>
            <w:vAlign w:val="bottom"/>
            <w:tcBorders>
              <w:bottom w:val="single" w:sz="8" w:color="CCEEFF"/>
            </w:tcBorders>
            <w:vMerge w:val="restart"/>
            <w:shd w:val="clear" w:color="auto" w:fill="CCEEFF"/>
          </w:tcPr>
          <w:p>
            <w:pPr>
              <w:spacing w:after="0"/>
              <w:rPr>
                <w:sz w:val="8"/>
                <w:szCs w:val="8"/>
                <w:color w:val="auto"/>
              </w:rPr>
            </w:pPr>
          </w:p>
        </w:tc>
        <w:tc>
          <w:tcPr>
            <w:tcW w:w="116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580" w:type="dxa"/>
            <w:vAlign w:val="bottom"/>
            <w:vMerge w:val="continue"/>
          </w:tcPr>
          <w:p>
            <w:pPr>
              <w:spacing w:after="0" w:line="20" w:lineRule="exact"/>
              <w:rPr>
                <w:sz w:val="1"/>
                <w:szCs w:val="1"/>
                <w:color w:val="auto"/>
              </w:rPr>
            </w:pPr>
          </w:p>
        </w:tc>
        <w:tc>
          <w:tcPr>
            <w:tcW w:w="3260" w:type="dxa"/>
            <w:vAlign w:val="bottom"/>
            <w:tcBorders>
              <w:bottom w:val="single" w:sz="8" w:color="CCEEFF"/>
            </w:tcBorders>
            <w:vMerge w:val="continue"/>
            <w:shd w:val="clear" w:color="auto" w:fill="CCEEFF"/>
          </w:tcPr>
          <w:p>
            <w:pPr>
              <w:spacing w:after="0" w:line="20" w:lineRule="exact"/>
              <w:rPr>
                <w:sz w:val="1"/>
                <w:szCs w:val="1"/>
                <w:color w:val="auto"/>
              </w:rPr>
            </w:pPr>
          </w:p>
        </w:tc>
        <w:tc>
          <w:tcPr>
            <w:tcW w:w="800" w:type="dxa"/>
            <w:vAlign w:val="bottom"/>
            <w:tcBorders>
              <w:bottom w:val="single" w:sz="8" w:color="CCEEFF"/>
            </w:tcBorders>
            <w:vMerge w:val="continue"/>
            <w:shd w:val="clear" w:color="auto" w:fill="CCEEFF"/>
          </w:tcPr>
          <w:p>
            <w:pPr>
              <w:spacing w:after="0" w:line="20" w:lineRule="exact"/>
              <w:rPr>
                <w:sz w:val="1"/>
                <w:szCs w:val="1"/>
                <w:color w:val="auto"/>
              </w:rPr>
            </w:pPr>
          </w:p>
        </w:tc>
        <w:tc>
          <w:tcPr>
            <w:tcW w:w="700" w:type="dxa"/>
            <w:vAlign w:val="bottom"/>
            <w:tcBorders>
              <w:bottom w:val="single" w:sz="8" w:color="CCEEFF"/>
            </w:tcBorders>
            <w:vMerge w:val="continue"/>
            <w:shd w:val="clear" w:color="auto" w:fill="CCEEFF"/>
          </w:tcPr>
          <w:p>
            <w:pPr>
              <w:spacing w:after="0" w:line="20" w:lineRule="exact"/>
              <w:rPr>
                <w:sz w:val="1"/>
                <w:szCs w:val="1"/>
                <w:color w:val="auto"/>
              </w:rPr>
            </w:pPr>
          </w:p>
        </w:tc>
        <w:tc>
          <w:tcPr>
            <w:tcW w:w="60" w:type="dxa"/>
            <w:vAlign w:val="bottom"/>
            <w:tcBorders>
              <w:bottom w:val="single" w:sz="8" w:color="CCEEFF"/>
            </w:tcBorders>
            <w:vMerge w:val="continue"/>
            <w:shd w:val="clear" w:color="auto" w:fill="CCEEFF"/>
          </w:tcPr>
          <w:p>
            <w:pPr>
              <w:spacing w:after="0" w:line="20" w:lineRule="exact"/>
              <w:rPr>
                <w:sz w:val="1"/>
                <w:szCs w:val="1"/>
                <w:color w:val="auto"/>
              </w:rPr>
            </w:pPr>
          </w:p>
        </w:tc>
        <w:tc>
          <w:tcPr>
            <w:tcW w:w="720" w:type="dxa"/>
            <w:vAlign w:val="bottom"/>
            <w:tcBorders>
              <w:bottom w:val="single" w:sz="8" w:color="CCEEFF"/>
            </w:tcBorders>
            <w:vMerge w:val="continue"/>
            <w:shd w:val="clear" w:color="auto" w:fill="CCEEFF"/>
          </w:tcPr>
          <w:p>
            <w:pPr>
              <w:spacing w:after="0" w:line="20" w:lineRule="exact"/>
              <w:rPr>
                <w:sz w:val="1"/>
                <w:szCs w:val="1"/>
                <w:color w:val="auto"/>
              </w:rPr>
            </w:pPr>
          </w:p>
        </w:tc>
        <w:tc>
          <w:tcPr>
            <w:tcW w:w="80" w:type="dxa"/>
            <w:vAlign w:val="bottom"/>
            <w:tcBorders>
              <w:bottom w:val="single" w:sz="8" w:color="CCEEFF"/>
            </w:tcBorders>
            <w:vMerge w:val="continue"/>
            <w:shd w:val="clear" w:color="auto" w:fill="CCEEFF"/>
          </w:tcPr>
          <w:p>
            <w:pPr>
              <w:spacing w:after="0" w:line="20" w:lineRule="exact"/>
              <w:rPr>
                <w:sz w:val="1"/>
                <w:szCs w:val="1"/>
                <w:color w:val="auto"/>
              </w:rPr>
            </w:pPr>
          </w:p>
        </w:tc>
        <w:tc>
          <w:tcPr>
            <w:tcW w:w="700" w:type="dxa"/>
            <w:vAlign w:val="bottom"/>
            <w:tcBorders>
              <w:bottom w:val="single" w:sz="8" w:color="CCEEFF"/>
            </w:tcBorders>
            <w:vMerge w:val="continue"/>
            <w:shd w:val="clear" w:color="auto" w:fill="CCEEFF"/>
          </w:tcPr>
          <w:p>
            <w:pPr>
              <w:spacing w:after="0" w:line="20" w:lineRule="exact"/>
              <w:rPr>
                <w:sz w:val="1"/>
                <w:szCs w:val="1"/>
                <w:color w:val="auto"/>
              </w:rPr>
            </w:pPr>
          </w:p>
        </w:tc>
        <w:tc>
          <w:tcPr>
            <w:tcW w:w="80" w:type="dxa"/>
            <w:vAlign w:val="bottom"/>
            <w:tcBorders>
              <w:bottom w:val="single" w:sz="8" w:color="CCEEFF"/>
            </w:tcBorders>
            <w:vMerge w:val="continue"/>
            <w:shd w:val="clear" w:color="auto" w:fill="CCEEFF"/>
          </w:tcPr>
          <w:p>
            <w:pPr>
              <w:spacing w:after="0" w:line="20" w:lineRule="exact"/>
              <w:rPr>
                <w:sz w:val="1"/>
                <w:szCs w:val="1"/>
                <w:color w:val="auto"/>
              </w:rPr>
            </w:pPr>
          </w:p>
        </w:tc>
        <w:tc>
          <w:tcPr>
            <w:tcW w:w="180" w:type="dxa"/>
            <w:vAlign w:val="bottom"/>
            <w:tcBorders>
              <w:bottom w:val="single" w:sz="8" w:color="CCEEFF"/>
            </w:tcBorders>
            <w:vMerge w:val="continue"/>
            <w:shd w:val="clear" w:color="auto" w:fill="CCEEFF"/>
          </w:tcPr>
          <w:p>
            <w:pPr>
              <w:spacing w:after="0" w:line="20" w:lineRule="exact"/>
              <w:rPr>
                <w:sz w:val="1"/>
                <w:szCs w:val="1"/>
                <w:color w:val="auto"/>
              </w:rPr>
            </w:pPr>
          </w:p>
        </w:tc>
        <w:tc>
          <w:tcPr>
            <w:tcW w:w="1160" w:type="dxa"/>
            <w:vAlign w:val="bottom"/>
            <w:tcBorders>
              <w:bottom w:val="single" w:sz="8" w:color="CCEEFF"/>
            </w:tcBorders>
            <w:vMerge w:val="continue"/>
            <w:shd w:val="clear" w:color="auto" w:fill="CCEEFF"/>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580" w:type="dxa"/>
            <w:vAlign w:val="bottom"/>
            <w:vMerge w:val="continue"/>
          </w:tcPr>
          <w:p>
            <w:pPr>
              <w:spacing w:after="0"/>
              <w:rPr>
                <w:sz w:val="8"/>
                <w:szCs w:val="8"/>
                <w:color w:val="auto"/>
              </w:rPr>
            </w:pPr>
          </w:p>
        </w:tc>
        <w:tc>
          <w:tcPr>
            <w:tcW w:w="326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6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1160" w:type="dxa"/>
            <w:vAlign w:val="bottom"/>
            <w:vMerge w:val="continue"/>
            <w:shd w:val="clear" w:color="auto" w:fill="CCEEFF"/>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3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Global Credit Carry Funds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3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Global Investment Solutions Carry Funds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528.5</w:t>
            </w: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3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Accrued Performance Revenues</w:t>
            </w:r>
          </w:p>
        </w:tc>
        <w:tc>
          <w:tcPr>
            <w:tcW w:w="8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2,168.9</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260" w:hanging="329"/>
        <w:spacing w:after="0" w:line="263" w:lineRule="auto"/>
        <w:tabs>
          <w:tab w:leader="none" w:pos="6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Appreciation/(Depreciation) represents unrealized gain/(loss) for the period on a total return basis before fees and expenses. The percentage of return is calculated as: ending remaining investment fair market value plus net investment outflow (sales proceeds minus net purchases) minus beginning remaining investment fair market value divided by beginning remaining investment fair market value. Amounts are fund only, and do not include coinvestments.</w:t>
      </w:r>
    </w:p>
    <w:p>
      <w:pPr>
        <w:spacing w:after="0" w:line="84" w:lineRule="exact"/>
        <w:rPr>
          <w:rFonts w:ascii="Times New Roman" w:cs="Times New Roman" w:eastAsia="Times New Roman" w:hAnsi="Times New Roman"/>
          <w:sz w:val="16"/>
          <w:szCs w:val="16"/>
          <w:color w:val="auto"/>
        </w:rPr>
      </w:pPr>
    </w:p>
    <w:p>
      <w:pPr>
        <w:ind w:left="660" w:hanging="329"/>
        <w:spacing w:after="0"/>
        <w:tabs>
          <w:tab w:leader="none" w:pos="66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 million of net accrued clawback from our Legacy Energy funds.</w:t>
      </w:r>
    </w:p>
    <w:p>
      <w:pPr>
        <w:spacing w:after="0" w:line="215" w:lineRule="exact"/>
        <w:rPr>
          <w:sz w:val="20"/>
          <w:szCs w:val="20"/>
          <w:color w:val="auto"/>
        </w:rPr>
      </w:pPr>
    </w:p>
    <w:p>
      <w:pPr>
        <w:ind w:right="6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Realized Principal Investment Income</w:t>
      </w:r>
      <w:r>
        <w:rPr>
          <w:rFonts w:ascii="Times New Roman" w:cs="Times New Roman" w:eastAsia="Times New Roman" w:hAnsi="Times New Roman"/>
          <w:sz w:val="18"/>
          <w:szCs w:val="18"/>
          <w:color w:val="auto"/>
        </w:rPr>
        <w:t>. Another source of liquidity we may use to meet our capital needs is the 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investment income generated by our equity method investments and other principal investments. Principal investment</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47739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16115" cy="4773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income is realized when we redeem all or a portion of our investment or when we receive or are due cash income, such as dividends or distributions. Certain of the investments attributable to The Carlyle Group Inc. (excluding certain general partner interests, certain strategic investments, and investments in certain CLOs) may be sold at our discretion as a source of liquidity.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Investments as of March 31, 2024 consist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Investments in</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Investments</w:t>
            </w:r>
          </w:p>
        </w:tc>
        <w:tc>
          <w:tcPr>
            <w:tcW w:w="300" w:type="dxa"/>
            <w:vAlign w:val="bottom"/>
          </w:tcPr>
          <w:p>
            <w:pPr>
              <w:spacing w:after="0"/>
              <w:rPr>
                <w:sz w:val="16"/>
                <w:szCs w:val="16"/>
                <w:color w:val="auto"/>
              </w:rPr>
            </w:pPr>
          </w:p>
        </w:tc>
        <w:tc>
          <w:tcPr>
            <w:tcW w:w="98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Carlyle Funds</w:t>
            </w: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40"/>
              <w:spacing w:after="0" w:line="203" w:lineRule="exact"/>
              <w:rPr>
                <w:sz w:val="20"/>
                <w:szCs w:val="20"/>
                <w:color w:val="auto"/>
              </w:rPr>
            </w:pPr>
            <w:r>
              <w:rPr>
                <w:rFonts w:ascii="Times New Roman" w:cs="Times New Roman" w:eastAsia="Times New Roman" w:hAnsi="Times New Roman"/>
                <w:sz w:val="16"/>
                <w:szCs w:val="16"/>
                <w:b w:val="1"/>
                <w:bCs w:val="1"/>
                <w:color w:val="auto"/>
                <w:w w:val="91"/>
              </w:rPr>
              <w:t>in NGP</w:t>
            </w:r>
            <w:r>
              <w:rPr>
                <w:rFonts w:ascii="Times New Roman" w:cs="Times New Roman" w:eastAsia="Times New Roman" w:hAnsi="Times New Roman"/>
                <w:sz w:val="21"/>
                <w:szCs w:val="21"/>
                <w:b w:val="1"/>
                <w:bCs w:val="1"/>
                <w:color w:val="auto"/>
                <w:w w:val="91"/>
                <w:vertAlign w:val="superscript"/>
              </w:rPr>
              <w:t>(1)</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Investments, excluding performance allocations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857.7</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3,905.6</w:t>
            </w:r>
          </w:p>
        </w:tc>
        <w:tc>
          <w:tcPr>
            <w:tcW w:w="0" w:type="dxa"/>
            <w:vAlign w:val="bottom"/>
          </w:tcPr>
          <w:p>
            <w:pPr>
              <w:spacing w:after="0"/>
              <w:rPr>
                <w:sz w:val="1"/>
                <w:szCs w:val="1"/>
                <w:color w:val="auto"/>
              </w:rPr>
            </w:pPr>
          </w:p>
        </w:tc>
      </w:tr>
      <w:tr>
        <w:trPr>
          <w:trHeight w:val="256"/>
        </w:trPr>
        <w:tc>
          <w:tcPr>
            <w:tcW w:w="5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Less: Amounts attributable to non-controlling interests in consolidated entities</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0" w:type="dxa"/>
            <w:vAlign w:val="bottom"/>
          </w:tcPr>
          <w:p>
            <w:pPr>
              <w:spacing w:after="0"/>
              <w:rPr>
                <w:sz w:val="1"/>
                <w:szCs w:val="1"/>
                <w:color w:val="auto"/>
              </w:rPr>
            </w:pPr>
          </w:p>
        </w:tc>
      </w:tr>
      <w:tr>
        <w:trPr>
          <w:trHeight w:val="256"/>
        </w:trPr>
        <w:tc>
          <w:tcPr>
            <w:tcW w:w="5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Plus: Investments in Consolidated Funds, eliminated in consolidation</w:t>
            </w: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0" w:type="dxa"/>
            <w:vAlign w:val="bottom"/>
          </w:tcPr>
          <w:p>
            <w:pPr>
              <w:spacing w:after="0"/>
              <w:rPr>
                <w:sz w:val="1"/>
                <w:szCs w:val="1"/>
                <w:color w:val="auto"/>
              </w:rPr>
            </w:pPr>
          </w:p>
        </w:tc>
      </w:tr>
      <w:tr>
        <w:trPr>
          <w:trHeight w:val="256"/>
        </w:trPr>
        <w:tc>
          <w:tcPr>
            <w:tcW w:w="5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Less: Strategic equity method investments in NGP Management</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(369.3)</w:t>
            </w:r>
          </w:p>
        </w:tc>
        <w:tc>
          <w:tcPr>
            <w:tcW w:w="0" w:type="dxa"/>
            <w:vAlign w:val="bottom"/>
          </w:tcPr>
          <w:p>
            <w:pPr>
              <w:spacing w:after="0"/>
              <w:rPr>
                <w:sz w:val="1"/>
                <w:szCs w:val="1"/>
                <w:color w:val="auto"/>
              </w:rPr>
            </w:pPr>
          </w:p>
        </w:tc>
      </w:tr>
      <w:tr>
        <w:trPr>
          <w:trHeight w:val="256"/>
        </w:trPr>
        <w:tc>
          <w:tcPr>
            <w:tcW w:w="5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Less: Investment in NGP general partners - accrued performance allocations</w:t>
            </w:r>
          </w:p>
        </w:tc>
        <w:tc>
          <w:tcPr>
            <w:tcW w:w="1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6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0" w:type="dxa"/>
            <w:vAlign w:val="bottom"/>
          </w:tcPr>
          <w:p>
            <w:pPr>
              <w:spacing w:after="0"/>
              <w:rPr>
                <w:sz w:val="1"/>
                <w:szCs w:val="1"/>
                <w:color w:val="auto"/>
              </w:rPr>
            </w:pPr>
          </w:p>
        </w:tc>
      </w:tr>
      <w:tr>
        <w:trPr>
          <w:trHeight w:val="183"/>
        </w:trPr>
        <w:tc>
          <w:tcPr>
            <w:tcW w:w="5260" w:type="dxa"/>
            <w:vAlign w:val="bottom"/>
          </w:tcPr>
          <w:p>
            <w:pPr>
              <w:ind w:left="60"/>
              <w:spacing w:after="0" w:line="183" w:lineRule="exact"/>
              <w:rPr>
                <w:sz w:val="20"/>
                <w:szCs w:val="20"/>
                <w:color w:val="auto"/>
              </w:rPr>
            </w:pPr>
            <w:r>
              <w:rPr>
                <w:rFonts w:ascii="Times New Roman" w:cs="Times New Roman" w:eastAsia="Times New Roman" w:hAnsi="Times New Roman"/>
                <w:sz w:val="16"/>
                <w:szCs w:val="16"/>
                <w:color w:val="auto"/>
              </w:rPr>
              <w:t>Total investments attributable to The Carlyle Group Inc.</w:t>
            </w:r>
          </w:p>
        </w:tc>
        <w:tc>
          <w:tcPr>
            <w:tcW w:w="1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3,027.5</w:t>
            </w:r>
          </w:p>
        </w:tc>
        <w:tc>
          <w:tcPr>
            <w:tcW w:w="240" w:type="dxa"/>
            <w:vAlign w:val="bottom"/>
            <w:gridSpan w:val="2"/>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3,027.5</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right="680" w:hanging="329"/>
        <w:spacing w:after="0" w:line="280" w:lineRule="auto"/>
        <w:tabs>
          <w:tab w:leader="none" w:pos="66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Strategic equity method investment in NGP Management and investments in NGP general partners - accrued performance allocations. See Note 4, Investments, to our condensed consolidated financial statements.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investments as of March 31, 2024 can be further attributed as follows (Dollars in millions):</w:t>
      </w:r>
    </w:p>
    <w:p>
      <w:pPr>
        <w:spacing w:after="0" w:line="338"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Carlyle Funds, excluding CLOs:</w:t>
            </w:r>
          </w:p>
        </w:tc>
        <w:tc>
          <w:tcPr>
            <w:tcW w:w="19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19"/>
        </w:trPr>
        <w:tc>
          <w:tcPr>
            <w:tcW w:w="5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Global Private Equity funds</w:t>
            </w:r>
            <w:r>
              <w:rPr>
                <w:rFonts w:ascii="Times New Roman" w:cs="Times New Roman" w:eastAsia="Times New Roman" w:hAnsi="Times New Roman"/>
                <w:sz w:val="21"/>
                <w:szCs w:val="21"/>
                <w:color w:val="auto"/>
                <w:vertAlign w:val="superscript"/>
              </w:rPr>
              <w:t>(1)</w:t>
            </w:r>
          </w:p>
        </w:tc>
        <w:tc>
          <w:tcPr>
            <w:tcW w:w="19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887.1</w:t>
            </w:r>
          </w:p>
        </w:tc>
      </w:tr>
      <w:tr>
        <w:trPr>
          <w:trHeight w:val="279"/>
        </w:trPr>
        <w:tc>
          <w:tcPr>
            <w:tcW w:w="5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Global Credit funds</w:t>
            </w:r>
            <w:r>
              <w:rPr>
                <w:rFonts w:ascii="Times New Roman" w:cs="Times New Roman" w:eastAsia="Times New Roman" w:hAnsi="Times New Roman"/>
                <w:sz w:val="21"/>
                <w:szCs w:val="21"/>
                <w:color w:val="auto"/>
                <w:vertAlign w:val="superscript"/>
              </w:rPr>
              <w:t>(2)</w:t>
            </w:r>
          </w:p>
        </w:tc>
        <w:tc>
          <w:tcPr>
            <w:tcW w:w="19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1,202.0</w:t>
            </w:r>
          </w:p>
        </w:tc>
      </w:tr>
      <w:tr>
        <w:trPr>
          <w:trHeight w:val="213"/>
        </w:trPr>
        <w:tc>
          <w:tcPr>
            <w:tcW w:w="5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Global Investment Solutions funds</w:t>
            </w:r>
          </w:p>
        </w:tc>
        <w:tc>
          <w:tcPr>
            <w:tcW w:w="19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w:t>
            </w:r>
          </w:p>
        </w:tc>
      </w:tr>
      <w:tr>
        <w:trPr>
          <w:trHeight w:val="284"/>
        </w:trPr>
        <w:tc>
          <w:tcPr>
            <w:tcW w:w="5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investments in Carlyle Funds, excluding CLOs</w:t>
            </w:r>
          </w:p>
        </w:tc>
        <w:tc>
          <w:tcPr>
            <w:tcW w:w="19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2,340.8</w:t>
            </w: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CLOs</w:t>
            </w:r>
          </w:p>
        </w:tc>
        <w:tc>
          <w:tcPr>
            <w:tcW w:w="19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540.8</w:t>
            </w: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Other investments</w:t>
            </w:r>
          </w:p>
        </w:tc>
        <w:tc>
          <w:tcPr>
            <w:tcW w:w="19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w:t>
            </w:r>
          </w:p>
        </w:tc>
      </w:tr>
    </w:tbl>
    <w:p>
      <w:pPr>
        <w:sectPr>
          <w:pgSz w:w="11900" w:h="16838" w:orient="portrait"/>
          <w:cols w:equalWidth="0" w:num="1">
            <w:col w:w="9240"/>
          </w:cols>
          <w:pgMar w:left="1320" w:top="90" w:right="1339" w:bottom="0" w:gutter="0" w:footer="0" w:header="0"/>
        </w:sectPr>
      </w:pPr>
    </w:p>
    <w:bookmarkStart w:id="97" w:name="page98"/>
    <w:bookmarkEnd w:id="97"/>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investments attributable to The Carlyle Group Inc.</w:t>
            </w:r>
          </w:p>
        </w:tc>
        <w:tc>
          <w:tcPr>
            <w:tcW w:w="580" w:type="dxa"/>
            <w:vAlign w:val="bottom"/>
          </w:tcPr>
          <w:p>
            <w:pPr>
              <w:spacing w:after="0"/>
              <w:rPr>
                <w:sz w:val="16"/>
                <w:szCs w:val="16"/>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3,027.5</w:t>
            </w:r>
          </w:p>
        </w:tc>
      </w:tr>
      <w:tr>
        <w:trPr>
          <w:trHeight w:val="135"/>
        </w:trPr>
        <w:tc>
          <w:tcPr>
            <w:tcW w:w="6860" w:type="dxa"/>
            <w:vAlign w:val="bottom"/>
          </w:tcPr>
          <w:p>
            <w:pPr>
              <w:ind w:left="40"/>
              <w:spacing w:after="0" w:line="115" w:lineRule="exact"/>
              <w:rPr>
                <w:sz w:val="20"/>
                <w:szCs w:val="20"/>
                <w:color w:val="auto"/>
              </w:rPr>
            </w:pPr>
            <w:r>
              <w:rPr>
                <w:rFonts w:ascii="Times New Roman" w:cs="Times New Roman" w:eastAsia="Times New Roman" w:hAnsi="Times New Roman"/>
                <w:sz w:val="10"/>
                <w:szCs w:val="10"/>
                <w:color w:val="auto"/>
              </w:rPr>
              <w:t>CLO loans and other borrowings collateralized by investments attributable to The Carlyle Group Inc.</w:t>
            </w:r>
            <w:r>
              <w:rPr>
                <w:rFonts w:ascii="Times New Roman" w:cs="Times New Roman" w:eastAsia="Times New Roman" w:hAnsi="Times New Roman"/>
                <w:sz w:val="13"/>
                <w:szCs w:val="13"/>
                <w:color w:val="auto"/>
                <w:vertAlign w:val="superscript"/>
              </w:rPr>
              <w:t>(3)</w:t>
            </w:r>
          </w:p>
        </w:tc>
        <w:tc>
          <w:tcPr>
            <w:tcW w:w="580" w:type="dxa"/>
            <w:vAlign w:val="bottom"/>
          </w:tcPr>
          <w:p>
            <w:pPr>
              <w:spacing w:after="0"/>
              <w:rPr>
                <w:sz w:val="11"/>
                <w:szCs w:val="11"/>
                <w:color w:val="auto"/>
              </w:rPr>
            </w:pPr>
          </w:p>
        </w:tc>
        <w:tc>
          <w:tcPr>
            <w:tcW w:w="9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(387.1)</w:t>
            </w:r>
          </w:p>
        </w:tc>
      </w:tr>
      <w:tr>
        <w:trPr>
          <w:trHeight w:val="270"/>
        </w:trPr>
        <w:tc>
          <w:tcPr>
            <w:tcW w:w="6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investments attributable to The Carlyle Group Inc., net of CLO loans and other borrowings</w:t>
            </w:r>
          </w:p>
        </w:tc>
        <w:tc>
          <w:tcPr>
            <w:tcW w:w="5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2,640.4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-342265</wp:posOffset>
            </wp:positionV>
            <wp:extent cx="7016115" cy="42881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016115" cy="4288155"/>
                    </a:xfrm>
                    <a:prstGeom prst="rect">
                      <a:avLst/>
                    </a:prstGeom>
                    <a:noFill/>
                  </pic:spPr>
                </pic:pic>
              </a:graphicData>
            </a:graphic>
          </wp:anchor>
        </w:drawing>
      </w:r>
    </w:p>
    <w:p>
      <w:pPr>
        <w:spacing w:after="0" w:line="196" w:lineRule="exact"/>
        <w:rPr>
          <w:sz w:val="20"/>
          <w:szCs w:val="20"/>
          <w:color w:val="auto"/>
        </w:rPr>
      </w:pPr>
    </w:p>
    <w:p>
      <w:pPr>
        <w:ind w:left="660" w:right="640" w:hanging="329"/>
        <w:spacing w:after="0" w:line="298" w:lineRule="auto"/>
        <w:tabs>
          <w:tab w:leader="none" w:pos="6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our strategic equity method investment in NGP Management and investments in NGP general partners - accrued performance allocations.</w:t>
      </w:r>
    </w:p>
    <w:p>
      <w:pPr>
        <w:spacing w:after="0" w:line="42" w:lineRule="exact"/>
        <w:rPr>
          <w:rFonts w:ascii="Times New Roman" w:cs="Times New Roman" w:eastAsia="Times New Roman" w:hAnsi="Times New Roman"/>
          <w:sz w:val="16"/>
          <w:szCs w:val="16"/>
          <w:color w:val="auto"/>
        </w:rPr>
      </w:pPr>
    </w:p>
    <w:p>
      <w:pPr>
        <w:jc w:val="both"/>
        <w:ind w:left="660" w:right="80" w:hanging="329"/>
        <w:spacing w:after="0" w:line="272" w:lineRule="auto"/>
        <w:tabs>
          <w:tab w:leader="none" w:pos="6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Company’s indirect investment in Fortitude through Carlyle FRL, a Carlyle-affiliated investment fund, as discussed in Note 4, Investments, to the condensed consolidated financial statements. This investment has a carrying value of $709.3 million as of March 31, 2024.</w:t>
      </w:r>
    </w:p>
    <w:p>
      <w:pPr>
        <w:spacing w:after="0" w:line="63" w:lineRule="exact"/>
        <w:rPr>
          <w:sz w:val="20"/>
          <w:szCs w:val="20"/>
          <w:color w:val="auto"/>
        </w:rPr>
      </w:pPr>
    </w:p>
    <w:p>
      <w:pPr>
        <w:jc w:val="both"/>
        <w:ind w:left="660" w:right="360" w:hanging="323"/>
        <w:spacing w:after="0" w:line="272" w:lineRule="auto"/>
        <w:tabs>
          <w:tab w:leader="none" w:pos="640" w:val="left"/>
        </w:tabs>
        <w:rPr>
          <w:sz w:val="20"/>
          <w:szCs w:val="20"/>
          <w:color w:val="auto"/>
        </w:rPr>
      </w:pPr>
      <w:r>
        <w:rPr>
          <w:rFonts w:ascii="Times New Roman" w:cs="Times New Roman" w:eastAsia="Times New Roman" w:hAnsi="Times New Roman"/>
          <w:sz w:val="16"/>
          <w:szCs w:val="16"/>
          <w:color w:val="auto"/>
        </w:rPr>
        <w:t>(3</w:t>
      </w:r>
      <w:r>
        <w:rPr>
          <w:rFonts w:ascii="Times New Roman" w:cs="Times New Roman" w:eastAsia="Times New Roman" w:hAnsi="Times New Roman"/>
          <w:sz w:val="16"/>
          <w:szCs w:val="16"/>
          <w:color w:val="auto"/>
          <w:shd w:val="clear" w:color="auto" w:fill="CCEEFF"/>
        </w:rPr>
        <w:t>)</w:t>
        <w:tab/>
        <w:t>Of the $404.2 million in total CLO borrowings as of March 31, 2024 and as disclosed in Note 6, Borrowings, to the condense</w:t>
      </w:r>
      <w:r>
        <w:rPr>
          <w:rFonts w:ascii="Times New Roman" w:cs="Times New Roman" w:eastAsia="Times New Roman" w:hAnsi="Times New Roman"/>
          <w:sz w:val="16"/>
          <w:szCs w:val="16"/>
          <w:color w:val="auto"/>
        </w:rPr>
        <w:t>d</w:t>
      </w:r>
      <w:r>
        <w:rPr>
          <w:rFonts w:ascii="Times New Roman" w:cs="Times New Roman" w:eastAsia="Times New Roman" w:hAnsi="Times New Roman"/>
          <w:sz w:val="16"/>
          <w:szCs w:val="16"/>
          <w:color w:val="auto"/>
          <w:shd w:val="clear" w:color="auto" w:fill="CCEEFF"/>
        </w:rPr>
        <w:t xml:space="preserve"> </w:t>
      </w:r>
      <w:r>
        <w:rPr>
          <w:rFonts w:ascii="Times New Roman" w:cs="Times New Roman" w:eastAsia="Times New Roman" w:hAnsi="Times New Roman"/>
          <w:sz w:val="16"/>
          <w:szCs w:val="16"/>
          <w:color w:val="auto"/>
        </w:rPr>
        <w:t>consolidated financial statements, $387.1 million are collateralized by investments attributable to The Carlyle Group Inc. The remaining $17.1 million in total CLO borrowings are collateralized by investments attributable to non-controlling interests.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Liquidity Needs</w:t>
      </w:r>
    </w:p>
    <w:p>
      <w:pPr>
        <w:spacing w:after="0" w:line="229"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We generally use our working capital and cash flows to invest in growth initiatives, service our debt, fund the working capital needs of our business and investment funds and return capital to our common stockholders in the form of dividends or stock repurchases.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future, we expect that our primary liquidity needs will be to:</w:t>
      </w:r>
    </w:p>
    <w:p>
      <w:pPr>
        <w:spacing w:after="0" w:line="225" w:lineRule="exact"/>
        <w:rPr>
          <w:sz w:val="20"/>
          <w:szCs w:val="20"/>
          <w:color w:val="auto"/>
        </w:rPr>
      </w:pPr>
    </w:p>
    <w:p>
      <w:pPr>
        <w:ind w:left="740" w:hanging="328"/>
        <w:spacing w:after="0"/>
        <w:tabs>
          <w:tab w:leader="none" w:pos="7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capital to facilitate the growth of our existing business lines;</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capital to facilitate our expansion into new, complementary business lines, including acquisitions;</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operating expenses, including compensation and compliance costs and other obligations as they arise;</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costs of litigation and contingencies, including related legal costs;</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the capital investments of Carlyle in our funds;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61455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16115" cy="6145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left="740" w:hanging="328"/>
        <w:spacing w:after="0"/>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capital expenditures;</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borrowings and related interest costs and expenses;</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earn-outs and contingent cash consideration associated with our acquisitions and strategic investments;</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income taxes, including corporate income taxes;</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to our common stockholders in accordance with our dividend policy;</w:t>
      </w:r>
    </w:p>
    <w:p>
      <w:pPr>
        <w:spacing w:after="0" w:line="117" w:lineRule="exact"/>
        <w:rPr>
          <w:rFonts w:ascii="Times New Roman" w:cs="Times New Roman" w:eastAsia="Times New Roman" w:hAnsi="Times New Roman"/>
          <w:sz w:val="18"/>
          <w:szCs w:val="18"/>
          <w:color w:val="auto"/>
        </w:rPr>
      </w:pPr>
    </w:p>
    <w:p>
      <w:pPr>
        <w:ind w:left="740" w:right="320" w:hanging="328"/>
        <w:spacing w:after="0" w:line="282" w:lineRule="auto"/>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installment payments under the deferred obligation to former holders of Carlyle Holdings partnership units, which were exchanged in the Conversion;</w:t>
      </w:r>
    </w:p>
    <w:p>
      <w:pPr>
        <w:spacing w:after="0" w:line="53"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our common stock and pay any associated taxes; and</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tax withholding obligations in connection with net share settlements of equity-based awards.</w:t>
      </w:r>
    </w:p>
    <w:p>
      <w:pPr>
        <w:spacing w:after="0" w:line="223"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Common Stockholder Dividends</w:t>
      </w:r>
      <w:r>
        <w:rPr>
          <w:rFonts w:ascii="Times New Roman" w:cs="Times New Roman" w:eastAsia="Times New Roman" w:hAnsi="Times New Roman"/>
          <w:sz w:val="18"/>
          <w:szCs w:val="18"/>
          <w:color w:val="auto"/>
        </w:rPr>
        <w:t>. Under our dividend policy for our common stock, our intention is to pay dividends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our common stock in an amount of $0.35 per common share on a quarterly basis ($1.40 annually), which commenced with the first quarter 2023 dividend paid in May 2023. For U.S. federal income tax purposes, any dividends we pay generally will be treated as qualified dividend income (generally taxable to U.S. individual stockholders at capital gain rates) paid by a domestic corporation to the extent paid out of our current or accumulated earnings and profits, as determined for U.S. federal income tax purposes, with any excess dividends treated as return of capital to the extent of the stockholder’s basis. The declaration and payment of dividends to holders of our common stock will be at the sole discretion of our Board of Directors and in compliance with applicable law, and our dividend policy may be changed at any time.</w:t>
      </w:r>
    </w:p>
    <w:p>
      <w:pPr>
        <w:spacing w:after="0" w:line="187"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With respect to dividend year 2024, the Board of Directors has declared a dividend to common stockholders totaling $126.0 million, or $0.35 per share, consisting of the following:</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Common Stock Dividends - Dividend Year 2024</w:t>
      </w:r>
    </w:p>
    <w:p>
      <w:pPr>
        <w:spacing w:after="0" w:line="53"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Dividend per</w:t>
            </w:r>
          </w:p>
        </w:tc>
        <w:tc>
          <w:tcPr>
            <w:tcW w:w="160" w:type="dxa"/>
            <w:vAlign w:val="bottom"/>
          </w:tcPr>
          <w:p>
            <w:pPr>
              <w:spacing w:after="0"/>
              <w:rPr>
                <w:sz w:val="16"/>
                <w:szCs w:val="16"/>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Dividend to</w:t>
            </w:r>
          </w:p>
        </w:tc>
        <w:tc>
          <w:tcPr>
            <w:tcW w:w="16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1600" w:type="dxa"/>
            <w:vAlign w:val="bottom"/>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0" w:type="dxa"/>
            <w:vAlign w:val="bottom"/>
          </w:tcPr>
          <w:p>
            <w:pPr>
              <w:spacing w:after="0"/>
              <w:rPr>
                <w:sz w:val="1"/>
                <w:szCs w:val="1"/>
                <w:color w:val="auto"/>
              </w:rPr>
            </w:pPr>
          </w:p>
        </w:tc>
      </w:tr>
      <w:tr>
        <w:trPr>
          <w:trHeight w:val="203"/>
        </w:trPr>
        <w:tc>
          <w:tcPr>
            <w:tcW w:w="12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Common Share</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600" w:type="dxa"/>
            <w:vAlign w:val="bottom"/>
            <w:tcBorders>
              <w:bottom w:val="single" w:sz="8" w:color="auto"/>
            </w:tcBorders>
            <w:vMerge w:val="continue"/>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2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Q1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1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May 14, 2024</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May 21, 2024</w:t>
            </w:r>
          </w:p>
        </w:tc>
        <w:tc>
          <w:tcPr>
            <w:tcW w:w="0" w:type="dxa"/>
            <w:vAlign w:val="bottom"/>
          </w:tcPr>
          <w:p>
            <w:pPr>
              <w:spacing w:after="0"/>
              <w:rPr>
                <w:sz w:val="1"/>
                <w:szCs w:val="1"/>
                <w:color w:val="auto"/>
              </w:rPr>
            </w:pPr>
          </w:p>
        </w:tc>
      </w:tr>
      <w:tr>
        <w:trPr>
          <w:trHeight w:val="223"/>
        </w:trPr>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1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With respect to dividend year 2023, the Board of Directors declared cumulative dividends to common stockholders totaling $506.0 million, consisting of the following:</w:t>
      </w:r>
    </w:p>
    <w:p>
      <w:pPr>
        <w:spacing w:after="0" w:line="191" w:lineRule="exact"/>
        <w:rPr>
          <w:sz w:val="20"/>
          <w:szCs w:val="20"/>
          <w:color w:val="auto"/>
        </w:rPr>
      </w:pPr>
    </w:p>
    <w:tbl>
      <w:tblPr>
        <w:tblLayout w:type="fixed"/>
        <w:tblInd w:w="1440" w:type="dxa"/>
        <w:tblCellMar>
          <w:top w:w="0" w:type="dxa"/>
          <w:left w:w="0" w:type="dxa"/>
          <w:bottom w:w="0" w:type="dxa"/>
          <w:right w:w="0" w:type="dxa"/>
        </w:tblCellMar>
      </w:tblPr>
      <w:tr>
        <w:trPr>
          <w:trHeight w:val="212"/>
        </w:trPr>
        <w:tc>
          <w:tcPr>
            <w:tcW w:w="780" w:type="dxa"/>
            <w:vAlign w:val="bottom"/>
          </w:tcPr>
          <w:p>
            <w:pPr>
              <w:spacing w:after="0"/>
              <w:rPr>
                <w:sz w:val="18"/>
                <w:szCs w:val="18"/>
                <w:color w:val="auto"/>
              </w:rPr>
            </w:pPr>
          </w:p>
        </w:tc>
        <w:tc>
          <w:tcPr>
            <w:tcW w:w="4340" w:type="dxa"/>
            <w:vAlign w:val="bottom"/>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Common Stock Dividends - Dividend Year 2023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0" w:type="dxa"/>
            <w:vAlign w:val="bottom"/>
          </w:tcPr>
          <w:p>
            <w:pPr>
              <w:spacing w:after="0"/>
              <w:rPr>
                <w:sz w:val="18"/>
                <w:szCs w:val="18"/>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Dividend per</w:t>
            </w:r>
          </w:p>
        </w:tc>
        <w:tc>
          <w:tcPr>
            <w:tcW w:w="13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Dividend to</w:t>
            </w: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1460" w:type="dxa"/>
            <w:vAlign w:val="bottom"/>
            <w:vMerge w:val="continue"/>
          </w:tcPr>
          <w:p>
            <w:pPr>
              <w:spacing w:after="0"/>
              <w:rPr>
                <w:sz w:val="14"/>
                <w:szCs w:val="14"/>
                <w:color w:val="auto"/>
              </w:rPr>
            </w:pPr>
          </w:p>
        </w:tc>
        <w:tc>
          <w:tcPr>
            <w:tcW w:w="134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15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28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w w:val="99"/>
              </w:rPr>
              <w:t>Payment Date</w:t>
            </w:r>
          </w:p>
        </w:tc>
        <w:tc>
          <w:tcPr>
            <w:tcW w:w="0" w:type="dxa"/>
            <w:vAlign w:val="bottom"/>
          </w:tcPr>
          <w:p>
            <w:pPr>
              <w:spacing w:after="0"/>
              <w:rPr>
                <w:sz w:val="1"/>
                <w:szCs w:val="1"/>
                <w:color w:val="auto"/>
              </w:rPr>
            </w:pPr>
          </w:p>
        </w:tc>
      </w:tr>
      <w:tr>
        <w:trPr>
          <w:trHeight w:val="212"/>
        </w:trPr>
        <w:tc>
          <w:tcPr>
            <w:tcW w:w="780" w:type="dxa"/>
            <w:vAlign w:val="bottom"/>
            <w:vMerge w:val="continue"/>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Share</w:t>
            </w: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5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220"/>
          </w:cols>
          <w:pgMar w:left="1320" w:top="90" w:right="1359" w:bottom="0" w:gutter="0" w:footer="0" w:header="0"/>
        </w:sectPr>
      </w:pPr>
    </w:p>
    <w:bookmarkStart w:id="98" w:name="page99"/>
    <w:bookmarkEnd w:id="98"/>
    <w:p>
      <w:pPr>
        <w:spacing w:after="0" w:line="123" w:lineRule="exact"/>
        <w:rPr>
          <w:sz w:val="20"/>
          <w:szCs w:val="20"/>
          <w:color w:val="auto"/>
        </w:rPr>
      </w:pPr>
    </w:p>
    <w:tbl>
      <w:tblPr>
        <w:tblLayout w:type="fixed"/>
        <w:tblInd w:w="1080" w:type="dxa"/>
        <w:tblCellMar>
          <w:top w:w="0" w:type="dxa"/>
          <w:left w:w="0" w:type="dxa"/>
          <w:bottom w:w="0" w:type="dxa"/>
          <w:right w:w="0" w:type="dxa"/>
        </w:tblCellMar>
      </w:tblPr>
      <w:tr>
        <w:trPr>
          <w:trHeight w:val="213"/>
        </w:trPr>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72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1620" w:type="dxa"/>
            <w:vAlign w:val="bottom"/>
          </w:tcPr>
          <w:p>
            <w:pPr>
              <w:spacing w:after="0"/>
              <w:rPr>
                <w:sz w:val="18"/>
                <w:szCs w:val="18"/>
                <w:color w:val="auto"/>
              </w:rPr>
            </w:pPr>
          </w:p>
        </w:tc>
      </w:tr>
      <w:tr>
        <w:trPr>
          <w:trHeight w:val="243"/>
        </w:trPr>
        <w:tc>
          <w:tcPr>
            <w:tcW w:w="112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auto"/>
              </w:rPr>
              <w:t>Q1 2023</w:t>
            </w:r>
          </w:p>
        </w:tc>
        <w:tc>
          <w:tcPr>
            <w:tcW w:w="6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5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126.7</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16, 2023</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23, 2023</w:t>
            </w:r>
          </w:p>
        </w:tc>
      </w:tr>
      <w:tr>
        <w:trPr>
          <w:trHeight w:val="270"/>
        </w:trPr>
        <w:tc>
          <w:tcPr>
            <w:tcW w:w="112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auto"/>
              </w:rPr>
              <w:t>Q2 2023</w:t>
            </w:r>
          </w:p>
        </w:tc>
        <w:tc>
          <w:tcPr>
            <w:tcW w:w="6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5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126.3</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August 15, 2023</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August 23, 2023</w:t>
            </w:r>
          </w:p>
        </w:tc>
      </w:tr>
      <w:tr>
        <w:trPr>
          <w:trHeight w:val="270"/>
        </w:trPr>
        <w:tc>
          <w:tcPr>
            <w:tcW w:w="112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auto"/>
              </w:rPr>
              <w:t>Q3 2023</w:t>
            </w:r>
          </w:p>
        </w:tc>
        <w:tc>
          <w:tcPr>
            <w:tcW w:w="6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5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126.3</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21, 2023</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29, 2023</w:t>
            </w:r>
          </w:p>
        </w:tc>
      </w:tr>
      <w:tr>
        <w:trPr>
          <w:trHeight w:val="270"/>
        </w:trPr>
        <w:tc>
          <w:tcPr>
            <w:tcW w:w="112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auto"/>
              </w:rPr>
              <w:t>Q4 2023</w:t>
            </w:r>
          </w:p>
        </w:tc>
        <w:tc>
          <w:tcPr>
            <w:tcW w:w="6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5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126.7</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23, 2024</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 2024</w:t>
            </w:r>
          </w:p>
        </w:tc>
      </w:tr>
      <w:tr>
        <w:trPr>
          <w:trHeight w:val="270"/>
        </w:trPr>
        <w:tc>
          <w:tcPr>
            <w:tcW w:w="112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Total</w:t>
            </w:r>
          </w:p>
        </w:tc>
        <w:tc>
          <w:tcPr>
            <w:tcW w:w="6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5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506.0</w:t>
            </w:r>
          </w:p>
        </w:tc>
        <w:tc>
          <w:tcPr>
            <w:tcW w:w="1580" w:type="dxa"/>
            <w:vAlign w:val="bottom"/>
          </w:tcPr>
          <w:p>
            <w:pPr>
              <w:spacing w:after="0"/>
              <w:rPr>
                <w:sz w:val="23"/>
                <w:szCs w:val="23"/>
                <w:color w:val="auto"/>
              </w:rPr>
            </w:pPr>
          </w:p>
        </w:tc>
        <w:tc>
          <w:tcPr>
            <w:tcW w:w="16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-955675</wp:posOffset>
            </wp:positionV>
            <wp:extent cx="7016115" cy="29165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016115" cy="2916555"/>
                    </a:xfrm>
                    <a:prstGeom prst="rect">
                      <a:avLst/>
                    </a:prstGeom>
                    <a:noFill/>
                  </pic:spPr>
                </pic:pic>
              </a:graphicData>
            </a:graphic>
          </wp:anchor>
        </w:drawing>
      </w:r>
    </w:p>
    <w:p>
      <w:pPr>
        <w:spacing w:after="0" w:line="251"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 xml:space="preserve">Dividends to common stockholders paid during the three months ended March 31, 2024 totaled </w:t>
      </w:r>
      <w:r>
        <w:rPr>
          <w:rFonts w:ascii="Times New Roman" w:cs="Times New Roman" w:eastAsia="Times New Roman" w:hAnsi="Times New Roman"/>
          <w:sz w:val="18"/>
          <w:szCs w:val="18"/>
          <w:color w:val="auto"/>
          <w:highlight w:val="white"/>
        </w:rPr>
        <w:t>$126.7 million</w:t>
      </w:r>
      <w:r>
        <w:rPr>
          <w:rFonts w:ascii="Times New Roman" w:cs="Times New Roman" w:eastAsia="Times New Roman" w:hAnsi="Times New Roman"/>
          <w:sz w:val="18"/>
          <w:szCs w:val="18"/>
          <w:color w:val="auto"/>
        </w:rPr>
        <w:t xml:space="preserve">, including the amount paid </w:t>
      </w:r>
      <w:r>
        <w:rPr>
          <w:rFonts w:ascii="Times New Roman" w:cs="Times New Roman" w:eastAsia="Times New Roman" w:hAnsi="Times New Roman"/>
          <w:sz w:val="18"/>
          <w:szCs w:val="18"/>
          <w:color w:val="auto"/>
          <w:highlight w:val="white"/>
        </w:rPr>
        <w:t>in March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highlight w:val="white"/>
        </w:rPr>
        <w:t>of $0.35 per com</w:t>
      </w:r>
      <w:r>
        <w:rPr>
          <w:rFonts w:ascii="Times New Roman" w:cs="Times New Roman" w:eastAsia="Times New Roman" w:hAnsi="Times New Roman"/>
          <w:sz w:val="18"/>
          <w:szCs w:val="18"/>
          <w:color w:val="auto"/>
          <w:highlight w:val="white"/>
        </w:rPr>
        <w:t>m</w:t>
      </w:r>
      <w:r>
        <w:rPr>
          <w:rFonts w:ascii="Times New Roman" w:cs="Times New Roman" w:eastAsia="Times New Roman" w:hAnsi="Times New Roman"/>
          <w:sz w:val="18"/>
          <w:szCs w:val="18"/>
          <w:u w:val="single" w:color="auto"/>
          <w:color w:val="auto"/>
          <w:highlight w:val="white"/>
        </w:rPr>
        <w:t>on share in respe</w:t>
      </w:r>
      <w:r>
        <w:rPr>
          <w:rFonts w:ascii="Times New Roman" w:cs="Times New Roman" w:eastAsia="Times New Roman" w:hAnsi="Times New Roman"/>
          <w:sz w:val="18"/>
          <w:szCs w:val="18"/>
          <w:color w:val="auto"/>
          <w:highlight w:val="white"/>
        </w:rPr>
        <w:t>ct of the fourth quarter of 2023. Dividends to</w:t>
      </w:r>
      <w:r>
        <w:rPr>
          <w:rFonts w:ascii="Times New Roman" w:cs="Times New Roman" w:eastAsia="Times New Roman" w:hAnsi="Times New Roman"/>
          <w:sz w:val="18"/>
          <w:szCs w:val="18"/>
          <w:color w:val="auto"/>
        </w:rPr>
        <w:t xml:space="preserve"> common stockholders p</w:t>
      </w:r>
      <w:r>
        <w:rPr>
          <w:rFonts w:ascii="Times New Roman" w:cs="Times New Roman" w:eastAsia="Times New Roman" w:hAnsi="Times New Roman"/>
          <w:sz w:val="18"/>
          <w:szCs w:val="18"/>
          <w:color w:val="auto"/>
          <w:shd w:val="clear" w:color="auto" w:fill="CCEEFF"/>
        </w:rPr>
        <w:t>aid during the thre</w:t>
      </w:r>
      <w:r>
        <w:rPr>
          <w:rFonts w:ascii="Times New Roman" w:cs="Times New Roman" w:eastAsia="Times New Roman" w:hAnsi="Times New Roman"/>
          <w:sz w:val="18"/>
          <w:szCs w:val="18"/>
          <w:u w:val="single" w:color="auto"/>
          <w:color w:val="auto"/>
          <w:shd w:val="clear" w:color="auto" w:fill="CCEEFF"/>
        </w:rPr>
        <w:t>e months 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hd w:val="clear" w:color="auto" w:fill="CCEEFF"/>
        </w:rPr>
        <w:t>M</w:t>
      </w:r>
      <w:r>
        <w:rPr>
          <w:rFonts w:ascii="Times New Roman" w:cs="Times New Roman" w:eastAsia="Times New Roman" w:hAnsi="Times New Roman"/>
          <w:sz w:val="18"/>
          <w:szCs w:val="18"/>
          <w:u w:val="single" w:color="auto"/>
          <w:color w:val="auto"/>
          <w:shd w:val="clear" w:color="auto" w:fill="CCEEFF"/>
        </w:rPr>
        <w:t>arch 31, 2023 tot</w:t>
      </w:r>
      <w:r>
        <w:rPr>
          <w:rFonts w:ascii="Times New Roman" w:cs="Times New Roman" w:eastAsia="Times New Roman" w:hAnsi="Times New Roman"/>
          <w:sz w:val="18"/>
          <w:szCs w:val="18"/>
          <w:color w:val="auto"/>
          <w:shd w:val="clear" w:color="auto" w:fill="CCEEFF"/>
        </w:rPr>
        <w:t>aled $118.4 million, including the amount pa</w:t>
      </w:r>
      <w:r>
        <w:rPr>
          <w:rFonts w:ascii="Times New Roman" w:cs="Times New Roman" w:eastAsia="Times New Roman" w:hAnsi="Times New Roman"/>
          <w:sz w:val="18"/>
          <w:szCs w:val="18"/>
          <w:color w:val="auto"/>
        </w:rPr>
        <w:t>id in March 2023 of $0.325 per common sha</w:t>
      </w:r>
      <w:r>
        <w:rPr>
          <w:rFonts w:ascii="Times New Roman" w:cs="Times New Roman" w:eastAsia="Times New Roman" w:hAnsi="Times New Roman"/>
          <w:sz w:val="18"/>
          <w:szCs w:val="18"/>
          <w:color w:val="auto"/>
          <w:strike w:val="1"/>
        </w:rPr>
        <w:t>re in respect of th</w:t>
      </w: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color w:val="auto"/>
          <w:strike w:val="1"/>
        </w:rPr>
        <w:t>fourth quarter of</w:t>
      </w:r>
      <w:r>
        <w:rPr>
          <w:rFonts w:ascii="Times New Roman" w:cs="Times New Roman" w:eastAsia="Times New Roman" w:hAnsi="Times New Roman"/>
          <w:sz w:val="18"/>
          <w:szCs w:val="18"/>
          <w:color w:val="auto"/>
        </w:rPr>
        <w:t xml:space="preserve"> 2022.</w:t>
      </w:r>
    </w:p>
    <w:p>
      <w:pPr>
        <w:spacing w:after="0" w:line="178"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Fund Commitments</w:t>
      </w:r>
      <w:r>
        <w:rPr>
          <w:rFonts w:ascii="Times New Roman" w:cs="Times New Roman" w:eastAsia="Times New Roman" w:hAnsi="Times New Roman"/>
          <w:sz w:val="18"/>
          <w:szCs w:val="18"/>
          <w:color w:val="auto"/>
        </w:rPr>
        <w:t>. Generally, Carlyle commits to fund approximately 0.75% of the capital commitments to our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 funds, although we may elect to invest additional amounts in funds focused on new investment areas. We may, from time to time, exercise our right to purchase additional interests in our investment funds that become available in the ordinary course of their operations. We expect our senior Carlyle professionals and employees to continue to make significant capital</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75171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016115" cy="7517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contributions to our funds based on their existing commitments, and to make capital commitments to future funds consistent with the level of their historical commitments. We also intend to make investments in our open-end funds and our CLO vehicles. Our investments in our European CLO vehicles will comply with the risk retention rules as discussed in “Risk Retention Rules” later in this section.</w:t>
      </w:r>
    </w:p>
    <w:p>
      <w:pPr>
        <w:spacing w:after="0" w:line="180"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color w:val="auto"/>
        </w:rPr>
        <w:t>Since our inception through March 31, 2024, we and our senior Carlyle professionals, operating executives and other professionals have invested or committed to invest in or alongside our funds. Approximately 3% to 5% of all capital commitments to our funds are funded collectively by us and our senior Carlyle professionals, operating executives and other professionals.</w:t>
      </w:r>
    </w:p>
    <w:p>
      <w:pPr>
        <w:spacing w:after="0" w:line="180"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A substantial majority of the remaining commitments are expected to be funded by senior Carlyle professionals, operating executives, and other professionals through our internal co-investment program. Of the $4.2 billion of unfunded commitments, approximately $3.6 billion is subscribed individually by senior Carlyle professionals, operating executives, and other professionals, with the balance funded directly by the Company. Approximately 69% of the $4.2 billion of unfunded commitments relate to investment funds in our Global Private Equity segment.</w:t>
      </w:r>
    </w:p>
    <w:p>
      <w:pPr>
        <w:spacing w:after="0" w:line="183"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Under the Carlyle Global Capital Markets platform, certain of our subsidiaries may act as an underwriter, syndicator or placement agent for security offerings and loan originations. We earn fees in connection with these activities and bear the risk of the sale of such securities and placement of such loans, which may be longer dated. As of March 31, 2024, there were no outstanding commitments related to the origination and syndication of loans and securities under the Carlyle Global Capital Markets platform.</w:t>
      </w:r>
    </w:p>
    <w:p>
      <w:pPr>
        <w:spacing w:after="0" w:line="18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Repurchase Program</w:t>
      </w:r>
      <w:r>
        <w:rPr>
          <w:rFonts w:ascii="Times New Roman" w:cs="Times New Roman" w:eastAsia="Times New Roman" w:hAnsi="Times New Roman"/>
          <w:sz w:val="18"/>
          <w:szCs w:val="18"/>
          <w:color w:val="auto"/>
        </w:rPr>
        <w:t>. During the three months ended March 31, 2024, we paid an aggregate of $130.6 million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and retire approximately 2.9 million shares of common stock. In addition, during the three months ended March 31, 2024, we paid an aggregate of $19.4 million and retired 0.5 million shares of common stock to settle tax withholding obligations in connection with net share settlements of equity-based awards, for a total of $150.0 million shares repurchased or withheld in the quarter. As of March 31, 2024, $1.3 billion of repurchase capacity remained under the share repurchase program, which reflects the cost of common shares repurchased as well as shares settled for tax withholding payments made by the Company related to the net share settlement of equity-based awards. For further information on our repurchase program, see Note 13, Equity, to the condensed consolidated financial statements included in this Quarterly Report on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The significant captions and amounts from our condensed consolidated statements of cash flows, which include the effects of our Consolidated Funds and CLOs in accordance with U.S. GAAP, are summarized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20" w:type="dxa"/>
            <w:vAlign w:val="bottom"/>
          </w:tcPr>
          <w:p>
            <w:pPr>
              <w:spacing w:after="0"/>
              <w:rPr>
                <w:sz w:val="17"/>
                <w:szCs w:val="17"/>
                <w:color w:val="auto"/>
              </w:rPr>
            </w:pPr>
          </w:p>
        </w:tc>
        <w:tc>
          <w:tcPr>
            <w:tcW w:w="3100" w:type="dxa"/>
            <w:vAlign w:val="bottom"/>
            <w:tcBorders>
              <w:bottom w:val="single" w:sz="8" w:color="auto"/>
            </w:tcBorders>
            <w:gridSpan w:val="5"/>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6"/>
        </w:trPr>
        <w:tc>
          <w:tcPr>
            <w:tcW w:w="61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7"/>
                <w:szCs w:val="17"/>
                <w:color w:val="auto"/>
              </w:rPr>
            </w:pPr>
          </w:p>
        </w:tc>
      </w:tr>
      <w:tr>
        <w:trPr>
          <w:trHeight w:val="196"/>
        </w:trPr>
        <w:tc>
          <w:tcPr>
            <w:tcW w:w="6120" w:type="dxa"/>
            <w:vAlign w:val="bottom"/>
          </w:tcPr>
          <w:p>
            <w:pPr>
              <w:spacing w:after="0"/>
              <w:rPr>
                <w:sz w:val="17"/>
                <w:szCs w:val="17"/>
                <w:color w:val="auto"/>
              </w:rPr>
            </w:pPr>
          </w:p>
        </w:tc>
        <w:tc>
          <w:tcPr>
            <w:tcW w:w="258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520" w:type="dxa"/>
            <w:vAlign w:val="bottom"/>
          </w:tcPr>
          <w:p>
            <w:pPr>
              <w:spacing w:after="0"/>
              <w:rPr>
                <w:sz w:val="17"/>
                <w:szCs w:val="17"/>
                <w:color w:val="auto"/>
              </w:rPr>
            </w:pPr>
          </w:p>
        </w:tc>
      </w:tr>
      <w:tr>
        <w:trPr>
          <w:trHeight w:val="229"/>
        </w:trPr>
        <w:tc>
          <w:tcPr>
            <w:tcW w:w="6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Statements of Cash Flows Data</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56"/>
        </w:trPr>
        <w:tc>
          <w:tcPr>
            <w:tcW w:w="6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98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60" w:type="dxa"/>
            <w:vAlign w:val="bottom"/>
          </w:tcPr>
          <w:p>
            <w:pPr>
              <w:spacing w:after="0"/>
              <w:rPr>
                <w:sz w:val="22"/>
                <w:szCs w:val="22"/>
                <w:color w:val="auto"/>
              </w:rPr>
            </w:pPr>
          </w:p>
        </w:tc>
        <w:tc>
          <w:tcPr>
            <w:tcW w:w="100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r>
      <w:tr>
        <w:trPr>
          <w:trHeight w:val="256"/>
        </w:trPr>
        <w:tc>
          <w:tcPr>
            <w:tcW w:w="6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r>
      <w:tr>
        <w:trPr>
          <w:trHeight w:val="256"/>
        </w:trPr>
        <w:tc>
          <w:tcPr>
            <w:tcW w:w="6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r>
      <w:tr>
        <w:trPr>
          <w:trHeight w:val="257"/>
        </w:trPr>
        <w:tc>
          <w:tcPr>
            <w:tcW w:w="6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Effect of foreign exchange rate changes</w:t>
            </w:r>
          </w:p>
        </w:tc>
        <w:tc>
          <w:tcPr>
            <w:tcW w:w="98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6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09"/>
        </w:trPr>
        <w:tc>
          <w:tcPr>
            <w:tcW w:w="6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98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60" w:type="dxa"/>
            <w:vAlign w:val="bottom"/>
          </w:tcPr>
          <w:p>
            <w:pPr>
              <w:spacing w:after="0"/>
              <w:rPr>
                <w:sz w:val="18"/>
                <w:szCs w:val="18"/>
                <w:color w:val="auto"/>
              </w:rPr>
            </w:pPr>
          </w:p>
        </w:tc>
        <w:tc>
          <w:tcPr>
            <w:tcW w:w="100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(334.6)</w:t>
            </w:r>
          </w:p>
        </w:tc>
      </w:tr>
      <w:tr>
        <w:trPr>
          <w:trHeight w:val="20"/>
        </w:trPr>
        <w:tc>
          <w:tcPr>
            <w:tcW w:w="6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right="48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Net cash provided by (used in) operating activities</w:t>
      </w:r>
      <w:r>
        <w:rPr>
          <w:rFonts w:ascii="Times New Roman" w:cs="Times New Roman" w:eastAsia="Times New Roman" w:hAnsi="Times New Roman"/>
          <w:sz w:val="18"/>
          <w:szCs w:val="18"/>
          <w:color w:val="auto"/>
        </w:rPr>
        <w:t>. Net cash provided by (used in) operating activities includes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activity of our Consolidated Funds. Excluding this activity, net cash used in operating activities was primarily driven by our earnings in the respective periods after adjusting for significant non-cash activity, including non-cash performance allocations and incentive fees, the related non-cash performance allocations and incentive fee related</w:t>
      </w:r>
    </w:p>
    <w:p>
      <w:pPr>
        <w:sectPr>
          <w:pgSz w:w="11900" w:h="16961" w:orient="portrait"/>
          <w:cols w:equalWidth="0" w:num="1">
            <w:col w:w="9220"/>
          </w:cols>
          <w:pgMar w:left="1320" w:top="110" w:right="1359" w:bottom="0" w:gutter="0" w:footer="0" w:header="0"/>
        </w:sectPr>
      </w:pPr>
    </w:p>
    <w:bookmarkStart w:id="99" w:name="page100"/>
    <w:bookmarkEnd w:id="99"/>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544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16115" cy="1544955"/>
                    </a:xfrm>
                    <a:prstGeom prst="rect">
                      <a:avLst/>
                    </a:prstGeom>
                    <a:noFill/>
                  </pic:spPr>
                </pic:pic>
              </a:graphicData>
            </a:graphic>
          </wp:anchor>
        </w:drawing>
        <w:t>compensation, non-cash equity-based compensation, and depreciation, amortization and impairments, all of which are included in earnings. Operating cash inflows primarily include the receipt of management fees, realized performance allocations and incentive fees, while operating cash outflows primarily include payments for operating expenses, including compensation and general, administrative and other expenses.</w:t>
      </w:r>
    </w:p>
    <w:p>
      <w:pPr>
        <w:spacing w:after="0" w:line="180"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Cash flows provided by (used in) operating activities during the three months ended March 31, 2024 and 2023, excluding the activities of our Consolidated Funds, were $114.2 million and $(24.4) million, respectively. During the three months ended</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88887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016115" cy="888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March 31, 2024 and 2023, cash inflows impacting net cash used in operating activities primarily included the receipt of management fees and realized performance allocations and incentive fees, totaling approximately $1.2 billion and $1.0 billion, respectively. These inflows were offset by payments for compensation and general, administrative and other expenses of approximately $1.0 billion and $0.9 billion for the three months ended March 31, 2024 and 2023, respectively. Additionally, operating outflows during the three months ended March 31, 2023 included a $68.6 million payment relating to the Carlyle Aviation Partners earn-out.</w:t>
      </w:r>
    </w:p>
    <w:p>
      <w:pPr>
        <w:spacing w:after="0" w:line="187"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Cash used to purchase investments as well as the proceeds from the sale of such investments are also reflected in our operating activities as investments are a normal part of our operating activities. During the three months ended March 31, 2024, investment proceeds were $102.1 million as compared to investment purchases of $145.1 million, which included a $115.1 million purchase price adjustment related to our investment in Fortitude. During the three months ended March 31, 2023, investment proceeds were $78.6 million as compared to investment purchases of $18.5 million.</w:t>
      </w:r>
    </w:p>
    <w:p>
      <w:pPr>
        <w:spacing w:after="0" w:line="183"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net cash provided by operating activities for the three months ended March 31, 2024 and 2023 also reflects the investment activity of our Consolidated Funds. For the three months ended March 31, 2024, purchases of investments by the Consolidated Funds were $1.5 billion, while proceeds from the sales and settlements of investments by the Consolidated Funds were $1.3 billion. For the three months ended March 31, 2023, purchases of investments by the Consolidated Funds were $0.4 billion, while proceeds from the sales and settlements of investments by the Consolidated Funds were $0.3 billion.</w:t>
      </w:r>
    </w:p>
    <w:p>
      <w:pPr>
        <w:spacing w:after="0" w:line="181"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Net cash used in investing activities</w:t>
      </w:r>
      <w:r>
        <w:rPr>
          <w:rFonts w:ascii="Times New Roman" w:cs="Times New Roman" w:eastAsia="Times New Roman" w:hAnsi="Times New Roman"/>
          <w:sz w:val="18"/>
          <w:szCs w:val="18"/>
          <w:color w:val="auto"/>
        </w:rPr>
        <w:t>. Our investing activities generally reflect cash used for fixed assets, software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use, and corporate treasury investments. For the three months ended March 31, 2024, cash used in investing activities principally reflects purchases of fixed assets of $14.2 million. For the three months ended March 31, 2023, cash used in investing activities principally reflects purchases of corporate treasury investments of $101.1 million and purchases of fixed assets $12.9 million, partially offset by proceeds from corporate treasury investments of $20.1 million.</w:t>
      </w:r>
    </w:p>
    <w:p>
      <w:pPr>
        <w:spacing w:after="0" w:line="183" w:lineRule="exact"/>
        <w:rPr>
          <w:sz w:val="20"/>
          <w:szCs w:val="20"/>
          <w:color w:val="auto"/>
        </w:rPr>
      </w:pPr>
    </w:p>
    <w:p>
      <w:pPr>
        <w:ind w:right="40" w:firstLine="445"/>
        <w:spacing w:after="0" w:line="277" w:lineRule="auto"/>
        <w:rPr>
          <w:sz w:val="20"/>
          <w:szCs w:val="20"/>
          <w:color w:val="auto"/>
        </w:rPr>
      </w:pPr>
      <w:r>
        <w:rPr>
          <w:rFonts w:ascii="Times New Roman" w:cs="Times New Roman" w:eastAsia="Times New Roman" w:hAnsi="Times New Roman"/>
          <w:sz w:val="17"/>
          <w:szCs w:val="17"/>
          <w:i w:val="1"/>
          <w:iCs w:val="1"/>
          <w:color w:val="auto"/>
        </w:rPr>
        <w:t>Net cash used in financing activities</w:t>
      </w:r>
      <w:r>
        <w:rPr>
          <w:rFonts w:ascii="Times New Roman" w:cs="Times New Roman" w:eastAsia="Times New Roman" w:hAnsi="Times New Roman"/>
          <w:sz w:val="17"/>
          <w:szCs w:val="17"/>
          <w:color w:val="auto"/>
        </w:rPr>
        <w:t>. Net cash used in financing activities during the three months ended March 31, 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2023, excluding the activities of our Consolidated Funds, was $259.2 million and $222.1 million, respectively. During the three months ended March 31, 2024 and 2023, we made no borrowings or repayments under the revolving credit facilities. We also paid $68.8 million in each of January 2024 and January 2023, representing the final and fourth annual installments, respectively, of the deferred consideration payable to former Carlyle Holdings unitholders in connection with the Conversion.</w:t>
      </w:r>
    </w:p>
    <w:p>
      <w:pPr>
        <w:spacing w:after="0" w:line="170"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Dividends paid to our common stockholders were $126.7 million and $118.4 million for the three months ended March 31, 2024 and 2023, respectively. For the three months ended March 31, 2024 and 2023, we paid $150.0 million and $100.3 million, respectively, to repurchase and retire 3.3 million and 3.0 million shares, respectively, which included shares retired in connection with the net share settlement of equity-based awards during the three months ended March 31, 2024.</w:t>
      </w:r>
    </w:p>
    <w:p>
      <w:pPr>
        <w:spacing w:after="0" w:line="180"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The net borrowings (payments) on loans payable by our Consolidated Funds during the three months ended March 31, 2024 and 2023 were $45.3 million and $68.7 million, respectively. Contributions from non-controlling interest holders were $64.7 million and $18.7 million for the three months ended March 31, 2024 and 2023, respectively, which relate primarily to contributions from the non-controlling interest holders in Consolidated Funds. For the three months ended March 31, 2024 and 2023, distributions to non-controlling interest holders were $19.0 million and $9.9 million, respectively, which relate primarily to distributions to the non-controlling interest holders in Consolidated Funds.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Balance Sheet</w:t>
      </w:r>
    </w:p>
    <w:p>
      <w:pPr>
        <w:spacing w:after="0" w:line="229" w:lineRule="exact"/>
        <w:rPr>
          <w:sz w:val="20"/>
          <w:szCs w:val="20"/>
          <w:color w:val="auto"/>
        </w:rPr>
      </w:pPr>
    </w:p>
    <w:p>
      <w:pPr>
        <w:ind w:right="40" w:firstLine="445"/>
        <w:spacing w:after="0" w:line="274" w:lineRule="auto"/>
        <w:rPr>
          <w:sz w:val="20"/>
          <w:szCs w:val="20"/>
          <w:color w:val="auto"/>
        </w:rPr>
      </w:pPr>
      <w:r>
        <w:rPr>
          <w:rFonts w:ascii="Times New Roman" w:cs="Times New Roman" w:eastAsia="Times New Roman" w:hAnsi="Times New Roman"/>
          <w:sz w:val="17"/>
          <w:szCs w:val="17"/>
          <w:color w:val="auto"/>
        </w:rPr>
        <w:t>Total assets were $20.8 billion at March 31, 2024, a decrease of $0.3 billion compared to December 31, 2023, primarily attributable to a decrease in Investments, including performance allocations of $0.5 billion and a decrease in Cash and cash equivalents of $0.2 billion, partially offset by an increase in Investments in Consolidated Funds of $0.2 billion. The decrease in Investments, including performance allocations was primarily due to a decrease in accrued performance allocations, reflecting year-to-date realizations as well as performance allocation reversals in certain funds, which more than offset the impact of 2% appreciation in our carry funds year-to-date. Refer to “—Cash Flows” for details on the decrease in Cash and cash equivalents.</w:t>
      </w:r>
    </w:p>
    <w:p>
      <w:pPr>
        <w:spacing w:after="0" w:line="173"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Total liabilities were $15.1 billion at March 31, 2024, a decrease of $0.3 billion from December 31, 2023. The decrease in liabilities was primarily attributable to a decrease in accrued compensation and benefits of $0.7 billion, partially offset by an increase in Deferred revenue of $0.3 billion and an increase of $0.2 billion in Other liabilities of Consolidated Funds. The decrease in Accrued compensation and benefits was primarily due to reversals of accrued compensation related to a decrease in performance allocations, as well as payments of year-end bonuses. The increase in Deferred revenue was driven by the receipt of management fees not yet recognized as revenue.</w:t>
      </w:r>
    </w:p>
    <w:p>
      <w:pPr>
        <w:sectPr>
          <w:pgSz w:w="11900" w:h="16838" w:orient="portrait"/>
          <w:cols w:equalWidth="0" w:num="1">
            <w:col w:w="9200"/>
          </w:cols>
          <w:pgMar w:left="1320" w:top="148" w:right="1379" w:bottom="0" w:gutter="0" w:footer="0" w:header="0"/>
        </w:sect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9200"/>
          </w:cols>
          <w:pgMar w:left="1320" w:top="148" w:right="1379"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93287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16115" cy="9328785"/>
                    </a:xfrm>
                    <a:prstGeom prst="rect">
                      <a:avLst/>
                    </a:prstGeom>
                    <a:noFill/>
                  </pic:spPr>
                </pic:pic>
              </a:graphicData>
            </a:graphic>
          </wp:anchor>
        </w:drawing>
        <w:t>Table of Contents</w:t>
      </w:r>
    </w:p>
    <w:p>
      <w:pPr>
        <w:spacing w:after="0" w:line="320"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The assets and liabilities of the Consolidated Funds are generally held within separate legal entities and, as a result, the assets of the Consolidated Funds are not available to meet our liquidity requirements and similarly the liabilities of the Consolidated Funds are non-recourse to us. In addition, as previously discussed, the CLO term loans generally are secured by the Company’s investment in the CLO, have a general unsecured interest in the Carlyle entity that manages the CLO, and do not have recourse to any other Carlyle entity.</w:t>
      </w:r>
    </w:p>
    <w:p>
      <w:pPr>
        <w:spacing w:after="0" w:line="183"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Our balance sheet without the effect of the Consolidated Funds can be seen in Note 17, Supplemental Financial Information, to the condensed consolidated financial statements included in this Quarterly Report on Form 10-Q. At March 31, 2024, our total assets without the effect of the Consolidated Funds were $13.3 billion, including cash and cash equivalents of $1.3 billion and net accrued performance revenues of $2.2 billion.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Entities</w:t>
      </w:r>
    </w:p>
    <w:p>
      <w:pPr>
        <w:spacing w:after="0" w:line="229" w:lineRule="exact"/>
        <w:rPr>
          <w:sz w:val="20"/>
          <w:szCs w:val="20"/>
          <w:color w:val="auto"/>
        </w:rPr>
      </w:pPr>
    </w:p>
    <w:p>
      <w:pPr>
        <w:jc w:val="both"/>
        <w:ind w:right="260" w:firstLine="445"/>
        <w:spacing w:after="0" w:line="258" w:lineRule="auto"/>
        <w:rPr>
          <w:sz w:val="20"/>
          <w:szCs w:val="20"/>
          <w:color w:val="auto"/>
        </w:rPr>
      </w:pPr>
      <w:r>
        <w:rPr>
          <w:rFonts w:ascii="Times New Roman" w:cs="Times New Roman" w:eastAsia="Times New Roman" w:hAnsi="Times New Roman"/>
          <w:sz w:val="18"/>
          <w:szCs w:val="18"/>
          <w:color w:val="auto"/>
        </w:rPr>
        <w:t>Certain of our funds have entered into lines of credit secured by their investors’ unpaid capital commitments or by a pledge of the equity of the underlying investment. These lines of credit are used primarily to reduce the overall number of capital calls to investors or for working capital needs. In certain instances, however, they may be used for other investment related activities, including serving as bridge financing for investments. The degree of leverage employed varies among our funds.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enter into various off-balance sheet arrangements including sponsoring and owning limited or general partner interests in consolidated and non-consolidated funds, entering into derivative transactions, and entering into guarantee arrangements. We also have ongoing capital commitment arrangements with certain of our consolidated and non-consolidated funds. We do not have any other off-balance sheet arrangements that would require us to fund losses or guarantee target returns to investors in any of our other investment funds.</w:t>
      </w:r>
    </w:p>
    <w:p>
      <w:pPr>
        <w:spacing w:after="0" w:line="183"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For further information regarding our off-balance sheet arrangements, see Note 2, Summary of Significant Accounting Policies, and Note 8, Commitments and Contingencies, to the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11049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016115" cy="110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relating to our contractual obligations as of March 31, 2024 on a consolidated basis and on a basis excluding the obligations of the Consolidated Funds:</w:t>
      </w:r>
    </w:p>
    <w:p>
      <w:pPr>
        <w:sectPr>
          <w:pgSz w:w="11900" w:h="16838" w:orient="portrait"/>
          <w:cols w:equalWidth="0" w:num="1">
            <w:col w:w="9180"/>
          </w:cols>
          <w:pgMar w:left="1320" w:top="769" w:right="1399" w:bottom="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Apr. 1, 2024 to</w:t>
            </w:r>
          </w:p>
        </w:tc>
        <w:tc>
          <w:tcPr>
            <w:tcW w:w="140" w:type="dxa"/>
            <w:vAlign w:val="bottom"/>
          </w:tcPr>
          <w:p>
            <w:pPr>
              <w:spacing w:after="0"/>
              <w:rPr>
                <w:sz w:val="16"/>
                <w:szCs w:val="16"/>
                <w:color w:val="auto"/>
              </w:rPr>
            </w:pPr>
          </w:p>
        </w:tc>
        <w:tc>
          <w:tcPr>
            <w:tcW w:w="8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2025-2026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2027-2028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20" w:type="dxa"/>
            <w:vAlign w:val="bottom"/>
          </w:tcPr>
          <w:p>
            <w:pPr>
              <w:spacing w:after="0"/>
              <w:rPr>
                <w:sz w:val="16"/>
                <w:szCs w:val="16"/>
                <w:color w:val="auto"/>
              </w:rPr>
            </w:pPr>
          </w:p>
        </w:tc>
        <w:tc>
          <w:tcPr>
            <w:tcW w:w="7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 31, 2024</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6"/>
                <w:szCs w:val="16"/>
                <w:color w:val="auto"/>
              </w:rPr>
              <w:t>Debt obligations</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2,142.4</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2,283.1</w:t>
            </w:r>
          </w:p>
        </w:tc>
        <w:tc>
          <w:tcPr>
            <w:tcW w:w="0" w:type="dxa"/>
            <w:vAlign w:val="bottom"/>
          </w:tcPr>
          <w:p>
            <w:pPr>
              <w:spacing w:after="0"/>
              <w:rPr>
                <w:sz w:val="1"/>
                <w:szCs w:val="1"/>
                <w:color w:val="auto"/>
              </w:rPr>
            </w:pPr>
          </w:p>
        </w:tc>
      </w:tr>
      <w:tr>
        <w:trPr>
          <w:trHeight w:val="257"/>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 payable</w:t>
            </w:r>
            <w:r>
              <w:rPr>
                <w:rFonts w:ascii="Times New Roman" w:cs="Times New Roman" w:eastAsia="Times New Roman" w:hAnsi="Times New Roman"/>
                <w:sz w:val="21"/>
                <w:szCs w:val="21"/>
                <w:color w:val="auto"/>
                <w:vertAlign w:val="superscript"/>
              </w:rPr>
              <w:t>(2)</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2,151.5</w:t>
            </w:r>
          </w:p>
        </w:tc>
        <w:tc>
          <w:tcPr>
            <w:tcW w:w="0" w:type="dxa"/>
            <w:vAlign w:val="bottom"/>
          </w:tcPr>
          <w:p>
            <w:pPr>
              <w:spacing w:after="0"/>
              <w:rPr>
                <w:sz w:val="1"/>
                <w:szCs w:val="1"/>
                <w:color w:val="auto"/>
              </w:rPr>
            </w:pPr>
          </w:p>
        </w:tc>
      </w:tr>
      <w:tr>
        <w:trPr>
          <w:trHeight w:val="256"/>
        </w:trPr>
        <w:tc>
          <w:tcPr>
            <w:tcW w:w="3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consideration</w:t>
            </w:r>
            <w:r>
              <w:rPr>
                <w:rFonts w:ascii="Times New Roman" w:cs="Times New Roman" w:eastAsia="Times New Roman" w:hAnsi="Times New Roman"/>
                <w:sz w:val="21"/>
                <w:szCs w:val="21"/>
                <w:color w:val="auto"/>
                <w:vertAlign w:val="superscript"/>
              </w:rPr>
              <w:t>(3)</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57"/>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Operating lease obligations</w:t>
            </w:r>
            <w:r>
              <w:rPr>
                <w:rFonts w:ascii="Times New Roman" w:cs="Times New Roman" w:eastAsia="Times New Roman" w:hAnsi="Times New Roman"/>
                <w:sz w:val="21"/>
                <w:szCs w:val="21"/>
                <w:color w:val="auto"/>
                <w:vertAlign w:val="superscript"/>
              </w:rPr>
              <w:t>(4)</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612.4</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Capital commitments to Carlyle funds</w:t>
            </w:r>
            <w:r>
              <w:rPr>
                <w:rFonts w:ascii="Times New Roman" w:cs="Times New Roman" w:eastAsia="Times New Roman" w:hAnsi="Times New Roman"/>
                <w:sz w:val="21"/>
                <w:szCs w:val="21"/>
                <w:color w:val="auto"/>
                <w:vertAlign w:val="superscript"/>
              </w:rPr>
              <w:t>(5)</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4,235.2</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4,235.2</w:t>
            </w:r>
          </w:p>
        </w:tc>
        <w:tc>
          <w:tcPr>
            <w:tcW w:w="0" w:type="dxa"/>
            <w:vAlign w:val="bottom"/>
          </w:tcPr>
          <w:p>
            <w:pPr>
              <w:spacing w:after="0"/>
              <w:rPr>
                <w:sz w:val="1"/>
                <w:szCs w:val="1"/>
                <w:color w:val="auto"/>
              </w:rPr>
            </w:pPr>
          </w:p>
        </w:tc>
      </w:tr>
      <w:tr>
        <w:trPr>
          <w:trHeight w:val="257"/>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Tax receivable agreement payments</w:t>
            </w:r>
            <w:r>
              <w:rPr>
                <w:rFonts w:ascii="Times New Roman" w:cs="Times New Roman" w:eastAsia="Times New Roman" w:hAnsi="Times New Roman"/>
                <w:sz w:val="21"/>
                <w:szCs w:val="21"/>
                <w:color w:val="auto"/>
                <w:vertAlign w:val="superscript"/>
              </w:rPr>
              <w:t>(6)</w:t>
            </w:r>
          </w:p>
        </w:tc>
        <w:tc>
          <w:tcPr>
            <w:tcW w:w="14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Loans payable of Consolidated Funds</w:t>
            </w:r>
            <w:r>
              <w:rPr>
                <w:rFonts w:ascii="Times New Roman" w:cs="Times New Roman" w:eastAsia="Times New Roman" w:hAnsi="Times New Roman"/>
                <w:sz w:val="21"/>
                <w:szCs w:val="21"/>
                <w:color w:val="auto"/>
                <w:vertAlign w:val="superscript"/>
              </w:rPr>
              <w:t>(7)</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753.6</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754.7</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7,969.2</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9,761.4</w:t>
            </w:r>
          </w:p>
        </w:tc>
        <w:tc>
          <w:tcPr>
            <w:tcW w:w="0" w:type="dxa"/>
            <w:vAlign w:val="bottom"/>
          </w:tcPr>
          <w:p>
            <w:pPr>
              <w:spacing w:after="0"/>
              <w:rPr>
                <w:sz w:val="1"/>
                <w:szCs w:val="1"/>
                <w:color w:val="auto"/>
              </w:rPr>
            </w:pPr>
          </w:p>
        </w:tc>
      </w:tr>
      <w:tr>
        <w:trPr>
          <w:trHeight w:val="256"/>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Unfunded commitments of the CLOs</w:t>
            </w:r>
            <w:r>
              <w:rPr>
                <w:rFonts w:ascii="Times New Roman" w:cs="Times New Roman" w:eastAsia="Times New Roman" w:hAnsi="Times New Roman"/>
                <w:sz w:val="21"/>
                <w:szCs w:val="21"/>
                <w:color w:val="auto"/>
                <w:vertAlign w:val="superscript"/>
              </w:rPr>
              <w:t>(8)</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37"/>
        </w:trPr>
        <w:tc>
          <w:tcPr>
            <w:tcW w:w="37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Consolidated contractual obligations</w:t>
            </w:r>
          </w:p>
        </w:tc>
        <w:tc>
          <w:tcPr>
            <w:tcW w:w="14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4,661.4</w:t>
            </w:r>
          </w:p>
        </w:tc>
        <w:tc>
          <w:tcPr>
            <w:tcW w:w="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1,218.1</w:t>
            </w:r>
          </w:p>
        </w:tc>
        <w:tc>
          <w:tcPr>
            <w:tcW w:w="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1,201.0</w:t>
            </w: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12,098.5</w:t>
            </w: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19,179.0</w:t>
            </w:r>
          </w:p>
        </w:tc>
        <w:tc>
          <w:tcPr>
            <w:tcW w:w="0" w:type="dxa"/>
            <w:vAlign w:val="bottom"/>
          </w:tcPr>
          <w:p>
            <w:pPr>
              <w:spacing w:after="0"/>
              <w:rPr>
                <w:sz w:val="1"/>
                <w:szCs w:val="1"/>
                <w:color w:val="auto"/>
              </w:rPr>
            </w:pPr>
          </w:p>
        </w:tc>
      </w:tr>
      <w:tr>
        <w:trPr>
          <w:trHeight w:val="257"/>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Loans payable of Consolidated Funds</w:t>
            </w:r>
            <w:r>
              <w:rPr>
                <w:rFonts w:ascii="Times New Roman" w:cs="Times New Roman" w:eastAsia="Times New Roman" w:hAnsi="Times New Roman"/>
                <w:sz w:val="21"/>
                <w:szCs w:val="21"/>
                <w:color w:val="auto"/>
                <w:vertAlign w:val="superscript"/>
              </w:rPr>
              <w:t>(7)</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(7,969.2)</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(9,761.4)</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Capital commitments to Carlyle funds</w:t>
            </w:r>
            <w:r>
              <w:rPr>
                <w:rFonts w:ascii="Times New Roman" w:cs="Times New Roman" w:eastAsia="Times New Roman" w:hAnsi="Times New Roman"/>
                <w:sz w:val="21"/>
                <w:szCs w:val="21"/>
                <w:color w:val="auto"/>
                <w:vertAlign w:val="superscript"/>
              </w:rPr>
              <w:t>(5)</w:t>
            </w: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(3,555.9)</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(3,555.9)</w:t>
            </w:r>
          </w:p>
        </w:tc>
        <w:tc>
          <w:tcPr>
            <w:tcW w:w="0" w:type="dxa"/>
            <w:vAlign w:val="bottom"/>
          </w:tcPr>
          <w:p>
            <w:pPr>
              <w:spacing w:after="0"/>
              <w:rPr>
                <w:sz w:val="1"/>
                <w:szCs w:val="1"/>
                <w:color w:val="auto"/>
              </w:rPr>
            </w:pPr>
          </w:p>
        </w:tc>
      </w:tr>
      <w:tr>
        <w:trPr>
          <w:trHeight w:val="256"/>
        </w:trPr>
        <w:tc>
          <w:tcPr>
            <w:tcW w:w="3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Unfunded commitments of the CLOs</w:t>
            </w:r>
            <w:r>
              <w:rPr>
                <w:rFonts w:ascii="Times New Roman" w:cs="Times New Roman" w:eastAsia="Times New Roman" w:hAnsi="Times New Roman"/>
                <w:sz w:val="21"/>
                <w:szCs w:val="21"/>
                <w:color w:val="auto"/>
                <w:vertAlign w:val="superscript"/>
              </w:rPr>
              <w:t>(8)</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35"/>
        </w:trPr>
        <w:tc>
          <w:tcPr>
            <w:tcW w:w="37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Carlyle Operating Entities contractual obligations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5,858.1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79571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016115" cy="7957185"/>
                    </a:xfrm>
                    <a:prstGeom prst="rect">
                      <a:avLst/>
                    </a:prstGeom>
                    <a:noFill/>
                  </pic:spPr>
                </pic:pic>
              </a:graphicData>
            </a:graphic>
          </wp:anchor>
        </w:drawing>
      </w:r>
    </w:p>
    <w:p>
      <w:pPr>
        <w:ind w:left="500" w:right="140" w:hanging="493"/>
        <w:spacing w:after="0" w:line="268" w:lineRule="auto"/>
        <w:tabs>
          <w:tab w:leader="none" w:pos="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above assumes that no prepayments are made on the senior and subordinated notes and that the outstanding balances, if any, on the senior credit facility and Global Credit Revolving Credit Facility are repaid on the maturity dates of credit facilities. The CLO term loans are included in the table above based on the earlier of the stated maturity date or the date the CLO is expected to be dissolved. See Note 6, Borrowings, to the condensed consolidated financial statements for the various maturity dates of our borrowings.</w:t>
      </w:r>
    </w:p>
    <w:p>
      <w:pPr>
        <w:spacing w:after="0" w:line="77" w:lineRule="exact"/>
        <w:rPr>
          <w:rFonts w:ascii="Times New Roman" w:cs="Times New Roman" w:eastAsia="Times New Roman" w:hAnsi="Times New Roman"/>
          <w:sz w:val="14"/>
          <w:szCs w:val="14"/>
          <w:color w:val="auto"/>
        </w:rPr>
      </w:pPr>
    </w:p>
    <w:p>
      <w:pPr>
        <w:ind w:left="500" w:right="360" w:hanging="493"/>
        <w:spacing w:after="0" w:line="263" w:lineRule="auto"/>
        <w:tabs>
          <w:tab w:leader="none" w:pos="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on the debt obligations as of March 31, 2024 consist of: 3.500% on $425.0 million of senior notes, 5.650% on $350.0 million of senior notes, 5.625% on $600.0 million of senior notes, 4.625% on $500.0 million of subordinated notes, and a range of approximately 5.27% to</w:t>
      </w:r>
    </w:p>
    <w:p>
      <w:pPr>
        <w:ind w:left="500" w:right="220"/>
        <w:spacing w:after="0" w:line="27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12.05% for our CLO term loans. Interest payments assume that no prepayments are made and loans are held until maturity with the exception of the CLO term loans, which are based on the earlier of the stated maturity date or the date the CLO is expected to be dissolved.</w:t>
      </w:r>
    </w:p>
    <w:p>
      <w:pPr>
        <w:spacing w:after="0" w:line="70" w:lineRule="exact"/>
        <w:rPr>
          <w:rFonts w:ascii="Times New Roman" w:cs="Times New Roman" w:eastAsia="Times New Roman" w:hAnsi="Times New Roman"/>
          <w:sz w:val="14"/>
          <w:szCs w:val="14"/>
          <w:color w:val="auto"/>
        </w:rPr>
      </w:pPr>
    </w:p>
    <w:p>
      <w:pPr>
        <w:ind w:left="500" w:right="40" w:hanging="493"/>
        <w:spacing w:after="0" w:line="281" w:lineRule="auto"/>
        <w:tabs>
          <w:tab w:leader="none" w:pos="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obligations represent our estimate of amounts to be paid on the contingent cash obligations associated with our acquisitions of Carlyle Aviation Partners and Abingworth. The payment obligations are unsecured obligations of the Company or a subsidiary thereof, subordinated in right of payment to indebtedness of the Company and its subsidiaries, and do not bear interest.</w:t>
      </w:r>
    </w:p>
    <w:p>
      <w:pPr>
        <w:spacing w:after="0" w:line="55" w:lineRule="exact"/>
        <w:rPr>
          <w:rFonts w:ascii="Times New Roman" w:cs="Times New Roman" w:eastAsia="Times New Roman" w:hAnsi="Times New Roman"/>
          <w:sz w:val="14"/>
          <w:szCs w:val="14"/>
          <w:color w:val="auto"/>
        </w:rPr>
      </w:pPr>
    </w:p>
    <w:p>
      <w:pPr>
        <w:ind w:left="500" w:hanging="493"/>
        <w:spacing w:after="0" w:line="281" w:lineRule="auto"/>
        <w:tabs>
          <w:tab w:leader="none" w:pos="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lease office space in various countries around the world, including our largest offices in Washington, D.C., New York City, London, Amsterdam and Hong Kong, which have non-cancelable lease agreements expiring in various years through 2036. The amounts in this table represent the minimum lease payments required over the term of the lease.</w:t>
      </w:r>
    </w:p>
    <w:p>
      <w:pPr>
        <w:spacing w:after="0" w:line="69" w:lineRule="exact"/>
        <w:rPr>
          <w:rFonts w:ascii="Times New Roman" w:cs="Times New Roman" w:eastAsia="Times New Roman" w:hAnsi="Times New Roman"/>
          <w:sz w:val="14"/>
          <w:szCs w:val="14"/>
          <w:color w:val="auto"/>
        </w:rPr>
      </w:pPr>
    </w:p>
    <w:p>
      <w:pPr>
        <w:ind w:left="500" w:right="220" w:hanging="493"/>
        <w:spacing w:after="0" w:line="266" w:lineRule="auto"/>
        <w:tabs>
          <w:tab w:leader="none" w:pos="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obligations generally represent commitments by us to fund a portion of the purchase price paid for each investment made by our funds. These amounts are generally due on demand and are therefore presented in the less than one year category. A substantial majority of these investments is expected to be funded by senior Carlyle professionals and other professionals through our internal co-investment program. Of the $4.2 billion of unfunded commitments to the funds, approximately $3.6 billion is subscribed individually by senior Carlyle professionals, advisors and other professionals, with the balance funded directly by the Company.</w:t>
      </w:r>
    </w:p>
    <w:p>
      <w:pPr>
        <w:spacing w:after="0" w:line="79" w:lineRule="exact"/>
        <w:rPr>
          <w:rFonts w:ascii="Times New Roman" w:cs="Times New Roman" w:eastAsia="Times New Roman" w:hAnsi="Times New Roman"/>
          <w:sz w:val="14"/>
          <w:szCs w:val="14"/>
          <w:color w:val="auto"/>
        </w:rPr>
      </w:pPr>
    </w:p>
    <w:p>
      <w:pPr>
        <w:ind w:left="500" w:right="60" w:hanging="493"/>
        <w:spacing w:after="0" w:line="265" w:lineRule="auto"/>
        <w:tabs>
          <w:tab w:leader="none" w:pos="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our initial public offering, we entered into a tax receivable agreement with the limited partners of the Carlyle Holdings partnerships whereby we agreed to pay such limited partners 85% of the amount of cash tax savings, if any, in U.S. federal, state and local income tax realized as a result of increases in tax basis resulting from exchanges of Carlyle Holdings partnership units for common units of The Carlyle Group L.P. From and after the consummation of the Conversion, former holders of Carlyle Holdings partnership units do not have any rights to payments under the tax receivable agreement except for payment obligations pre-existing at the time of the Conversion with respect to exchanges that occurred prior to the Conversion. These obligations are more than offset by the future cash tax savings that we are expected to realize.</w:t>
      </w:r>
    </w:p>
    <w:p>
      <w:pPr>
        <w:spacing w:after="0" w:line="80" w:lineRule="exact"/>
        <w:rPr>
          <w:rFonts w:ascii="Times New Roman" w:cs="Times New Roman" w:eastAsia="Times New Roman" w:hAnsi="Times New Roman"/>
          <w:sz w:val="14"/>
          <w:szCs w:val="14"/>
          <w:color w:val="auto"/>
        </w:rPr>
      </w:pPr>
    </w:p>
    <w:p>
      <w:pPr>
        <w:ind w:left="500" w:right="60" w:hanging="493"/>
        <w:spacing w:after="0" w:line="266" w:lineRule="auto"/>
        <w:tabs>
          <w:tab w:leader="none" w:pos="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obligations represent amounts due to holders of debt securities issued by the consolidated CLO vehicles. These obligations include interest to be paid on debt securities issued by the consolidated CLO vehicles. Interest payments assume that no prepayments are made and loans are held until maturity. For debt securities with rights only to the residual value of the CLO and no stated interest, no interest payments were included in this calculation. Interest payments on variable-rate debt securities are based on interest rates in effect as of March 31, 2024, at spreads to market rates pursuant to the debt agreements, and range from 1.15% to 14.18%.</w:t>
      </w:r>
    </w:p>
    <w:p>
      <w:pPr>
        <w:spacing w:after="0" w:line="79" w:lineRule="exact"/>
        <w:rPr>
          <w:rFonts w:ascii="Times New Roman" w:cs="Times New Roman" w:eastAsia="Times New Roman" w:hAnsi="Times New Roman"/>
          <w:sz w:val="14"/>
          <w:szCs w:val="14"/>
          <w:color w:val="auto"/>
        </w:rPr>
      </w:pPr>
    </w:p>
    <w:p>
      <w:pPr>
        <w:ind w:left="500" w:right="360" w:hanging="493"/>
        <w:spacing w:after="0" w:line="282" w:lineRule="auto"/>
        <w:tabs>
          <w:tab w:leader="none" w:pos="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obligations represent commitments of the CLOs to fund certain investments. These amounts are generally due on demand and are therefore presented in the less than one year category.</w:t>
      </w:r>
    </w:p>
    <w:p>
      <w:pPr>
        <w:spacing w:after="0" w:line="180"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Excluded from the table above are liabilities for uncertain tax positions of $42.7 million at March 31, 2024 as we are unable to estimate when such amounts may be paid.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24765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016115" cy="247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Cash Payments For Business Acquisitions and Strategic Investments</w:t>
      </w:r>
    </w:p>
    <w:p>
      <w:pPr>
        <w:spacing w:after="0" w:line="229" w:lineRule="exact"/>
        <w:rPr>
          <w:sz w:val="20"/>
          <w:szCs w:val="20"/>
          <w:color w:val="auto"/>
        </w:rPr>
      </w:pPr>
    </w:p>
    <w:p>
      <w:pPr>
        <w:ind w:right="220" w:firstLine="445"/>
        <w:spacing w:after="0" w:line="256" w:lineRule="auto"/>
        <w:rPr>
          <w:sz w:val="20"/>
          <w:szCs w:val="20"/>
          <w:color w:val="auto"/>
        </w:rPr>
      </w:pPr>
      <w:r>
        <w:rPr>
          <w:rFonts w:ascii="Times New Roman" w:cs="Times New Roman" w:eastAsia="Times New Roman" w:hAnsi="Times New Roman"/>
          <w:sz w:val="18"/>
          <w:szCs w:val="18"/>
          <w:color w:val="auto"/>
        </w:rPr>
        <w:t>We have certain contingent cash obligations associated with our acquisition of Abingworth, which are accounted for as compensation expense, and are accrued over the service period. If earned, payments are made in the quarter following the performance year to which the payments relate. The contingent cash obligations relate to future incentive payments of up to $130.0 million that are payable upon the achievement of certain performance targets during 2023 through 2028, which is the maximum amount that could be paid as of March 31, 2024. There are no material amounts recognized on the balance sheet related to these contingent cash obligations as of March 31, 2024.</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connection with our acquisition of Carlyle Aviation Partners, we had contingent cash payments related to an earn-out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up to $150.0 million that were payable upon the achievement of certain revenue and earnings performance targets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through 2025. Through December 31, 2022, we paid $53.6 million related to this earn-out. During the first quarter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we entered into a termination and settlement agreement with respect to the earn-out, pursuant to which we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$68.6 million, and agreed to pay an aggregate $2.4 million in installments in 2024 and 2025. Pursuant to the termination and</w:t>
      </w:r>
    </w:p>
    <w:p>
      <w:pPr>
        <w:sectPr>
          <w:pgSz w:w="11900" w:h="16838" w:orient="portrait"/>
          <w:cols w:equalWidth="0" w:num="1">
            <w:col w:w="9240"/>
          </w:cols>
          <w:pgMar w:left="1320" w:top="171" w:right="1339" w:bottom="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settlement agreement, we paid the first installment during the first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-110490</wp:posOffset>
            </wp:positionV>
            <wp:extent cx="7016115" cy="65855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016115" cy="658558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Retention Rules</w:t>
      </w:r>
    </w:p>
    <w:p>
      <w:pPr>
        <w:spacing w:after="0" w:line="229"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We will continue to comply with the risk retention rules governing CLOs issued in Europe for which we are a sponsor, which require a combination of capital from our balance sheet, commitments from senior Carlyle professionals and/or third party financing.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ind w:right="580" w:firstLine="445"/>
        <w:spacing w:after="0" w:line="282" w:lineRule="auto"/>
        <w:rPr>
          <w:sz w:val="20"/>
          <w:szCs w:val="20"/>
          <w:color w:val="auto"/>
        </w:rPr>
      </w:pPr>
      <w:r>
        <w:rPr>
          <w:rFonts w:ascii="Times New Roman" w:cs="Times New Roman" w:eastAsia="Times New Roman" w:hAnsi="Times New Roman"/>
          <w:sz w:val="18"/>
          <w:szCs w:val="18"/>
          <w:color w:val="auto"/>
        </w:rPr>
        <w:t>See Note 8, Commitments and Contingencies, to the condensed consolidated financial statements included in this Quarterly Report on Form 10-Q for information related to all of our material guarantees.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many of our service contracts, we agree to indemnify the third-party service provider under certain circumstances. The terms of the indemnities vary from contract to contract, and the amount of indemnification liability, if any, cannot be determined and has not been included in the table above or recorded in our condensed consolidated financial statements as of March 31, 2024. See Note 8, Commitments and Contingencies, to the condensed consolidated financial statements included in this Quarterly Report on Form 10-Q for information related to indemnifications.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Obligations (Giveback)</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Carried interest is ultimately realized when: (1) an underlying investment is profitably disposed of, (2) certain costs borne by the limited partner investors have been reimbursed, (3) the fund’s cumulative returns are in excess of the preferred return and (4) we have decided to collect carry rather than return additional capital to limited partner investors. Realized carried interest may be required to be returned by us in future periods if the fund’s investment values decline below certain levels. When the fair value of a fund’s investments remains constant or falls below certain return hurdles, previously recognized performance allocations are reversed. See Note 9, Related Party Transactions, to the consolidated financial statements included in this Annual Report on Form 10-K for additional information related to our contingent obligations (giveback).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229" w:lineRule="exact"/>
        <w:rPr>
          <w:sz w:val="20"/>
          <w:szCs w:val="20"/>
          <w:color w:val="auto"/>
        </w:rPr>
      </w:pPr>
    </w:p>
    <w:p>
      <w:pPr>
        <w:jc w:val="both"/>
        <w:ind w:right="380" w:firstLine="405"/>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are a party to litigation, investigations, inquiries, employment-related matters, disputes and other potential claims. We discuss certain of these matters in Note 8, Commitments and Contingencies, to the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384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016115" cy="384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Carlyle Common Stock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rollforward of our common stock outstanding for the three months ended March 31, 2024 is as follows:</w:t>
      </w: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3"/>
        </w:trPr>
        <w:tc>
          <w:tcPr>
            <w:tcW w:w="6820" w:type="dxa"/>
            <w:vAlign w:val="bottom"/>
          </w:tcPr>
          <w:p>
            <w:pPr>
              <w:spacing w:after="0"/>
              <w:rPr>
                <w:sz w:val="17"/>
                <w:szCs w:val="17"/>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36"/>
        </w:trPr>
        <w:tc>
          <w:tcPr>
            <w:tcW w:w="68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36"/>
        </w:trPr>
        <w:tc>
          <w:tcPr>
            <w:tcW w:w="6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361,326,172</w:t>
            </w:r>
          </w:p>
        </w:tc>
      </w:tr>
      <w:tr>
        <w:trPr>
          <w:trHeight w:val="284"/>
        </w:trPr>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issued</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787,568</w:t>
            </w:r>
          </w:p>
        </w:tc>
      </w:tr>
      <w:tr>
        <w:trPr>
          <w:trHeight w:val="284"/>
        </w:trPr>
        <w:tc>
          <w:tcPr>
            <w:tcW w:w="6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Shares repurchased/retired</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(2,853,602)</w:t>
            </w:r>
          </w:p>
        </w:tc>
      </w:tr>
      <w:tr>
        <w:trPr>
          <w:trHeight w:val="236"/>
        </w:trPr>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Balance, end of period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359,260,138</w:t>
            </w:r>
          </w:p>
        </w:tc>
      </w:tr>
      <w:tr>
        <w:trPr>
          <w:trHeight w:val="20"/>
        </w:trPr>
        <w:tc>
          <w:tcPr>
            <w:tcW w:w="68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Shares of The Carlyle Group Inc. common stock issued during the period from December 31, 2023 through March 31, 2024 relate to the vesting of the Company’s restricted stock units and shares issued and delivered in connection with our equity method investment in NGP. Shares of The Carlyle Group Inc. common stock issued and repurchased/retired during the period from December 31, 2023 through March 31, 2024 do not include shares retired as part of the net share settlement of equity-based awards.</w:t>
      </w:r>
    </w:p>
    <w:p>
      <w:pPr>
        <w:spacing w:after="0" w:line="183" w:lineRule="exact"/>
        <w:rPr>
          <w:sz w:val="20"/>
          <w:szCs w:val="20"/>
          <w:color w:val="auto"/>
        </w:rPr>
      </w:pPr>
    </w:p>
    <w:p>
      <w:pPr>
        <w:jc w:val="both"/>
        <w:ind w:right="700" w:firstLine="445"/>
        <w:spacing w:after="0" w:line="266" w:lineRule="auto"/>
        <w:rPr>
          <w:sz w:val="20"/>
          <w:szCs w:val="20"/>
          <w:color w:val="auto"/>
        </w:rPr>
      </w:pPr>
      <w:r>
        <w:rPr>
          <w:rFonts w:ascii="Times New Roman" w:cs="Times New Roman" w:eastAsia="Times New Roman" w:hAnsi="Times New Roman"/>
          <w:sz w:val="18"/>
          <w:szCs w:val="18"/>
          <w:color w:val="auto"/>
        </w:rPr>
        <w:t>The total shares as of March 31, 2024 as shown above exclude approximately 0.6 million net common shares in connection with the vesting of restricted stock units subsequent to March 31, 2024 that will participate in the common shareholder dividend that will be paid on May 21,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ectPr>
          <w:pgSz w:w="11900" w:h="16838" w:orient="portrait"/>
          <w:cols w:equalWidth="0" w:num="1">
            <w:col w:w="9200"/>
          </w:cols>
          <w:pgMar w:left="1320" w:top="108" w:right="1379" w:bottom="0" w:gutter="0" w:footer="0" w:header="0"/>
        </w:sectPr>
      </w:pPr>
    </w:p>
    <w:bookmarkStart w:id="103" w:name="page104"/>
    <w:bookmarkEnd w:id="103"/>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213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16115" cy="5213985"/>
                    </a:xfrm>
                    <a:prstGeom prst="rect">
                      <a:avLst/>
                    </a:prstGeom>
                    <a:noFill/>
                  </pic:spPr>
                </pic:pic>
              </a:graphicData>
            </a:graphic>
          </wp:anchor>
        </w:drawing>
        <w:t>The preparation of our consolidated financial statements in conformity with U.S. GAAP requires our management to make estimates and judgments that affect the reported amounts of assets and liabilities, revenues and expenses, and related disclosures of contingent assets and liabilities. These estimates and judgments are based on historical information, information currently available to us and on various other assumptions management believes to be reasonable under the circumstances. Actual results could vary from those estimates and we may change our estimates and assumptions in future evaluations. Changes in these estimates and assumptions may have a material effect on our results of operations and financial condition. There have been no material changes in the critical accounting estimates since those discussed in our Annual Report on Form 10-K for the year ended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Our primary exposure to market risk is related to our role as general partner or investment advisor to our investment funds and the sensitivities to movements in the fair value of their investments, including the effect on management fees, incentive fees and investment income, including performance allocations. Although our investment funds share many common themes, each of our asset management asset classes runs its own investment and risk management processes, subject to our overall risk tolerance and philosophy. The investment process of our investment funds involves a comprehensive due diligence approach, including review of reputation of shareholders and management, company size and sensitivity of cash flow generation, business sector and competitive risks, portfolio fit, exit risks and other key factors highlighted by the deal team. Key investment decisions are generally subject to approval by both the fund-level managing directors, as well as the investment committee, which is generally comprised of one or more of the three founding partners, one or more operating executives and/ or senior investment professionals associated with that particular fund. Once an investment in a portfolio company has been made, our fund teams closely monitor the performance of the portfolio company, generally through frequent contact with management and the receipt of financial and management reports.</w:t>
      </w:r>
    </w:p>
    <w:p>
      <w:pPr>
        <w:spacing w:after="0" w:line="190"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There was no material change in our market risks during the three months ended March 31, 2024. For additional information, refer to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Securities Exchange Act of 1934, as amended (the “Exchange Act”)) that are designed to ensure that information required to be disclosed in our reports under the Exchange Act is recorded, processed, summarized and reported within the time periods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52197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016115" cy="521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specified in the SEC’s rules and forms, and that such information is accumulated and communicated to our management, including our principal executive officer and principal financial officer, as appropriate, to allow timely decisions regarding required disclosures.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not absolute, assurance of achieving the desired control objectives.</w:t>
      </w:r>
    </w:p>
    <w:p>
      <w:pPr>
        <w:spacing w:after="0" w:line="192"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the design and operation of our disclosure controls and procedures as of the end of the period covered by this report. Based upon that evaluation and subject to the foregoing, our principal executive officer and principal financial officer concluded that, as of the end of the period covered by this report, the design and operation of our disclosure controls and procedures were effective to accomplish their objectives at the reasonable assurance level.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20" w:firstLine="445"/>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and 15d-15(f) under the Exchange Act) during the fiscal quarter ended March 31, 2024 that have materially affected, or that are reasonably likely to materially affect, our internal control over financial reporting.</w:t>
      </w:r>
    </w:p>
    <w:p>
      <w:pPr>
        <w:sectPr>
          <w:pgSz w:w="11900" w:h="16838" w:orient="portrait"/>
          <w:cols w:equalWidth="0" w:num="1">
            <w:col w:w="9240"/>
          </w:cols>
          <w:pgMar w:left="1320" w:top="283" w:right="133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38423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016115" cy="384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65913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016115" cy="6591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The information required with respect to this item can be found under “Legal Matters” in Note 8, Commitments and Contingencies, of the notes to the Company’s condensed consolidated financial statements contained in this Quarterly Report on Form 10-Q, and such information is incorporated by reference into this Item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For a discussion of our potential risks and uncertainties, see the information under Item 1A. “Risk Factors” in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following table sets forth repurchases of our common stock during the three months ended March 31, 2024 for the periods indicated. During the three months ended March 31, 2024, 2.9 million shares were repurchased. In addition, 0.5 million shares were retired in connection with the net share settlement of equity-based awards, which are not included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 Total number of</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 Maximum number (or</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 Total number of</w:t>
            </w:r>
          </w:p>
        </w:tc>
        <w:tc>
          <w:tcPr>
            <w:tcW w:w="140" w:type="dxa"/>
            <w:vAlign w:val="bottom"/>
          </w:tcPr>
          <w:p>
            <w:pPr>
              <w:spacing w:after="0"/>
              <w:rPr>
                <w:sz w:val="14"/>
                <w:szCs w:val="14"/>
                <w:color w:val="auto"/>
              </w:rPr>
            </w:pPr>
          </w:p>
        </w:tc>
        <w:tc>
          <w:tcPr>
            <w:tcW w:w="9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6"/>
              </w:rPr>
              <w:t>(b) Average</w:t>
            </w: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20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40" w:type="dxa"/>
            <w:vAlign w:val="bottom"/>
          </w:tcPr>
          <w:p>
            <w:pPr>
              <w:spacing w:after="0"/>
              <w:rPr>
                <w:sz w:val="14"/>
                <w:szCs w:val="14"/>
                <w:color w:val="auto"/>
              </w:rPr>
            </w:pPr>
          </w:p>
        </w:tc>
        <w:tc>
          <w:tcPr>
            <w:tcW w:w="18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of shares that may yet be</w:t>
            </w:r>
          </w:p>
        </w:tc>
        <w:tc>
          <w:tcPr>
            <w:tcW w:w="0" w:type="dxa"/>
            <w:vAlign w:val="bottom"/>
          </w:tcPr>
          <w:p>
            <w:pPr>
              <w:spacing w:after="0"/>
              <w:rPr>
                <w:sz w:val="1"/>
                <w:szCs w:val="1"/>
                <w:color w:val="auto"/>
              </w:rPr>
            </w:pPr>
          </w:p>
        </w:tc>
      </w:tr>
      <w:tr>
        <w:trPr>
          <w:trHeight w:val="162"/>
        </w:trPr>
        <w:tc>
          <w:tcPr>
            <w:tcW w:w="3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w:t>
            </w:r>
          </w:p>
        </w:tc>
        <w:tc>
          <w:tcPr>
            <w:tcW w:w="108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6"/>
                <w:szCs w:val="16"/>
                <w:b w:val="1"/>
                <w:bCs w:val="1"/>
                <w:color w:val="auto"/>
              </w:rPr>
              <w:t>price paid per</w:t>
            </w: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20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w:t>
            </w:r>
          </w:p>
        </w:tc>
        <w:tc>
          <w:tcPr>
            <w:tcW w:w="0" w:type="dxa"/>
            <w:vAlign w:val="bottom"/>
          </w:tcPr>
          <w:p>
            <w:pPr>
              <w:spacing w:after="0"/>
              <w:rPr>
                <w:sz w:val="1"/>
                <w:szCs w:val="1"/>
                <w:color w:val="auto"/>
              </w:rPr>
            </w:pPr>
          </w:p>
        </w:tc>
      </w:tr>
      <w:tr>
        <w:trPr>
          <w:trHeight w:val="203"/>
        </w:trPr>
        <w:tc>
          <w:tcPr>
            <w:tcW w:w="3100" w:type="dxa"/>
            <w:vAlign w:val="bottom"/>
            <w:tcBorders>
              <w:bottom w:val="single" w:sz="8" w:color="auto"/>
            </w:tcBorders>
            <w:vMerge w:val="continue"/>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 programs (3)</w:t>
            </w:r>
          </w:p>
        </w:tc>
        <w:tc>
          <w:tcPr>
            <w:tcW w:w="0" w:type="dxa"/>
            <w:vAlign w:val="bottom"/>
          </w:tcPr>
          <w:p>
            <w:pPr>
              <w:spacing w:after="0"/>
              <w:rPr>
                <w:sz w:val="1"/>
                <w:szCs w:val="1"/>
                <w:color w:val="auto"/>
              </w:rPr>
            </w:pPr>
          </w:p>
        </w:tc>
      </w:tr>
      <w:tr>
        <w:trPr>
          <w:trHeight w:val="250"/>
        </w:trPr>
        <w:tc>
          <w:tcPr>
            <w:tcW w:w="3100" w:type="dxa"/>
            <w:vAlign w:val="bottom"/>
          </w:tcPr>
          <w:p>
            <w:pPr>
              <w:spacing w:after="0"/>
              <w:rPr>
                <w:sz w:val="21"/>
                <w:szCs w:val="21"/>
                <w:color w:val="auto"/>
              </w:rPr>
            </w:pPr>
          </w:p>
        </w:tc>
        <w:tc>
          <w:tcPr>
            <w:tcW w:w="6140" w:type="dxa"/>
            <w:vAlign w:val="bottom"/>
            <w:gridSpan w:val="6"/>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(Dollars in millions, except share and per share data)</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January 1, 2024 to January 31, 2024 (1)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396.8</w:t>
            </w:r>
          </w:p>
        </w:tc>
        <w:tc>
          <w:tcPr>
            <w:tcW w:w="0" w:type="dxa"/>
            <w:vAlign w:val="bottom"/>
          </w:tcPr>
          <w:p>
            <w:pPr>
              <w:spacing w:after="0"/>
              <w:rPr>
                <w:sz w:val="1"/>
                <w:szCs w:val="1"/>
                <w:color w:val="auto"/>
              </w:rPr>
            </w:pPr>
          </w:p>
        </w:tc>
      </w:tr>
      <w:tr>
        <w:trPr>
          <w:trHeight w:val="270"/>
        </w:trPr>
        <w:tc>
          <w:tcPr>
            <w:tcW w:w="3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February 1, 2024 to February 29, 2024 (1)(2)</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1,024,995</w:t>
            </w:r>
          </w:p>
        </w:tc>
        <w:tc>
          <w:tcPr>
            <w:tcW w:w="1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44.49</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1,024,995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1,354.4</w:t>
            </w: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March 1, 2024 to March 31, 2024 (1)(2)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1,828,607</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46.48</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1,828,607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1,269.4</w:t>
            </w:r>
          </w:p>
        </w:tc>
        <w:tc>
          <w:tcPr>
            <w:tcW w:w="0" w:type="dxa"/>
            <w:vAlign w:val="bottom"/>
          </w:tcPr>
          <w:p>
            <w:pPr>
              <w:spacing w:after="0"/>
              <w:rPr>
                <w:sz w:val="1"/>
                <w:szCs w:val="1"/>
                <w:color w:val="auto"/>
              </w:rPr>
            </w:pPr>
          </w:p>
        </w:tc>
      </w:tr>
      <w:tr>
        <w:trPr>
          <w:trHeight w:val="223"/>
        </w:trPr>
        <w:tc>
          <w:tcPr>
            <w:tcW w:w="3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2,853,602</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2,853,602</w:t>
            </w: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20" w:hanging="329"/>
        <w:spacing w:after="0" w:line="256" w:lineRule="auto"/>
        <w:tabs>
          <w:tab w:leader="none" w:pos="6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28, 2021, we announced that the Board of Directors of the Company authorized the repurchase of up to $400 million of common stock in the aggregate, effective January 1, 2022. In February 2023, the Board of Directors replenished the repurchase program and expanded the limit to $500 million of common stock in the aggregate, effective March 31, 2023. The Board of Directors reset the total repurchase authorization to $1.4 billion in shares of our common stock, effective as of February 6, 2024, which authorization replaced the Company’s prior $500 million authorization. Under the share repurchase program, shares of our common stock may be repurchased from time to time in open market transactions, in privately negotiated transactions, or otherwise, including through Rule 10b5-1 plans. The timing and actual number of shares of common stock repurchased will depend on a variety of factors, including legal requirements and price, economic, and market conditions. In addition to the repurchase of common stock, the repurchase program is used for the payment of tax withholding amounts upon net share settlement of equity-based awards granted pursuant to our Equity Incentive Plan or otherwise based on the value of shares withheld that would have otherwise been issued to the award holder. The repurchase program may be suspended or discontinued at any time and does not have a specified expiration date.</w:t>
      </w:r>
    </w:p>
    <w:p>
      <w:pPr>
        <w:sectPr>
          <w:pgSz w:w="11900" w:h="16843" w:orient="portrait"/>
          <w:cols w:equalWidth="0" w:num="1">
            <w:col w:w="9240"/>
          </w:cols>
          <w:pgMar w:left="1320" w:top="1440" w:right="1339" w:bottom="0" w:gutter="0" w:footer="0" w:header="0"/>
        </w:sectPr>
      </w:pPr>
    </w:p>
    <w:bookmarkStart w:id="105" w:name="page106"/>
    <w:bookmarkEnd w:id="105"/>
    <w:p>
      <w:pPr>
        <w:ind w:left="660" w:hanging="329"/>
        <w:spacing w:after="0"/>
        <w:tabs>
          <w:tab w:leader="none" w:pos="6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24707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016115" cy="2470785"/>
                    </a:xfrm>
                    <a:prstGeom prst="rect">
                      <a:avLst/>
                    </a:prstGeom>
                    <a:noFill/>
                  </pic:spPr>
                </pic:pic>
              </a:graphicData>
            </a:graphic>
          </wp:anchor>
        </w:drawing>
        <w:t>Reflects shares purchased in open market and brokered transactions, which were subsequently retired.</w:t>
      </w:r>
    </w:p>
    <w:p>
      <w:pPr>
        <w:spacing w:after="0" w:line="113" w:lineRule="exact"/>
        <w:rPr>
          <w:rFonts w:ascii="Times New Roman" w:cs="Times New Roman" w:eastAsia="Times New Roman" w:hAnsi="Times New Roman"/>
          <w:sz w:val="16"/>
          <w:szCs w:val="16"/>
          <w:color w:val="auto"/>
        </w:rPr>
      </w:pPr>
    </w:p>
    <w:p>
      <w:pPr>
        <w:ind w:left="660" w:right="139" w:hanging="329"/>
        <w:spacing w:after="0" w:line="280" w:lineRule="auto"/>
        <w:tabs>
          <w:tab w:leader="none" w:pos="6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remaining repurchase authorization was $1,256.9 million as of March 31, 2024 when factoring in the net share settlement of equity-based awards subsequent to February 6, 2024.</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79629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016115" cy="796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139"/>
          </w:cols>
          <w:pgMar w:left="1320" w:top="153" w:right="1440" w:bottom="1440" w:gutter="0" w:footer="0" w:header="0"/>
        </w:sectPr>
      </w:pPr>
    </w:p>
    <w:bookmarkStart w:id="106" w:name="page107"/>
    <w:bookmarkEnd w:id="106"/>
    <w:p>
      <w:pPr>
        <w:jc w:val="center"/>
        <w:ind w:right="-1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991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16115" cy="1099185"/>
                    </a:xfrm>
                    <a:prstGeom prst="rect">
                      <a:avLst/>
                    </a:prstGeom>
                    <a:noFill/>
                  </pic:spPr>
                </pic:pic>
              </a:graphicData>
            </a:graphic>
          </wp:anchor>
        </w:drawing>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90735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list of all exhibits filed or furnished as part of this report:</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360" w:type="dxa"/>
            <w:vAlign w:val="bottom"/>
            <w:gridSpan w:val="13"/>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w w:val="84"/>
              </w:rPr>
              <w:t>3.1</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0" w:type="dxa"/>
            <w:vAlign w:val="bottom"/>
            <w:tcBorders>
              <w:bottom w:val="single" w:sz="8" w:color="0000FF"/>
            </w:tcBorders>
            <w:gridSpan w:val="14"/>
          </w:tcPr>
          <w:p>
            <w:pPr>
              <w:spacing w:after="0"/>
              <w:rPr>
                <w:rFonts w:ascii="Times New Roman" w:cs="Times New Roman" w:eastAsia="Times New Roman" w:hAnsi="Times New Roman"/>
                <w:sz w:val="17"/>
                <w:szCs w:val="17"/>
                <w:color w:val="0000FF"/>
              </w:rPr>
            </w:pPr>
            <w:hyperlink r:id="rId240">
              <w:r>
                <w:rPr>
                  <w:rFonts w:ascii="Times New Roman" w:cs="Times New Roman" w:eastAsia="Times New Roman" w:hAnsi="Times New Roman"/>
                  <w:sz w:val="17"/>
                  <w:szCs w:val="17"/>
                  <w:color w:val="0000FF"/>
                </w:rPr>
                <w:t>Amended and Restated Certificate of Incorporation of The Carlyle Group Inc. (incorporated by reference to</w:t>
              </w:r>
            </w:hyperlink>
          </w:p>
        </w:tc>
        <w:tc>
          <w:tcPr>
            <w:tcW w:w="400" w:type="dxa"/>
            <w:vAlign w:val="bottom"/>
            <w:gridSpan w:val="2"/>
          </w:tcPr>
          <w:p>
            <w:pPr>
              <w:spacing w:after="0"/>
              <w:rPr>
                <w:sz w:val="24"/>
                <w:szCs w:val="24"/>
                <w:color w:val="auto"/>
              </w:rPr>
            </w:pPr>
          </w:p>
        </w:tc>
      </w:tr>
      <w:tr>
        <w:trPr>
          <w:trHeight w:val="183"/>
        </w:trPr>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0" w:type="dxa"/>
            <w:vAlign w:val="bottom"/>
            <w:gridSpan w:val="16"/>
          </w:tcPr>
          <w:p>
            <w:pPr>
              <w:spacing w:after="0" w:line="183" w:lineRule="exact"/>
              <w:rPr>
                <w:rFonts w:ascii="Times New Roman" w:cs="Times New Roman" w:eastAsia="Times New Roman" w:hAnsi="Times New Roman"/>
                <w:sz w:val="17"/>
                <w:szCs w:val="17"/>
                <w:color w:val="0000FF"/>
              </w:rPr>
            </w:pPr>
            <w:hyperlink r:id="rId240">
              <w:r>
                <w:rPr>
                  <w:rFonts w:ascii="Times New Roman" w:cs="Times New Roman" w:eastAsia="Times New Roman" w:hAnsi="Times New Roman"/>
                  <w:sz w:val="17"/>
                  <w:szCs w:val="17"/>
                  <w:color w:val="0000FF"/>
                </w:rPr>
                <w:t>Exhibit 3.1 to the Registrant’s Current Report on Form 8-K filed with the SEC on June 2, 2023).</w:t>
              </w:r>
            </w:hyperlink>
          </w:p>
        </w:tc>
      </w:tr>
      <w:tr>
        <w:trPr>
          <w:trHeight w:val="20"/>
        </w:trPr>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0"/>
        </w:trPr>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w w:val="84"/>
              </w:rPr>
              <w:t>3.2</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0" w:type="dxa"/>
            <w:vAlign w:val="bottom"/>
            <w:tcBorders>
              <w:bottom w:val="single" w:sz="8" w:color="0000FF"/>
            </w:tcBorders>
            <w:gridSpan w:val="16"/>
          </w:tcPr>
          <w:p>
            <w:pPr>
              <w:spacing w:after="0"/>
              <w:rPr>
                <w:rFonts w:ascii="Times New Roman" w:cs="Times New Roman" w:eastAsia="Times New Roman" w:hAnsi="Times New Roman"/>
                <w:sz w:val="17"/>
                <w:szCs w:val="17"/>
                <w:color w:val="0000FF"/>
              </w:rPr>
            </w:pPr>
            <w:hyperlink r:id="rId241">
              <w:r>
                <w:rPr>
                  <w:rFonts w:ascii="Times New Roman" w:cs="Times New Roman" w:eastAsia="Times New Roman" w:hAnsi="Times New Roman"/>
                  <w:sz w:val="17"/>
                  <w:szCs w:val="17"/>
                  <w:color w:val="0000FF"/>
                </w:rPr>
                <w:t>Bylaws of The Carlyle Group Inc. (incorporated by reference to Exhibit 3.3 to the Registrant’</w:t>
              </w:r>
            </w:hyperlink>
            <w:hyperlink r:id="rId242">
              <w:r>
                <w:rPr>
                  <w:rFonts w:ascii="Times New Roman" w:cs="Times New Roman" w:eastAsia="Times New Roman" w:hAnsi="Times New Roman"/>
                  <w:sz w:val="17"/>
                  <w:szCs w:val="17"/>
                  <w:color w:val="0000FF"/>
                </w:rPr>
                <w:t>s Current Report on</w:t>
              </w:r>
            </w:hyperlink>
          </w:p>
        </w:tc>
      </w:tr>
      <w:tr>
        <w:trPr>
          <w:trHeight w:val="183"/>
        </w:trPr>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40" w:type="dxa"/>
            <w:vAlign w:val="bottom"/>
            <w:tcBorders>
              <w:bottom w:val="single" w:sz="8" w:color="0000FF"/>
            </w:tcBorders>
            <w:gridSpan w:val="3"/>
          </w:tcPr>
          <w:p>
            <w:pPr>
              <w:spacing w:after="0" w:line="183" w:lineRule="exact"/>
              <w:rPr>
                <w:rFonts w:ascii="Times New Roman" w:cs="Times New Roman" w:eastAsia="Times New Roman" w:hAnsi="Times New Roman"/>
                <w:sz w:val="17"/>
                <w:szCs w:val="17"/>
                <w:color w:val="0000FF"/>
              </w:rPr>
            </w:pPr>
            <w:hyperlink r:id="rId242">
              <w:r>
                <w:rPr>
                  <w:rFonts w:ascii="Times New Roman" w:cs="Times New Roman" w:eastAsia="Times New Roman" w:hAnsi="Times New Roman"/>
                  <w:sz w:val="17"/>
                  <w:szCs w:val="17"/>
                  <w:color w:val="0000FF"/>
                </w:rPr>
                <w:t>Form 8-K filed with the SEC on January 2, 2020).</w:t>
              </w:r>
            </w:hyperlink>
          </w:p>
        </w:tc>
        <w:tc>
          <w:tcPr>
            <w:tcW w:w="4360" w:type="dxa"/>
            <w:vAlign w:val="bottom"/>
            <w:gridSpan w:val="13"/>
          </w:tcPr>
          <w:p>
            <w:pPr>
              <w:spacing w:after="0"/>
              <w:rPr>
                <w:sz w:val="15"/>
                <w:szCs w:val="15"/>
                <w:color w:val="auto"/>
              </w:rPr>
            </w:pPr>
          </w:p>
        </w:tc>
      </w:tr>
      <w:tr>
        <w:trPr>
          <w:trHeight w:val="277"/>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tcPr>
          <w:p>
            <w:pPr>
              <w:spacing w:after="0"/>
              <w:rPr>
                <w:sz w:val="24"/>
                <w:szCs w:val="24"/>
                <w:color w:val="auto"/>
              </w:rPr>
            </w:pPr>
          </w:p>
        </w:tc>
        <w:tc>
          <w:tcPr>
            <w:tcW w:w="780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Form of Global Restricted Stock Unit Agreement for 2024 Time-Based Awards.</w:t>
            </w:r>
          </w:p>
        </w:tc>
      </w:tr>
      <w:tr>
        <w:trPr>
          <w:trHeight w:val="20"/>
        </w:trPr>
        <w:tc>
          <w:tcPr>
            <w:tcW w:w="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w:t>
            </w:r>
          </w:p>
        </w:tc>
        <w:tc>
          <w:tcPr>
            <w:tcW w:w="300" w:type="dxa"/>
            <w:vAlign w:val="bottom"/>
          </w:tcPr>
          <w:p>
            <w:pPr>
              <w:spacing w:after="0"/>
              <w:rPr>
                <w:sz w:val="24"/>
                <w:szCs w:val="24"/>
                <w:color w:val="auto"/>
              </w:rPr>
            </w:pPr>
          </w:p>
        </w:tc>
        <w:tc>
          <w:tcPr>
            <w:tcW w:w="57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w w:val="99"/>
              </w:rPr>
              <w:t>Form of Global Restricted Stock Unit Agreement for 2024 Bonus Deferral Awards.</w:t>
            </w:r>
          </w:p>
        </w:tc>
        <w:tc>
          <w:tcPr>
            <w:tcW w:w="2100" w:type="dxa"/>
            <w:vAlign w:val="bottom"/>
            <w:gridSpan w:val="6"/>
          </w:tcPr>
          <w:p>
            <w:pPr>
              <w:spacing w:after="0"/>
              <w:rPr>
                <w:sz w:val="24"/>
                <w:szCs w:val="24"/>
                <w:color w:val="auto"/>
              </w:rPr>
            </w:pPr>
          </w:p>
        </w:tc>
      </w:tr>
      <w:tr>
        <w:trPr>
          <w:trHeight w:val="304"/>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10.3*+</w:t>
            </w:r>
          </w:p>
        </w:tc>
        <w:tc>
          <w:tcPr>
            <w:tcW w:w="300" w:type="dxa"/>
            <w:vAlign w:val="bottom"/>
          </w:tcPr>
          <w:p>
            <w:pPr>
              <w:spacing w:after="0"/>
              <w:rPr>
                <w:sz w:val="24"/>
                <w:szCs w:val="24"/>
                <w:color w:val="auto"/>
              </w:rPr>
            </w:pPr>
          </w:p>
        </w:tc>
        <w:tc>
          <w:tcPr>
            <w:tcW w:w="75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Form of Global Performance-Based Restricted Stock Unit Agreement for 2024 Stock Price Appreciation PSU</w:t>
            </w:r>
          </w:p>
        </w:tc>
        <w:tc>
          <w:tcPr>
            <w:tcW w:w="240" w:type="dxa"/>
            <w:vAlign w:val="bottom"/>
          </w:tcPr>
          <w:p>
            <w:pPr>
              <w:spacing w:after="0"/>
              <w:rPr>
                <w:sz w:val="24"/>
                <w:szCs w:val="24"/>
                <w:color w:val="auto"/>
              </w:rPr>
            </w:pPr>
          </w:p>
        </w:tc>
      </w:tr>
      <w:tr>
        <w:trPr>
          <w:trHeight w:val="183"/>
        </w:trPr>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0" w:type="dxa"/>
            <w:vAlign w:val="bottom"/>
            <w:gridSpan w:val="16"/>
          </w:tcPr>
          <w:p>
            <w:pPr>
              <w:spacing w:after="0" w:line="183" w:lineRule="exact"/>
              <w:rPr>
                <w:sz w:val="20"/>
                <w:szCs w:val="20"/>
                <w:color w:val="auto"/>
              </w:rPr>
            </w:pPr>
            <w:r>
              <w:rPr>
                <w:rFonts w:ascii="Times New Roman" w:cs="Times New Roman" w:eastAsia="Times New Roman" w:hAnsi="Times New Roman"/>
                <w:sz w:val="17"/>
                <w:szCs w:val="17"/>
                <w:color w:val="0000FF"/>
              </w:rPr>
              <w:t>Award Program Awards.</w:t>
            </w:r>
          </w:p>
        </w:tc>
      </w:tr>
      <w:tr>
        <w:trPr>
          <w:trHeight w:val="20"/>
        </w:trPr>
        <w:tc>
          <w:tcPr>
            <w:tcW w:w="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277"/>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22*</w:t>
            </w:r>
          </w:p>
        </w:tc>
        <w:tc>
          <w:tcPr>
            <w:tcW w:w="300" w:type="dxa"/>
            <w:vAlign w:val="bottom"/>
          </w:tcPr>
          <w:p>
            <w:pPr>
              <w:spacing w:after="0"/>
              <w:rPr>
                <w:sz w:val="24"/>
                <w:szCs w:val="24"/>
                <w:color w:val="auto"/>
              </w:rPr>
            </w:pPr>
          </w:p>
        </w:tc>
        <w:tc>
          <w:tcPr>
            <w:tcW w:w="780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Senior and Subordinated Notes, Issuers and Guarantors.</w:t>
            </w:r>
          </w:p>
        </w:tc>
      </w:tr>
      <w:tr>
        <w:trPr>
          <w:trHeight w:val="20"/>
        </w:trPr>
        <w:tc>
          <w:tcPr>
            <w:tcW w:w="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291"/>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31.1*</w:t>
            </w:r>
          </w:p>
        </w:tc>
        <w:tc>
          <w:tcPr>
            <w:tcW w:w="300" w:type="dxa"/>
            <w:vAlign w:val="bottom"/>
          </w:tcPr>
          <w:p>
            <w:pPr>
              <w:spacing w:after="0"/>
              <w:rPr>
                <w:sz w:val="24"/>
                <w:szCs w:val="24"/>
                <w:color w:val="auto"/>
              </w:rPr>
            </w:pPr>
          </w:p>
        </w:tc>
        <w:tc>
          <w:tcPr>
            <w:tcW w:w="780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Certification of the principal executive officer pursuant to Rule 13a – 14(a).</w:t>
            </w:r>
          </w:p>
        </w:tc>
      </w:tr>
      <w:tr>
        <w:trPr>
          <w:trHeight w:val="318"/>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31.2*</w:t>
            </w:r>
          </w:p>
        </w:tc>
        <w:tc>
          <w:tcPr>
            <w:tcW w:w="300" w:type="dxa"/>
            <w:vAlign w:val="bottom"/>
          </w:tcPr>
          <w:p>
            <w:pPr>
              <w:spacing w:after="0"/>
              <w:rPr>
                <w:sz w:val="24"/>
                <w:szCs w:val="24"/>
                <w:color w:val="auto"/>
              </w:rPr>
            </w:pPr>
          </w:p>
        </w:tc>
        <w:tc>
          <w:tcPr>
            <w:tcW w:w="51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Certification of the principal financial officer pursuant to Rule 13a – 14(a).</w:t>
            </w:r>
          </w:p>
        </w:tc>
        <w:tc>
          <w:tcPr>
            <w:tcW w:w="2620" w:type="dxa"/>
            <w:vAlign w:val="bottom"/>
            <w:gridSpan w:val="8"/>
          </w:tcPr>
          <w:p>
            <w:pPr>
              <w:spacing w:after="0"/>
              <w:rPr>
                <w:sz w:val="24"/>
                <w:szCs w:val="24"/>
                <w:color w:val="auto"/>
              </w:rPr>
            </w:pPr>
          </w:p>
        </w:tc>
      </w:tr>
      <w:tr>
        <w:trPr>
          <w:trHeight w:val="20"/>
        </w:trPr>
        <w:tc>
          <w:tcPr>
            <w:tcW w:w="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r>
      <w:tr>
        <w:trPr>
          <w:trHeight w:val="317"/>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32.1**</w:t>
            </w:r>
          </w:p>
        </w:tc>
        <w:tc>
          <w:tcPr>
            <w:tcW w:w="300" w:type="dxa"/>
            <w:vAlign w:val="bottom"/>
          </w:tcPr>
          <w:p>
            <w:pPr>
              <w:spacing w:after="0"/>
              <w:rPr>
                <w:sz w:val="24"/>
                <w:szCs w:val="24"/>
                <w:color w:val="auto"/>
              </w:rPr>
            </w:pPr>
          </w:p>
        </w:tc>
        <w:tc>
          <w:tcPr>
            <w:tcW w:w="72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Certification of the principal executive officer pursuant to 18 U.S.C. Section 1350, as adopted pursuant to</w:t>
            </w:r>
          </w:p>
        </w:tc>
        <w:tc>
          <w:tcPr>
            <w:tcW w:w="540" w:type="dxa"/>
            <w:vAlign w:val="bottom"/>
            <w:gridSpan w:val="3"/>
          </w:tcPr>
          <w:p>
            <w:pPr>
              <w:spacing w:after="0"/>
              <w:rPr>
                <w:sz w:val="24"/>
                <w:szCs w:val="24"/>
                <w:color w:val="auto"/>
              </w:rPr>
            </w:pPr>
          </w:p>
        </w:tc>
      </w:tr>
      <w:tr>
        <w:trPr>
          <w:trHeight w:val="183"/>
        </w:trPr>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0" w:type="dxa"/>
            <w:vAlign w:val="bottom"/>
            <w:gridSpan w:val="16"/>
          </w:tcPr>
          <w:p>
            <w:pPr>
              <w:spacing w:after="0" w:line="183" w:lineRule="exact"/>
              <w:rPr>
                <w:sz w:val="20"/>
                <w:szCs w:val="20"/>
                <w:color w:val="auto"/>
              </w:rPr>
            </w:pPr>
            <w:r>
              <w:rPr>
                <w:rFonts w:ascii="Times New Roman" w:cs="Times New Roman" w:eastAsia="Times New Roman" w:hAnsi="Times New Roman"/>
                <w:sz w:val="17"/>
                <w:szCs w:val="17"/>
                <w:color w:val="0000FF"/>
              </w:rPr>
              <w:t>Section 906 of the Sarbanes-Oxley Act of 2002.</w:t>
            </w:r>
          </w:p>
        </w:tc>
      </w:tr>
      <w:tr>
        <w:trPr>
          <w:trHeight w:val="20"/>
        </w:trPr>
        <w:tc>
          <w:tcPr>
            <w:tcW w:w="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3940" w:type="dxa"/>
            <w:vAlign w:val="bottom"/>
            <w:gridSpan w:val="1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r>
      <w:tr>
        <w:trPr>
          <w:trHeight w:val="291"/>
        </w:trPr>
        <w:tc>
          <w:tcPr>
            <w:tcW w:w="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32.2**</w:t>
            </w:r>
          </w:p>
        </w:tc>
        <w:tc>
          <w:tcPr>
            <w:tcW w:w="300" w:type="dxa"/>
            <w:vAlign w:val="bottom"/>
          </w:tcPr>
          <w:p>
            <w:pPr>
              <w:spacing w:after="0"/>
              <w:rPr>
                <w:sz w:val="24"/>
                <w:szCs w:val="24"/>
                <w:color w:val="auto"/>
              </w:rPr>
            </w:pPr>
          </w:p>
        </w:tc>
        <w:tc>
          <w:tcPr>
            <w:tcW w:w="72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Certification of the principal financial officer pursuant to 18 U.S.C. Section 1350, as adopted pursuant to</w:t>
            </w:r>
          </w:p>
        </w:tc>
        <w:tc>
          <w:tcPr>
            <w:tcW w:w="580" w:type="dxa"/>
            <w:vAlign w:val="bottom"/>
            <w:gridSpan w:val="4"/>
          </w:tcPr>
          <w:p>
            <w:pPr>
              <w:spacing w:after="0"/>
              <w:rPr>
                <w:sz w:val="24"/>
                <w:szCs w:val="24"/>
                <w:color w:val="auto"/>
              </w:rPr>
            </w:pPr>
          </w:p>
        </w:tc>
      </w:tr>
      <w:tr>
        <w:trPr>
          <w:trHeight w:val="183"/>
        </w:trPr>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0" w:type="dxa"/>
            <w:vAlign w:val="bottom"/>
            <w:gridSpan w:val="16"/>
          </w:tcPr>
          <w:p>
            <w:pPr>
              <w:spacing w:after="0" w:line="183" w:lineRule="exact"/>
              <w:rPr>
                <w:sz w:val="20"/>
                <w:szCs w:val="20"/>
                <w:color w:val="auto"/>
              </w:rPr>
            </w:pPr>
            <w:r>
              <w:rPr>
                <w:rFonts w:ascii="Times New Roman" w:cs="Times New Roman" w:eastAsia="Times New Roman" w:hAnsi="Times New Roman"/>
                <w:sz w:val="17"/>
                <w:szCs w:val="17"/>
                <w:color w:val="0000FF"/>
              </w:rPr>
              <w:t>Section 906 of the Sarbanes-Oxley Act of 2002.</w:t>
            </w:r>
          </w:p>
        </w:tc>
      </w:tr>
      <w:tr>
        <w:trPr>
          <w:trHeight w:val="20"/>
        </w:trPr>
        <w:tc>
          <w:tcPr>
            <w:tcW w:w="1220" w:type="dxa"/>
            <w:vAlign w:val="bottom"/>
            <w:gridSpan w:val="3"/>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4520" w:type="dxa"/>
            <w:vAlign w:val="bottom"/>
            <w:gridSpan w:val="14"/>
          </w:tcPr>
          <w:p>
            <w:pPr>
              <w:spacing w:after="0" w:line="20" w:lineRule="exact"/>
              <w:rPr>
                <w:sz w:val="1"/>
                <w:szCs w:val="1"/>
                <w:color w:val="auto"/>
              </w:rPr>
            </w:pPr>
          </w:p>
        </w:tc>
      </w:tr>
      <w:tr>
        <w:trPr>
          <w:trHeight w:val="309"/>
        </w:trPr>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101.INS</w:t>
            </w:r>
          </w:p>
        </w:tc>
        <w:tc>
          <w:tcPr>
            <w:tcW w:w="78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w:t>
            </w:r>
          </w:p>
        </w:tc>
      </w:tr>
      <w:tr>
        <w:trPr>
          <w:trHeight w:val="222"/>
        </w:trPr>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XBRL tags are embedded within the Inline XBRL document.</w:t>
            </w:r>
          </w:p>
        </w:tc>
      </w:tr>
      <w:tr>
        <w:trPr>
          <w:trHeight w:val="297"/>
        </w:trPr>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101.SCH</w:t>
            </w:r>
          </w:p>
        </w:tc>
        <w:tc>
          <w:tcPr>
            <w:tcW w:w="78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338"/>
        </w:trPr>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101.CAL</w:t>
            </w:r>
          </w:p>
        </w:tc>
        <w:tc>
          <w:tcPr>
            <w:tcW w:w="78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338"/>
        </w:trPr>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101.DEF</w:t>
            </w:r>
          </w:p>
        </w:tc>
        <w:tc>
          <w:tcPr>
            <w:tcW w:w="78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338"/>
        </w:trPr>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101.LAB</w:t>
            </w:r>
          </w:p>
        </w:tc>
        <w:tc>
          <w:tcPr>
            <w:tcW w:w="78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Labels Linkbase Document.</w:t>
            </w:r>
          </w:p>
        </w:tc>
      </w:tr>
      <w:tr>
        <w:trPr>
          <w:trHeight w:val="338"/>
        </w:trPr>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101.PRE</w:t>
            </w:r>
          </w:p>
        </w:tc>
        <w:tc>
          <w:tcPr>
            <w:tcW w:w="78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spacing w:after="0" w:line="115" w:lineRule="exact"/>
        <w:rPr>
          <w:sz w:val="20"/>
          <w:szCs w:val="20"/>
          <w:color w:val="auto"/>
        </w:rPr>
      </w:pPr>
    </w:p>
    <w:p>
      <w:pPr>
        <w:ind w:left="1280" w:right="219" w:hanging="1226"/>
        <w:spacing w:after="0" w:line="281" w:lineRule="auto"/>
        <w:tabs>
          <w:tab w:leader="none" w:pos="12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The Carlyle Group Inc.’s Quarterly Report on Form 10-Q for the quarter ended March 31, 2024, formatted in Inline XBRL (included within the Exhibit 101 attachments).</w:t>
      </w:r>
    </w:p>
    <w:p>
      <w:pPr>
        <w:spacing w:after="0" w:line="190" w:lineRule="exact"/>
        <w:rPr>
          <w:sz w:val="20"/>
          <w:szCs w:val="20"/>
          <w:color w:val="auto"/>
        </w:rPr>
      </w:pPr>
    </w:p>
    <w:p>
      <w:pPr>
        <w:ind w:left="420" w:hanging="366"/>
        <w:spacing w:after="0"/>
        <w:tabs>
          <w:tab w:leader="none" w:pos="4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61" w:lineRule="exact"/>
        <w:rPr>
          <w:sz w:val="20"/>
          <w:szCs w:val="20"/>
          <w:color w:val="auto"/>
        </w:rPr>
      </w:pPr>
    </w:p>
    <w:p>
      <w:pPr>
        <w:ind w:left="420" w:hanging="366"/>
        <w:spacing w:after="0"/>
        <w:tabs>
          <w:tab w:leader="none" w:pos="4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61" w:lineRule="exact"/>
        <w:rPr>
          <w:sz w:val="20"/>
          <w:szCs w:val="20"/>
          <w:color w:val="auto"/>
        </w:rPr>
      </w:pPr>
    </w:p>
    <w:p>
      <w:pPr>
        <w:ind w:left="420" w:right="639" w:hanging="366"/>
        <w:spacing w:after="0" w:line="281" w:lineRule="auto"/>
        <w:tabs>
          <w:tab w:leader="none" w:pos="4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plan or arrangement in which directors and/or executive officers are eligible to participate.</w:t>
      </w:r>
    </w:p>
    <w:p>
      <w:pPr>
        <w:spacing w:after="0" w:line="221" w:lineRule="exact"/>
        <w:rPr>
          <w:sz w:val="20"/>
          <w:szCs w:val="20"/>
          <w:color w:val="auto"/>
        </w:rPr>
      </w:pPr>
    </w:p>
    <w:p>
      <w:pPr>
        <w:ind w:right="19" w:firstLine="445"/>
        <w:spacing w:after="0" w:line="258"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ectPr>
          <w:pgSz w:w="11900" w:h="16838" w:orient="portrait"/>
          <w:cols w:equalWidth="0" w:num="1">
            <w:col w:w="9139"/>
          </w:cols>
          <w:pgMar w:left="1320" w:top="1215" w:right="1440" w:bottom="4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367030</wp:posOffset>
            </wp:positionV>
            <wp:extent cx="7016115" cy="1790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016115" cy="179070"/>
                    </a:xfrm>
                    <a:prstGeom prst="rect">
                      <a:avLst/>
                    </a:prstGeom>
                    <a:noFill/>
                  </pic:spPr>
                </pic:pic>
              </a:graphicData>
            </a:graphic>
          </wp:anchor>
        </w:drawing>
      </w:r>
    </w:p>
    <w:p>
      <w:pPr>
        <w:sectPr>
          <w:pgSz w:w="11900" w:h="16838" w:orient="portrait"/>
          <w:cols w:equalWidth="0" w:num="1">
            <w:col w:w="9139"/>
          </w:cols>
          <w:pgMar w:left="1320" w:top="1215" w:right="1440" w:bottom="434"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-110490</wp:posOffset>
            </wp:positionV>
            <wp:extent cx="7016115" cy="88830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016115" cy="8883015"/>
                    </a:xfrm>
                    <a:prstGeom prst="rect">
                      <a:avLst/>
                    </a:prstGeom>
                    <a:noFill/>
                  </pic:spPr>
                </pic:pic>
              </a:graphicData>
            </a:graphic>
          </wp:anchor>
        </w:drawing>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right="44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596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The Carlyle Group Inc.</w:t>
            </w:r>
          </w:p>
        </w:tc>
      </w:tr>
      <w:tr>
        <w:trPr>
          <w:trHeight w:val="54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2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3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C. Redett</w:t>
            </w:r>
          </w:p>
        </w:tc>
      </w:tr>
      <w:tr>
        <w:trPr>
          <w:trHeight w:val="263"/>
        </w:trPr>
        <w:tc>
          <w:tcPr>
            <w:tcW w:w="3200" w:type="dxa"/>
            <w:vAlign w:val="bottom"/>
          </w:tcPr>
          <w:p>
            <w:pPr>
              <w:spacing w:after="0"/>
              <w:rPr>
                <w:sz w:val="22"/>
                <w:szCs w:val="22"/>
                <w:color w:val="auto"/>
              </w:rPr>
            </w:pPr>
          </w:p>
        </w:tc>
        <w:tc>
          <w:tcPr>
            <w:tcW w:w="2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Name:</w:t>
            </w:r>
          </w:p>
        </w:tc>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John C. Redett</w:t>
            </w:r>
          </w:p>
        </w:tc>
      </w:tr>
      <w:tr>
        <w:trPr>
          <w:trHeight w:val="270"/>
        </w:trPr>
        <w:tc>
          <w:tcPr>
            <w:tcW w:w="3200" w:type="dxa"/>
            <w:vAlign w:val="bottom"/>
          </w:tcPr>
          <w:p>
            <w:pPr>
              <w:spacing w:after="0"/>
              <w:rPr>
                <w:sz w:val="23"/>
                <w:szCs w:val="23"/>
                <w:color w:val="auto"/>
              </w:rPr>
            </w:pPr>
          </w:p>
        </w:tc>
        <w:tc>
          <w:tcPr>
            <w:tcW w:w="2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2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2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tc>
      </w:tr>
      <w:tr>
        <w:trPr>
          <w:trHeight w:val="236"/>
        </w:trPr>
        <w:tc>
          <w:tcPr>
            <w:tcW w:w="32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2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Authorized Officer)</w:t>
            </w:r>
          </w:p>
        </w:tc>
      </w:tr>
    </w:tbl>
    <w:p>
      <w:pPr>
        <w:spacing w:after="0" w:line="200" w:lineRule="exact"/>
        <w:rPr>
          <w:sz w:val="20"/>
          <w:szCs w:val="20"/>
          <w:color w:val="auto"/>
        </w:rPr>
      </w:pPr>
    </w:p>
    <w:p>
      <w:pPr>
        <w:sectPr>
          <w:pgSz w:w="11900" w:h="16838" w:orient="portrait"/>
          <w:cols w:equalWidth="0" w:num="1">
            <w:col w:w="9220"/>
          </w:cols>
          <w:pgMar w:left="1320" w:top="108"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9220"/>
          </w:cols>
          <w:pgMar w:left="1320" w:top="108" w:right="1359" w:bottom="1440" w:gutter="0" w:footer="0" w:header="0"/>
          <w:type w:val="continuous"/>
        </w:sectPr>
      </w:pPr>
    </w:p>
    <w:bookmarkStart w:id="108" w:name="page109"/>
    <w:bookmarkEnd w:id="108"/>
    <w:p>
      <w:pPr>
        <w:jc w:val="right"/>
        <w:ind w:right="29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w:t>
      </w: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The Carlyle Group Inc. 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2012 Equity Incentive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Global Restricted Stock Unit Agreement</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i w:val="1"/>
          <w:iCs w:val="1"/>
          <w:color w:val="auto"/>
        </w:rPr>
        <w:t>Participant:</w:t>
      </w:r>
    </w:p>
    <w:p>
      <w:pPr>
        <w:ind w:left="4100"/>
        <w:spacing w:after="0"/>
        <w:rPr>
          <w:sz w:val="20"/>
          <w:szCs w:val="20"/>
          <w:color w:val="auto"/>
        </w:rPr>
      </w:pPr>
      <w:r>
        <w:rPr>
          <w:rFonts w:ascii="Times New Roman" w:cs="Times New Roman" w:eastAsia="Times New Roman" w:hAnsi="Times New Roman"/>
          <w:sz w:val="22"/>
          <w:szCs w:val="22"/>
          <w:i w:val="1"/>
          <w:iCs w:val="1"/>
          <w:color w:val="auto"/>
        </w:rPr>
        <w:t>Date of Grant:</w:t>
      </w:r>
    </w:p>
    <w:p>
      <w:pPr>
        <w:spacing w:after="0" w:line="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i w:val="1"/>
          <w:iCs w:val="1"/>
          <w:color w:val="auto"/>
        </w:rPr>
        <w:t>Number of RSUs:</w:t>
      </w:r>
    </w:p>
    <w:p>
      <w:pPr>
        <w:spacing w:after="0" w:line="200" w:lineRule="exact"/>
        <w:rPr>
          <w:sz w:val="20"/>
          <w:szCs w:val="20"/>
          <w:color w:val="auto"/>
        </w:rPr>
      </w:pPr>
    </w:p>
    <w:p>
      <w:pPr>
        <w:spacing w:after="0" w:line="264" w:lineRule="exact"/>
        <w:rPr>
          <w:sz w:val="20"/>
          <w:szCs w:val="20"/>
          <w:color w:val="auto"/>
        </w:rPr>
      </w:pPr>
    </w:p>
    <w:p>
      <w:pPr>
        <w:ind w:left="300" w:right="339" w:firstLine="652"/>
        <w:spacing w:after="0" w:line="249" w:lineRule="auto"/>
        <w:tabs>
          <w:tab w:leader="none" w:pos="160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RSUs</w:t>
      </w:r>
      <w:r>
        <w:rPr>
          <w:rFonts w:ascii="Times New Roman" w:cs="Times New Roman" w:eastAsia="Times New Roman" w:hAnsi="Times New Roman"/>
          <w:sz w:val="22"/>
          <w:szCs w:val="22"/>
          <w:color w:val="auto"/>
        </w:rPr>
        <w:t>. The Carlyle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the number of restricted stock units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listed above to the Participant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effective as of [___]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on the terms and conditions hereinafter set forth in this agreement including any Appendix hereto, which includes any applicable country-specific provisions (collectively,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This grant is made pursuant to the terms of The Carlyle Group Inc. Amended and Restated 2012 Equity Incentive Plan (as amended, modified or supplemented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 and made a part of this Award Agreement. Each RSU represents the unfunded, unsecured right of the Participant to receive a Share on the delivery date(s) specified in Section 4 hereof.</w:t>
      </w:r>
    </w:p>
    <w:p>
      <w:pPr>
        <w:spacing w:after="0" w:line="183" w:lineRule="exact"/>
        <w:rPr>
          <w:rFonts w:ascii="Times New Roman" w:cs="Times New Roman" w:eastAsia="Times New Roman" w:hAnsi="Times New Roman"/>
          <w:sz w:val="22"/>
          <w:szCs w:val="22"/>
          <w:color w:val="auto"/>
        </w:rPr>
      </w:pPr>
    </w:p>
    <w:p>
      <w:pPr>
        <w:ind w:left="300" w:right="499" w:firstLine="659"/>
        <w:spacing w:after="0" w:line="284" w:lineRule="auto"/>
        <w:tabs>
          <w:tab w:leader="none" w:pos="161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not otherwise defined herein shall have the same meanings as in the Plan.</w:t>
      </w:r>
    </w:p>
    <w:p>
      <w:pPr>
        <w:spacing w:after="0" w:line="144" w:lineRule="exact"/>
        <w:rPr>
          <w:sz w:val="20"/>
          <w:szCs w:val="20"/>
          <w:color w:val="auto"/>
        </w:rPr>
      </w:pPr>
    </w:p>
    <w:p>
      <w:pPr>
        <w:ind w:left="960" w:right="319" w:firstLine="616"/>
        <w:spacing w:after="0" w:line="259"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mean the determination by the Administrator in its sole discretion that the Participant has (i) engaged in gross negligence or willful misconduct in the performance of the Participant’s duties, (ii) willfully engaged in conduct that the Participant knows or, based on facts known to the Participant, should know is materially injurious to the Company or any of its Affiliates, (iii) materially breached any material provision of the Participant’s employment agreement or offer letter with the Company or its Affiliates, (iv) breached any Restrictive Covenant Agreement or any other restrictive covenant obligation owed by the Participant to the Company or any of its Affiliates, including, but not limited to, any restrictions relating to the Participant’s non-competition, non-solicitation, non-disparagement and/or non-disclosure of confidential or proprietary information, (v) engaged in fraud or other conduct in bad faith that contributed to a financial restatement or irregularity, (vi) been convicted of, or entered a plea bargain or settlement admitting guilt for, fraud, embezzlement, or any other felony under the laws of the United States or of any state or the District of Columbia or any other country or any jurisdiction of any other country (but specifically excluding felonies involving a traffic violation), (vii) been the subject of any order, judicial or administrative, obtained or issued by the U.S. Securities and Exchange Commission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or similar agency or tribunal of any country, for any securities violation involving insider trading, fraud, misappropriation, dishonesty or willful misconduct (including, for example, any such order consented to by the Participant in which findings of facts or any legal conclusions establishing liability are neither admitted nor denied), or (viii) discussed the Company’s (or its Affiliates’) fundraising efforts, or the name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22"/>
          <w:szCs w:val="22"/>
          <w:color w:val="auto"/>
        </w:rPr>
        <w:t>2</w:t>
      </w:r>
    </w:p>
    <w:p>
      <w:pPr>
        <w:spacing w:after="0" w:line="395" w:lineRule="exact"/>
        <w:rPr>
          <w:sz w:val="20"/>
          <w:szCs w:val="20"/>
          <w:color w:val="auto"/>
        </w:rPr>
      </w:pPr>
    </w:p>
    <w:p>
      <w:pPr>
        <w:ind w:left="960" w:right="1219"/>
        <w:spacing w:after="0" w:line="271" w:lineRule="auto"/>
        <w:rPr>
          <w:sz w:val="20"/>
          <w:szCs w:val="20"/>
          <w:color w:val="auto"/>
        </w:rPr>
      </w:pPr>
      <w:r>
        <w:rPr>
          <w:rFonts w:ascii="Times New Roman" w:cs="Times New Roman" w:eastAsia="Times New Roman" w:hAnsi="Times New Roman"/>
          <w:sz w:val="22"/>
          <w:szCs w:val="22"/>
          <w:color w:val="auto"/>
        </w:rPr>
        <w:t>fund vehicle that has not had a final closing of commitments, to any reporter or representative of any press or other public media.</w:t>
      </w:r>
    </w:p>
    <w:p>
      <w:pPr>
        <w:sectPr>
          <w:pgSz w:w="11900" w:h="16838" w:orient="portrait"/>
          <w:cols w:equalWidth="0" w:num="1">
            <w:col w:w="9019"/>
          </w:cols>
          <w:pgMar w:left="1440" w:top="729" w:right="1440" w:bottom="0" w:gutter="0" w:footer="0" w:header="0"/>
        </w:sectPr>
      </w:pPr>
    </w:p>
    <w:bookmarkStart w:id="109" w:name="page110"/>
    <w:bookmarkEnd w:id="109"/>
    <w:p>
      <w:pPr>
        <w:spacing w:after="0" w:line="64" w:lineRule="exact"/>
        <w:rPr>
          <w:sz w:val="20"/>
          <w:szCs w:val="20"/>
          <w:color w:val="auto"/>
        </w:rPr>
      </w:pPr>
    </w:p>
    <w:p>
      <w:pPr>
        <w:ind w:left="960" w:right="339" w:firstLine="616"/>
        <w:spacing w:after="0" w:line="213" w:lineRule="auto"/>
        <w:rPr>
          <w:sz w:val="20"/>
          <w:szCs w:val="20"/>
          <w:color w:val="auto"/>
        </w:rPr>
      </w:pPr>
      <w:r>
        <w:rPr>
          <w:rFonts w:ascii="Times New Roman" w:cs="Times New Roman" w:eastAsia="Times New Roman" w:hAnsi="Times New Roman"/>
          <w:sz w:val="21"/>
          <w:szCs w:val="21"/>
          <w:color w:val="auto"/>
        </w:rPr>
        <w:t>(b)“</w:t>
      </w:r>
      <w:r>
        <w:rPr>
          <w:rFonts w:ascii="Times New Roman" w:cs="Times New Roman" w:eastAsia="Times New Roman" w:hAnsi="Times New Roman"/>
          <w:sz w:val="21"/>
          <w:szCs w:val="21"/>
          <w:u w:val="single" w:color="auto"/>
          <w:color w:val="auto"/>
        </w:rPr>
        <w:t>Detrimental Activity</w:t>
      </w:r>
      <w:r>
        <w:rPr>
          <w:rFonts w:ascii="Times New Roman" w:cs="Times New Roman" w:eastAsia="Times New Roman" w:hAnsi="Times New Roman"/>
          <w:sz w:val="21"/>
          <w:szCs w:val="21"/>
          <w:color w:val="auto"/>
        </w:rPr>
        <w:t>” shall mean any of the following: (i) a termination of the Participant’s Service for Cause or the Participant engaging in any activity that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-228600</wp:posOffset>
            </wp:positionV>
            <wp:extent cx="7132320" cy="105156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960" w:right="359"/>
        <w:spacing w:after="0" w:line="246" w:lineRule="auto"/>
        <w:rPr>
          <w:sz w:val="20"/>
          <w:szCs w:val="20"/>
          <w:color w:val="auto"/>
        </w:rPr>
      </w:pPr>
      <w:r>
        <w:rPr>
          <w:rFonts w:ascii="Times New Roman" w:cs="Times New Roman" w:eastAsia="Times New Roman" w:hAnsi="Times New Roman"/>
          <w:sz w:val="22"/>
          <w:szCs w:val="22"/>
          <w:color w:val="auto"/>
        </w:rPr>
        <w:t>grounds to terminate the Participant’s Service for Cause (whether or not any termination of the Participant’s Service occurs); or (ii) a breach of any Restrictive Covenant Agreement or any other restrictive covenant obligation owed by the Participant to the Company or any of its Affiliates, including, but not limited to, any restrictions relating to the Participant’s non-competition, non-solicitation, non-disparagement and/or non-disclosure of confidential or proprietary information.</w:t>
      </w:r>
    </w:p>
    <w:p>
      <w:pPr>
        <w:spacing w:after="0" w:line="189" w:lineRule="exact"/>
        <w:rPr>
          <w:sz w:val="20"/>
          <w:szCs w:val="20"/>
          <w:color w:val="auto"/>
        </w:rPr>
      </w:pPr>
    </w:p>
    <w:p>
      <w:pPr>
        <w:ind w:left="960" w:right="799" w:firstLine="614"/>
        <w:spacing w:after="0" w:line="271" w:lineRule="auto"/>
        <w:tabs>
          <w:tab w:leader="none" w:pos="189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Qualifying Event</w:t>
      </w:r>
      <w:r>
        <w:rPr>
          <w:rFonts w:ascii="Times New Roman" w:cs="Times New Roman" w:eastAsia="Times New Roman" w:hAnsi="Times New Roman"/>
          <w:sz w:val="22"/>
          <w:szCs w:val="22"/>
          <w:color w:val="auto"/>
        </w:rPr>
        <w:t>” shall mean, during the Participant’s Services with the Company and its Affiliates, the Participant’s death or Disability.</w:t>
      </w:r>
    </w:p>
    <w:p>
      <w:pPr>
        <w:spacing w:after="0" w:line="158" w:lineRule="exact"/>
        <w:rPr>
          <w:sz w:val="20"/>
          <w:szCs w:val="20"/>
          <w:color w:val="auto"/>
        </w:rPr>
      </w:pPr>
    </w:p>
    <w:p>
      <w:pPr>
        <w:ind w:left="960" w:right="299" w:firstLine="616"/>
        <w:spacing w:after="0" w:line="252"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Restrictive Covenant Agreement</w:t>
      </w:r>
      <w:r>
        <w:rPr>
          <w:rFonts w:ascii="Times New Roman" w:cs="Times New Roman" w:eastAsia="Times New Roman" w:hAnsi="Times New Roman"/>
          <w:sz w:val="22"/>
          <w:szCs w:val="22"/>
          <w:color w:val="auto"/>
        </w:rPr>
        <w:t>” shall mean any agreement (including, without limitation, this Award Agreement), and any attachments or schedules thereto, entered into by and between the Participant and the Company or its Affiliates, pursuant to which the Participant has agreed, among other things, to certain restrictions relating to non-competition (if applicable), non-solicitation, non-disparagement and/or non-disclosure of confidential or proprietary information, in order to protect the business of the Company and its Affiliates.</w:t>
      </w:r>
    </w:p>
    <w:p>
      <w:pPr>
        <w:spacing w:after="0" w:line="179" w:lineRule="exact"/>
        <w:rPr>
          <w:sz w:val="20"/>
          <w:szCs w:val="20"/>
          <w:color w:val="auto"/>
        </w:rPr>
      </w:pPr>
    </w:p>
    <w:p>
      <w:pPr>
        <w:ind w:left="960" w:right="339" w:firstLine="614"/>
        <w:spacing w:after="0" w:line="271" w:lineRule="auto"/>
        <w:tabs>
          <w:tab w:leader="none" w:pos="1895"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Vested RSUs</w:t>
      </w:r>
      <w:r>
        <w:rPr>
          <w:rFonts w:ascii="Times New Roman" w:cs="Times New Roman" w:eastAsia="Times New Roman" w:hAnsi="Times New Roman"/>
          <w:sz w:val="22"/>
          <w:szCs w:val="22"/>
          <w:color w:val="auto"/>
        </w:rPr>
        <w:t xml:space="preserve"> ” shall mean those RSUs which have become vested pursuant to Section 3 or otherwise pursuant to the Plan or this Award Agreement.</w:t>
      </w:r>
    </w:p>
    <w:p>
      <w:pPr>
        <w:spacing w:after="0" w:line="157" w:lineRule="exact"/>
        <w:rPr>
          <w:rFonts w:ascii="Times New Roman" w:cs="Times New Roman" w:eastAsia="Times New Roman" w:hAnsi="Times New Roman"/>
          <w:sz w:val="22"/>
          <w:szCs w:val="22"/>
          <w:color w:val="auto"/>
        </w:rPr>
      </w:pPr>
    </w:p>
    <w:p>
      <w:pPr>
        <w:ind w:left="1840" w:hanging="266"/>
        <w:spacing w:after="0"/>
        <w:tabs>
          <w:tab w:leader="none" w:pos="184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Vesting Dates</w:t>
      </w:r>
      <w:r>
        <w:rPr>
          <w:rFonts w:ascii="Times New Roman" w:cs="Times New Roman" w:eastAsia="Times New Roman" w:hAnsi="Times New Roman"/>
          <w:sz w:val="22"/>
          <w:szCs w:val="22"/>
          <w:color w:val="auto"/>
        </w:rPr>
        <w:t xml:space="preserve"> ” shall mean each of the vesting dates set forth in Section 4(a)</w:t>
      </w:r>
    </w:p>
    <w:p>
      <w:pPr>
        <w:spacing w:after="0" w:line="27"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hereof.</w:t>
      </w:r>
    </w:p>
    <w:p>
      <w:pPr>
        <w:spacing w:after="0" w:line="209" w:lineRule="exact"/>
        <w:rPr>
          <w:rFonts w:ascii="Times New Roman" w:cs="Times New Roman" w:eastAsia="Times New Roman" w:hAnsi="Times New Roman"/>
          <w:sz w:val="22"/>
          <w:szCs w:val="22"/>
          <w:color w:val="auto"/>
        </w:rPr>
      </w:pPr>
    </w:p>
    <w:p>
      <w:pPr>
        <w:ind w:left="1600" w:hanging="648"/>
        <w:spacing w:after="0"/>
        <w:tabs>
          <w:tab w:leader="none" w:pos="16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w:t>
      </w:r>
    </w:p>
    <w:p>
      <w:pPr>
        <w:spacing w:after="0" w:line="215" w:lineRule="exact"/>
        <w:rPr>
          <w:rFonts w:ascii="Times New Roman" w:cs="Times New Roman" w:eastAsia="Times New Roman" w:hAnsi="Times New Roman"/>
          <w:sz w:val="22"/>
          <w:szCs w:val="22"/>
          <w:color w:val="auto"/>
        </w:rPr>
      </w:pPr>
    </w:p>
    <w:p>
      <w:pPr>
        <w:ind w:left="960" w:right="679" w:firstLine="614"/>
        <w:spacing w:after="0" w:line="259" w:lineRule="auto"/>
        <w:tabs>
          <w:tab w:leader="none" w:pos="1841"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Vesting – General. </w:t>
      </w:r>
      <w:r>
        <w:rPr>
          <w:rFonts w:ascii="Times New Roman" w:cs="Times New Roman" w:eastAsia="Times New Roman" w:hAnsi="Times New Roman"/>
          <w:sz w:val="22"/>
          <w:szCs w:val="22"/>
          <w:color w:val="auto"/>
        </w:rPr>
        <w:t>Subject to the Participant’s continued Services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and its Affiliates, the Award shall vest on the applicable Vesting Dates as follows:</w:t>
      </w:r>
    </w:p>
    <w:p>
      <w:pPr>
        <w:spacing w:after="0" w:line="170" w:lineRule="exact"/>
        <w:rPr>
          <w:sz w:val="20"/>
          <w:szCs w:val="20"/>
          <w:color w:val="auto"/>
        </w:rPr>
      </w:pPr>
    </w:p>
    <w:p>
      <w:pPr>
        <w:ind w:left="1580" w:right="739" w:firstLine="966"/>
        <w:spacing w:after="0" w:line="284" w:lineRule="auto"/>
        <w:tabs>
          <w:tab w:leader="none" w:pos="286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granted hereunder shall vest in installments on each Vesting Date as set forth in Section 4(a) hereof.</w:t>
      </w:r>
    </w:p>
    <w:p>
      <w:pPr>
        <w:spacing w:after="0" w:line="140" w:lineRule="exact"/>
        <w:rPr>
          <w:sz w:val="20"/>
          <w:szCs w:val="20"/>
          <w:color w:val="auto"/>
        </w:rPr>
      </w:pPr>
    </w:p>
    <w:p>
      <w:pPr>
        <w:ind w:left="940" w:right="319" w:firstLine="648"/>
        <w:spacing w:after="0" w:line="259"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i w:val="1"/>
          <w:iCs w:val="1"/>
          <w:color w:val="auto"/>
        </w:rPr>
        <w:t>Vesting – Death or Disability.</w:t>
      </w:r>
      <w:r>
        <w:rPr>
          <w:rFonts w:ascii="Times New Roman" w:cs="Times New Roman" w:eastAsia="Times New Roman" w:hAnsi="Times New Roman"/>
          <w:sz w:val="22"/>
          <w:szCs w:val="22"/>
          <w:color w:val="auto"/>
        </w:rPr>
        <w:t xml:space="preserve"> Upon the occurrence of a Qualifying Event, 100% of the RSUs granted hereunder shall vest (to the extent not previously vested) upon the date of such Qualifying Event.</w:t>
      </w:r>
    </w:p>
    <w:p>
      <w:pPr>
        <w:spacing w:after="0" w:line="166" w:lineRule="exact"/>
        <w:rPr>
          <w:sz w:val="20"/>
          <w:szCs w:val="20"/>
          <w:color w:val="auto"/>
        </w:rPr>
      </w:pPr>
    </w:p>
    <w:p>
      <w:pPr>
        <w:ind w:left="960" w:right="419" w:firstLine="614"/>
        <w:spacing w:after="0" w:line="274" w:lineRule="auto"/>
        <w:tabs>
          <w:tab w:leader="none" w:pos="1841"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Vesting – Terminations. </w:t>
      </w:r>
      <w:r>
        <w:rPr>
          <w:rFonts w:ascii="Times New Roman" w:cs="Times New Roman" w:eastAsia="Times New Roman" w:hAnsi="Times New Roman"/>
          <w:sz w:val="21"/>
          <w:szCs w:val="21"/>
          <w:color w:val="auto"/>
        </w:rPr>
        <w:t>Except as otherwise set forth in Sections 3(b) or 5,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event the Participant’s Services with the Company and its Affiliates are terminated for any reason, the portion of the Award that has not yet vested pursuant to Sections 3 or 5 hereof (or otherwise pursuant to the Plan) shall be canceled immediately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3</w:t>
      </w:r>
    </w:p>
    <w:p>
      <w:pPr>
        <w:spacing w:after="0" w:line="395" w:lineRule="exact"/>
        <w:rPr>
          <w:sz w:val="20"/>
          <w:szCs w:val="20"/>
          <w:color w:val="auto"/>
        </w:rPr>
      </w:pPr>
    </w:p>
    <w:p>
      <w:pPr>
        <w:ind w:left="960" w:right="399"/>
        <w:spacing w:after="0" w:line="256" w:lineRule="auto"/>
        <w:rPr>
          <w:sz w:val="20"/>
          <w:szCs w:val="20"/>
          <w:color w:val="auto"/>
        </w:rPr>
      </w:pPr>
      <w:r>
        <w:rPr>
          <w:rFonts w:ascii="Times New Roman" w:cs="Times New Roman" w:eastAsia="Times New Roman" w:hAnsi="Times New Roman"/>
          <w:sz w:val="22"/>
          <w:szCs w:val="22"/>
          <w:color w:val="auto"/>
        </w:rPr>
        <w:t>Participant shall automatically forfeit all rights with respect to such portion of the Award as of the date of such termination. For purposes of this provision, the effective date of termination of the Participant’s Services will be determined in accordance with Section 8(k) hereof.</w:t>
      </w:r>
    </w:p>
    <w:p>
      <w:pPr>
        <w:spacing w:after="0" w:line="176" w:lineRule="exact"/>
        <w:rPr>
          <w:sz w:val="20"/>
          <w:szCs w:val="20"/>
          <w:color w:val="auto"/>
        </w:rPr>
      </w:pPr>
    </w:p>
    <w:p>
      <w:pPr>
        <w:ind w:left="1600" w:hanging="641"/>
        <w:spacing w:after="0"/>
        <w:tabs>
          <w:tab w:leader="none" w:pos="16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and Delivery Dates</w:t>
      </w: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2"/>
          <w:szCs w:val="22"/>
          <w:color w:val="auto"/>
        </w:rPr>
      </w:pPr>
    </w:p>
    <w:p>
      <w:pPr>
        <w:ind w:left="960" w:right="739" w:firstLine="614"/>
        <w:spacing w:after="0" w:line="254" w:lineRule="auto"/>
        <w:tabs>
          <w:tab w:leader="none" w:pos="1841"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Delivery – General. </w:t>
      </w:r>
      <w:r>
        <w:rPr>
          <w:rFonts w:ascii="Times New Roman" w:cs="Times New Roman" w:eastAsia="Times New Roman" w:hAnsi="Times New Roman"/>
          <w:sz w:val="22"/>
          <w:szCs w:val="22"/>
          <w:color w:val="auto"/>
        </w:rPr>
        <w:t>The Company shall, on or within 30 days following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Vesting Date, deliver (or cause delivery to be made) to the Participant the Shares underlying the RSUs that vest and become Vested RSUs on such Vesting Date. The general vesting and delivery terms with respect to the RSUs are set forth in the table below.</w:t>
      </w:r>
    </w:p>
    <w:p>
      <w:pPr>
        <w:sectPr>
          <w:pgSz w:w="11900" w:h="16902" w:orient="portrait"/>
          <w:cols w:equalWidth="0" w:num="1">
            <w:col w:w="9019"/>
          </w:cols>
          <w:pgMar w:left="1440" w:top="71" w:right="1440" w:bottom="0" w:gutter="0" w:footer="0" w:header="0"/>
        </w:sectPr>
      </w:pPr>
    </w:p>
    <w:bookmarkStart w:id="110" w:name="page111"/>
    <w:bookmarkEnd w:id="110"/>
    <w:tbl>
      <w:tblPr>
        <w:tblLayout w:type="fixed"/>
        <w:tblInd w:w="1050" w:type="dxa"/>
        <w:tblCellMar>
          <w:top w:w="0" w:type="dxa"/>
          <w:left w:w="0" w:type="dxa"/>
          <w:bottom w:w="0" w:type="dxa"/>
          <w:right w:w="0" w:type="dxa"/>
        </w:tblCellMar>
      </w:tblPr>
      <w:tr>
        <w:trPr>
          <w:trHeight w:val="206"/>
        </w:trPr>
        <w:tc>
          <w:tcPr>
            <w:tcW w:w="2280" w:type="dxa"/>
            <w:vAlign w:val="bottom"/>
            <w:tcBorders>
              <w:top w:val="single" w:sz="8" w:color="auto"/>
              <w:left w:val="single" w:sz="8" w:color="auto"/>
              <w:right w:val="single" w:sz="8" w:color="auto"/>
            </w:tcBorders>
            <w:gridSpan w:val="3"/>
          </w:tcPr>
          <w:p>
            <w:pPr>
              <w:ind w:left="500"/>
              <w:spacing w:after="0" w:line="206" w:lineRule="exact"/>
              <w:rPr>
                <w:sz w:val="20"/>
                <w:szCs w:val="20"/>
                <w:color w:val="auto"/>
              </w:rPr>
            </w:pPr>
            <w:r>
              <w:rPr>
                <w:rFonts w:ascii="Times New Roman" w:cs="Times New Roman" w:eastAsia="Times New Roman" w:hAnsi="Times New Roman"/>
                <w:sz w:val="22"/>
                <w:szCs w:val="22"/>
                <w:b w:val="1"/>
                <w:bCs w:val="1"/>
                <w:color w:val="auto"/>
              </w:rPr>
              <w:t>Vesting Dates</w:t>
            </w:r>
          </w:p>
        </w:tc>
        <w:tc>
          <w:tcPr>
            <w:tcW w:w="420" w:type="dxa"/>
            <w:vAlign w:val="bottom"/>
            <w:tcBorders>
              <w:top w:val="single" w:sz="8" w:color="auto"/>
            </w:tcBorders>
          </w:tcPr>
          <w:p>
            <w:pPr>
              <w:spacing w:after="0"/>
              <w:rPr>
                <w:sz w:val="17"/>
                <w:szCs w:val="17"/>
                <w:color w:val="auto"/>
              </w:rPr>
            </w:pPr>
          </w:p>
        </w:tc>
        <w:tc>
          <w:tcPr>
            <w:tcW w:w="2020" w:type="dxa"/>
            <w:vAlign w:val="bottom"/>
            <w:tcBorders>
              <w:top w:val="single" w:sz="8" w:color="auto"/>
              <w:right w:val="single" w:sz="8" w:color="auto"/>
            </w:tcBorders>
            <w:gridSpan w:val="4"/>
          </w:tcPr>
          <w:p>
            <w:pPr>
              <w:jc w:val="center"/>
              <w:ind w:right="480"/>
              <w:spacing w:after="0" w:line="206" w:lineRule="exact"/>
              <w:rPr>
                <w:sz w:val="20"/>
                <w:szCs w:val="20"/>
                <w:color w:val="auto"/>
              </w:rPr>
            </w:pPr>
            <w:r>
              <w:rPr>
                <w:rFonts w:ascii="Times New Roman" w:cs="Times New Roman" w:eastAsia="Times New Roman" w:hAnsi="Times New Roman"/>
                <w:sz w:val="22"/>
                <w:szCs w:val="22"/>
                <w:b w:val="1"/>
                <w:bCs w:val="1"/>
                <w:color w:val="auto"/>
                <w:w w:val="97"/>
              </w:rPr>
              <w:t>Annual Vesting /</w:t>
            </w:r>
          </w:p>
        </w:tc>
        <w:tc>
          <w:tcPr>
            <w:tcW w:w="260" w:type="dxa"/>
            <w:vAlign w:val="bottom"/>
            <w:tcBorders>
              <w:top w:val="single" w:sz="8" w:color="auto"/>
            </w:tcBorders>
          </w:tcPr>
          <w:p>
            <w:pPr>
              <w:spacing w:after="0"/>
              <w:rPr>
                <w:sz w:val="17"/>
                <w:szCs w:val="17"/>
                <w:color w:val="auto"/>
              </w:rPr>
            </w:pPr>
          </w:p>
        </w:tc>
        <w:tc>
          <w:tcPr>
            <w:tcW w:w="2240" w:type="dxa"/>
            <w:vAlign w:val="bottom"/>
            <w:tcBorders>
              <w:top w:val="single" w:sz="8" w:color="auto"/>
              <w:right w:val="single" w:sz="8" w:color="auto"/>
            </w:tcBorders>
            <w:gridSpan w:val="4"/>
          </w:tcPr>
          <w:p>
            <w:pPr>
              <w:jc w:val="center"/>
              <w:ind w:right="320"/>
              <w:spacing w:after="0" w:line="206" w:lineRule="exact"/>
              <w:rPr>
                <w:sz w:val="20"/>
                <w:szCs w:val="20"/>
                <w:color w:val="auto"/>
              </w:rPr>
            </w:pPr>
            <w:r>
              <w:rPr>
                <w:rFonts w:ascii="Times New Roman" w:cs="Times New Roman" w:eastAsia="Times New Roman" w:hAnsi="Times New Roman"/>
                <w:sz w:val="22"/>
                <w:szCs w:val="22"/>
                <w:b w:val="1"/>
                <w:bCs w:val="1"/>
                <w:color w:val="auto"/>
                <w:w w:val="96"/>
              </w:rPr>
              <w:t>Cumulative Vesting /</w:t>
            </w:r>
          </w:p>
        </w:tc>
      </w:tr>
      <w:tr>
        <w:trPr>
          <w:trHeight w:val="196"/>
        </w:trPr>
        <w:tc>
          <w:tcPr>
            <w:tcW w:w="500" w:type="dxa"/>
            <w:vAlign w:val="bottom"/>
            <w:tcBorders>
              <w:left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Borders>
              <w:top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w w:val="98"/>
              </w:rPr>
              <w:t>Delivery</w:t>
            </w:r>
          </w:p>
        </w:tc>
        <w:tc>
          <w:tcPr>
            <w:tcW w:w="4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620"/>
              <w:spacing w:after="0" w:line="196" w:lineRule="exact"/>
              <w:rPr>
                <w:sz w:val="20"/>
                <w:szCs w:val="20"/>
                <w:color w:val="auto"/>
              </w:rPr>
            </w:pPr>
            <w:r>
              <w:rPr>
                <w:rFonts w:ascii="Times New Roman" w:cs="Times New Roman" w:eastAsia="Times New Roman" w:hAnsi="Times New Roman"/>
                <w:sz w:val="22"/>
                <w:szCs w:val="22"/>
                <w:b w:val="1"/>
                <w:bCs w:val="1"/>
                <w:color w:val="auto"/>
                <w:w w:val="98"/>
              </w:rPr>
              <w:t>Delivery</w:t>
            </w:r>
          </w:p>
        </w:tc>
        <w:tc>
          <w:tcPr>
            <w:tcW w:w="260" w:type="dxa"/>
            <w:vAlign w:val="bottom"/>
            <w:tcBorders>
              <w:right w:val="single" w:sz="8" w:color="auto"/>
            </w:tcBorders>
          </w:tcPr>
          <w:p>
            <w:pPr>
              <w:spacing w:after="0"/>
              <w:rPr>
                <w:sz w:val="17"/>
                <w:szCs w:val="17"/>
                <w:color w:val="auto"/>
              </w:rPr>
            </w:pPr>
          </w:p>
        </w:tc>
      </w:tr>
      <w:tr>
        <w:trPr>
          <w:trHeight w:val="196"/>
        </w:trPr>
        <w:tc>
          <w:tcPr>
            <w:tcW w:w="500" w:type="dxa"/>
            <w:vAlign w:val="bottom"/>
            <w:tcBorders>
              <w:left w:val="single" w:sz="8" w:color="auto"/>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r>
      <w:tr>
        <w:trPr>
          <w:trHeight w:val="358"/>
        </w:trPr>
        <w:tc>
          <w:tcPr>
            <w:tcW w:w="500" w:type="dxa"/>
            <w:vAlign w:val="bottom"/>
            <w:tcBorders>
              <w:left w:val="single" w:sz="8" w:color="auto"/>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r>
      <w:tr>
        <w:trPr>
          <w:trHeight w:val="358"/>
        </w:trPr>
        <w:tc>
          <w:tcPr>
            <w:tcW w:w="500" w:type="dxa"/>
            <w:vAlign w:val="bottom"/>
            <w:tcBorders>
              <w:left w:val="single" w:sz="8" w:color="auto"/>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r>
      <w:tr>
        <w:trPr>
          <w:trHeight w:val="358"/>
        </w:trPr>
        <w:tc>
          <w:tcPr>
            <w:tcW w:w="500" w:type="dxa"/>
            <w:vAlign w:val="bottom"/>
            <w:tcBorders>
              <w:left w:val="single" w:sz="8" w:color="auto"/>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960" w:right="599" w:firstLine="614"/>
        <w:spacing w:after="0" w:line="253" w:lineRule="auto"/>
        <w:tabs>
          <w:tab w:leader="none" w:pos="184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 Death or Disability</w:t>
      </w:r>
      <w:r>
        <w:rPr>
          <w:rFonts w:ascii="Times New Roman" w:cs="Times New Roman" w:eastAsia="Times New Roman" w:hAnsi="Times New Roman"/>
          <w:sz w:val="22"/>
          <w:szCs w:val="22"/>
          <w:color w:val="auto"/>
        </w:rPr>
        <w:t>. Upon the occurrence of a Qualifying Event,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shall, within 30 days following the date of such event, deliver (or cause delivery of) Shares to the Participant in respect of 100% of the RSUs which vest and become Vested RSUs on such date.</w:t>
      </w:r>
    </w:p>
    <w:p>
      <w:pPr>
        <w:spacing w:after="0" w:line="188" w:lineRule="exact"/>
        <w:rPr>
          <w:rFonts w:ascii="Times New Roman" w:cs="Times New Roman" w:eastAsia="Times New Roman" w:hAnsi="Times New Roman"/>
          <w:sz w:val="22"/>
          <w:szCs w:val="22"/>
          <w:color w:val="auto"/>
        </w:rPr>
      </w:pPr>
    </w:p>
    <w:p>
      <w:pPr>
        <w:ind w:left="960" w:right="379" w:firstLine="614"/>
        <w:spacing w:after="0" w:line="251" w:lineRule="auto"/>
        <w:tabs>
          <w:tab w:leader="none" w:pos="184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Delivery – Terminations. </w:t>
      </w:r>
      <w:r>
        <w:rPr>
          <w:rFonts w:ascii="Times New Roman" w:cs="Times New Roman" w:eastAsia="Times New Roman" w:hAnsi="Times New Roman"/>
          <w:sz w:val="22"/>
          <w:szCs w:val="22"/>
          <w:color w:val="auto"/>
        </w:rPr>
        <w:t>Except as otherwise set forth in Sections 4(b)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4(d), in the event the Participant’s Services with the Company and its Affiliates are terminated for any reason, the Company shall within 30 days following the date of such termination, deliver (or cause delivery of) Shares to the Participant in respect of any then outstanding Vested RSUs.</w:t>
      </w:r>
    </w:p>
    <w:p>
      <w:pPr>
        <w:spacing w:after="0" w:line="189" w:lineRule="exact"/>
        <w:rPr>
          <w:rFonts w:ascii="Times New Roman" w:cs="Times New Roman" w:eastAsia="Times New Roman" w:hAnsi="Times New Roman"/>
          <w:sz w:val="22"/>
          <w:szCs w:val="22"/>
          <w:color w:val="auto"/>
        </w:rPr>
      </w:pPr>
    </w:p>
    <w:p>
      <w:pPr>
        <w:ind w:left="960" w:right="339" w:firstLine="614"/>
        <w:spacing w:after="0" w:line="260" w:lineRule="auto"/>
        <w:tabs>
          <w:tab w:leader="none" w:pos="1841"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Forfeiture; Clawback</w:t>
      </w:r>
      <w:r>
        <w:rPr>
          <w:rFonts w:ascii="Times New Roman" w:cs="Times New Roman" w:eastAsia="Times New Roman" w:hAnsi="Times New Roman"/>
          <w:sz w:val="21"/>
          <w:szCs w:val="21"/>
          <w:color w:val="auto"/>
        </w:rPr>
        <w:t>. It is a condition of being granted the RSUs hereunder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receiving the underlying Shares upon satisfaction of the vesting conditions set forth herein that the Participant not engage in any Detrimental Activity. Notwithstanding anything to the contrary herein, if the Administrator determines in its sole discretion that the Participant has engaged in Detrimental Activity (i) all outstanding RSUs (whether or not vested) shall immediately terminate and be forfeited without consideration upon the date of such determination and no further Shares with respect of the Award shall be delivered to the Participant or to the Participant’s legal representative, beneficiaries or heirs, (ii) to the extent permitted under applicable law, any Shares that have previously been delivered to the Participant or the Participant’s legal representative, beneficiaries or heirs pursuant to the Award and which are still held by the Participant or the Participant’s legal representative, or beneficiaries or heirs as of the date of such determination by the Administrator shall also immediately terminate and be forfeited without consideration and (iii) the Administrator may require that the Participant forfeit any proceeds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4</w:t>
      </w:r>
    </w:p>
    <w:p>
      <w:pPr>
        <w:spacing w:after="0" w:line="395" w:lineRule="exact"/>
        <w:rPr>
          <w:sz w:val="20"/>
          <w:szCs w:val="20"/>
          <w:color w:val="auto"/>
        </w:rPr>
      </w:pPr>
    </w:p>
    <w:p>
      <w:pPr>
        <w:ind w:left="960" w:right="319"/>
        <w:spacing w:after="0" w:line="250" w:lineRule="auto"/>
        <w:rPr>
          <w:sz w:val="20"/>
          <w:szCs w:val="20"/>
          <w:color w:val="auto"/>
        </w:rPr>
      </w:pPr>
      <w:r>
        <w:rPr>
          <w:rFonts w:ascii="Times New Roman" w:cs="Times New Roman" w:eastAsia="Times New Roman" w:hAnsi="Times New Roman"/>
          <w:sz w:val="22"/>
          <w:szCs w:val="22"/>
          <w:color w:val="auto"/>
        </w:rPr>
        <w:t>within the one (1) year period preceding the date of such determination on the disposition of any Shares received in settlement of the Award, and repay such proceeds to the Company within thirty (30) days following the Company’s demand therefor. Without limiting the foregoing, the Award and all Shares issued in respect thereof shall be subject to reduction, cancellation, forfeiture or recoupment to the extent necessary to comply with applicable law and/or the Company’s clawback and recoupment policies as in effect from time to time.</w:t>
      </w:r>
    </w:p>
    <w:p>
      <w:pPr>
        <w:spacing w:after="0" w:line="180" w:lineRule="exact"/>
        <w:rPr>
          <w:sz w:val="20"/>
          <w:szCs w:val="20"/>
          <w:color w:val="auto"/>
        </w:rPr>
      </w:pPr>
    </w:p>
    <w:p>
      <w:pPr>
        <w:ind w:left="300" w:right="299" w:firstLine="659"/>
        <w:spacing w:after="0" w:line="252" w:lineRule="auto"/>
        <w:tabs>
          <w:tab w:leader="none" w:pos="161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Notwithstanding anything to the contrary herein, in the event of the Participant’s involuntary termination of Service by the Company without Cause that occurs within twelve (12) months following a Change in Control, 100% of the RSUs granted hereunder which then remain outstanding shall vest (to the extent not previously vested) upon the date of such termination of Service and the Shares underlying such Vested RSUs shall be delivered in accordance with Section 4(c), subject to any required delay pursuant to Section 17 of the Plan.</w:t>
      </w:r>
    </w:p>
    <w:p>
      <w:pPr>
        <w:spacing w:after="0" w:line="179" w:lineRule="exact"/>
        <w:rPr>
          <w:rFonts w:ascii="Times New Roman" w:cs="Times New Roman" w:eastAsia="Times New Roman" w:hAnsi="Times New Roman"/>
          <w:sz w:val="22"/>
          <w:szCs w:val="22"/>
          <w:color w:val="auto"/>
        </w:rPr>
      </w:pPr>
    </w:p>
    <w:p>
      <w:pPr>
        <w:ind w:left="300" w:right="599" w:firstLine="659"/>
        <w:spacing w:after="0" w:line="268" w:lineRule="auto"/>
        <w:tabs>
          <w:tab w:leader="none" w:pos="1615"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 RSUs</w:t>
      </w:r>
      <w:r>
        <w:rPr>
          <w:rFonts w:ascii="Times New Roman" w:cs="Times New Roman" w:eastAsia="Times New Roman" w:hAnsi="Times New Roman"/>
          <w:sz w:val="21"/>
          <w:szCs w:val="21"/>
          <w:color w:val="auto"/>
        </w:rPr>
        <w:t>. With respect to any cash dividend paid by the Company with respect to Shares for which the record date occurs while the Award remains outstanding and that occurs on or after the beginning of the first calendar quarter commencing after the Date of Grant, on the payment date of such dividend the number of RSUs then</w:t>
      </w:r>
    </w:p>
    <w:p>
      <w:pPr>
        <w:sectPr>
          <w:pgSz w:w="11900" w:h="16838" w:orient="portrait"/>
          <w:cols w:equalWidth="0" w:num="1">
            <w:col w:w="9019"/>
          </w:cols>
          <w:pgMar w:left="1440" w:top="345" w:right="1440" w:bottom="0" w:gutter="0" w:footer="0" w:header="0"/>
        </w:sectPr>
      </w:pPr>
    </w:p>
    <w:bookmarkStart w:id="111" w:name="page112"/>
    <w:bookmarkEnd w:id="111"/>
    <w:p>
      <w:pPr>
        <w:ind w:left="300" w:right="439"/>
        <w:spacing w:after="0" w:line="233" w:lineRule="auto"/>
        <w:rPr>
          <w:sz w:val="20"/>
          <w:szCs w:val="20"/>
          <w:color w:val="auto"/>
        </w:rPr>
      </w:pPr>
      <w:r>
        <w:rPr>
          <w:rFonts w:ascii="Times New Roman" w:cs="Times New Roman" w:eastAsia="Times New Roman" w:hAnsi="Times New Roman"/>
          <w:sz w:val="21"/>
          <w:szCs w:val="21"/>
          <w:color w:val="auto"/>
        </w:rPr>
        <w:t>underlying the Award shall be increased by a number of additional dividend equivalent RSUs equal to the quotient (rounded down to the nearest whole number of RSUs) of (a) the product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-254000</wp:posOffset>
            </wp:positionV>
            <wp:extent cx="7132320" cy="105156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339" w:hanging="8"/>
        <w:spacing w:after="0" w:line="246" w:lineRule="auto"/>
        <w:tabs>
          <w:tab w:leader="none" w:pos="55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dollar amount of the cash dividend paid per Share on such date,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the number of RSUs that remain outstanding and subject to the Award as of such date,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(b) the closing price of a Share on The Nasdaq Global Select Market on such date. Any such additional dividend equivalents shall be subject to the same terms and conditions, and shall be earned and vested, and be settled or forfeited, in the same manner and at the same time, as the RSUs with respect to which they have been credited.</w:t>
      </w:r>
    </w:p>
    <w:p>
      <w:pPr>
        <w:spacing w:after="0" w:line="188" w:lineRule="exact"/>
        <w:rPr>
          <w:rFonts w:ascii="Times New Roman" w:cs="Times New Roman" w:eastAsia="Times New Roman" w:hAnsi="Times New Roman"/>
          <w:sz w:val="22"/>
          <w:szCs w:val="22"/>
          <w:color w:val="auto"/>
        </w:rPr>
      </w:pPr>
    </w:p>
    <w:p>
      <w:pPr>
        <w:ind w:left="300" w:right="399" w:firstLine="659"/>
        <w:spacing w:after="0" w:line="263" w:lineRule="auto"/>
        <w:tabs>
          <w:tab w:leader="none" w:pos="1615"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Upon Certain Events</w:t>
      </w:r>
      <w:r>
        <w:rPr>
          <w:rFonts w:ascii="Times New Roman" w:cs="Times New Roman" w:eastAsia="Times New Roman" w:hAnsi="Times New Roman"/>
          <w:sz w:val="22"/>
          <w:szCs w:val="22"/>
          <w:color w:val="auto"/>
        </w:rPr>
        <w:t>. The Administrator shall make certain substitutions or adjustments to any RSUs subject to this Award Agreement pursuant to Section 9 of the Plan.</w:t>
      </w:r>
    </w:p>
    <w:p>
      <w:pPr>
        <w:spacing w:after="0" w:line="167" w:lineRule="exact"/>
        <w:rPr>
          <w:rFonts w:ascii="Times New Roman" w:cs="Times New Roman" w:eastAsia="Times New Roman" w:hAnsi="Times New Roman"/>
          <w:sz w:val="22"/>
          <w:szCs w:val="22"/>
          <w:color w:val="auto"/>
        </w:rPr>
      </w:pPr>
    </w:p>
    <w:p>
      <w:pPr>
        <w:ind w:left="300" w:right="1319" w:firstLine="659"/>
        <w:spacing w:after="0" w:line="271" w:lineRule="auto"/>
        <w:tabs>
          <w:tab w:leader="none" w:pos="1615"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the grant, the Participant acknowledges, understands, and agrees that:</w:t>
      </w:r>
    </w:p>
    <w:p>
      <w:pPr>
        <w:spacing w:after="0" w:line="158" w:lineRule="exact"/>
        <w:rPr>
          <w:sz w:val="20"/>
          <w:szCs w:val="20"/>
          <w:color w:val="auto"/>
        </w:rPr>
      </w:pPr>
    </w:p>
    <w:p>
      <w:pPr>
        <w:jc w:val="both"/>
        <w:ind w:left="960" w:right="359" w:firstLine="616"/>
        <w:spacing w:after="0" w:line="263" w:lineRule="auto"/>
        <w:rPr>
          <w:sz w:val="20"/>
          <w:szCs w:val="20"/>
          <w:color w:val="auto"/>
        </w:rPr>
      </w:pPr>
      <w:r>
        <w:rPr>
          <w:rFonts w:ascii="Times New Roman" w:cs="Times New Roman" w:eastAsia="Times New Roman" w:hAnsi="Times New Roman"/>
          <w:sz w:val="22"/>
          <w:szCs w:val="22"/>
          <w:color w:val="auto"/>
        </w:rPr>
        <w:t>(a)the Plan is established voluntarily by the Company, it is discretionary in nature and it may be modified, amended, suspended or terminated by the Company, at any time, to the extent permitted by the Plan;</w:t>
      </w:r>
    </w:p>
    <w:p>
      <w:pPr>
        <w:spacing w:after="0" w:line="167" w:lineRule="exact"/>
        <w:rPr>
          <w:sz w:val="20"/>
          <w:szCs w:val="20"/>
          <w:color w:val="auto"/>
        </w:rPr>
      </w:pPr>
    </w:p>
    <w:p>
      <w:pPr>
        <w:ind w:left="960" w:right="499" w:firstLine="614"/>
        <w:spacing w:after="0" w:line="257" w:lineRule="auto"/>
        <w:tabs>
          <w:tab w:leader="none" w:pos="189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RSUs is exceptional, voluntary and occasional and does not create any contractual or other right to receive future grants of RSUs, or benefits in lieu of RSUs, even if RSUs have been granted in the past;</w:t>
      </w:r>
    </w:p>
    <w:p>
      <w:pPr>
        <w:spacing w:after="0" w:line="172" w:lineRule="exact"/>
        <w:rPr>
          <w:rFonts w:ascii="Times New Roman" w:cs="Times New Roman" w:eastAsia="Times New Roman" w:hAnsi="Times New Roman"/>
          <w:sz w:val="22"/>
          <w:szCs w:val="22"/>
          <w:color w:val="auto"/>
        </w:rPr>
      </w:pPr>
    </w:p>
    <w:p>
      <w:pPr>
        <w:ind w:left="960" w:right="459" w:firstLine="614"/>
        <w:spacing w:after="0" w:line="284" w:lineRule="auto"/>
        <w:tabs>
          <w:tab w:leader="none" w:pos="189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RSUs or other grants, if any, will be at the sole discretion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5</w:t>
      </w:r>
    </w:p>
    <w:p>
      <w:pPr>
        <w:spacing w:after="0" w:line="395" w:lineRule="exact"/>
        <w:rPr>
          <w:sz w:val="20"/>
          <w:szCs w:val="20"/>
          <w:color w:val="auto"/>
        </w:rPr>
      </w:pPr>
    </w:p>
    <w:p>
      <w:pPr>
        <w:ind w:left="960" w:right="359" w:firstLine="614"/>
        <w:spacing w:after="0" w:line="256" w:lineRule="auto"/>
        <w:tabs>
          <w:tab w:leader="none" w:pos="189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granting of the RSUs evidenced by this Award Agreement shall impose no obligation on the Company or any Affiliate to continue the Services of the Participant and shall not lessen or affect the Company’s or its Affiliate’s right to terminate the Services of such Participant;</w:t>
      </w:r>
    </w:p>
    <w:p>
      <w:pPr>
        <w:spacing w:after="0" w:line="176" w:lineRule="exact"/>
        <w:rPr>
          <w:rFonts w:ascii="Times New Roman" w:cs="Times New Roman" w:eastAsia="Times New Roman" w:hAnsi="Times New Roman"/>
          <w:sz w:val="22"/>
          <w:szCs w:val="22"/>
          <w:color w:val="auto"/>
        </w:rPr>
      </w:pPr>
    </w:p>
    <w:p>
      <w:pPr>
        <w:ind w:left="1900" w:hanging="326"/>
        <w:spacing w:after="0"/>
        <w:tabs>
          <w:tab w:leader="none" w:pos="19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voluntarily participating in the Plan;</w:t>
      </w:r>
    </w:p>
    <w:p>
      <w:pPr>
        <w:spacing w:after="0" w:line="219" w:lineRule="exact"/>
        <w:rPr>
          <w:rFonts w:ascii="Times New Roman" w:cs="Times New Roman" w:eastAsia="Times New Roman" w:hAnsi="Times New Roman"/>
          <w:sz w:val="22"/>
          <w:szCs w:val="22"/>
          <w:color w:val="auto"/>
        </w:rPr>
      </w:pPr>
    </w:p>
    <w:p>
      <w:pPr>
        <w:ind w:left="960" w:right="439" w:firstLine="614"/>
        <w:spacing w:after="0" w:line="271" w:lineRule="auto"/>
        <w:tabs>
          <w:tab w:leader="none" w:pos="189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the Shares subject to the RSUs, and the income from and value of same, are not intended to replace any pension rights or compensation;</w:t>
      </w:r>
    </w:p>
    <w:p>
      <w:pPr>
        <w:spacing w:after="0" w:line="158" w:lineRule="exact"/>
        <w:rPr>
          <w:sz w:val="20"/>
          <w:szCs w:val="20"/>
          <w:color w:val="auto"/>
        </w:rPr>
      </w:pPr>
    </w:p>
    <w:p>
      <w:pPr>
        <w:ind w:left="960" w:right="359" w:firstLine="616"/>
        <w:spacing w:after="0" w:line="253" w:lineRule="auto"/>
        <w:rPr>
          <w:sz w:val="20"/>
          <w:szCs w:val="20"/>
          <w:color w:val="auto"/>
        </w:rPr>
      </w:pPr>
      <w:r>
        <w:rPr>
          <w:rFonts w:ascii="Times New Roman" w:cs="Times New Roman" w:eastAsia="Times New Roman" w:hAnsi="Times New Roman"/>
          <w:sz w:val="22"/>
          <w:szCs w:val="22"/>
          <w:color w:val="auto"/>
        </w:rPr>
        <w:t>(g)the RSUs and the Shares subject to the RSUs, and the income from and value of same, are not part of normal or expected compensation for purposes of calculating any severance, resignation, termination, redundancy, dismissal, end-of-service payments, holiday pay, bonuses, long-service awards, pension or retirement or welfare benefits or similar payments;</w:t>
      </w:r>
    </w:p>
    <w:p>
      <w:pPr>
        <w:spacing w:after="0" w:line="179" w:lineRule="exact"/>
        <w:rPr>
          <w:sz w:val="20"/>
          <w:szCs w:val="20"/>
          <w:color w:val="auto"/>
        </w:rPr>
      </w:pPr>
    </w:p>
    <w:p>
      <w:pPr>
        <w:ind w:left="960" w:right="319" w:firstLine="616"/>
        <w:spacing w:after="0" w:line="263" w:lineRule="auto"/>
        <w:rPr>
          <w:sz w:val="20"/>
          <w:szCs w:val="20"/>
          <w:color w:val="auto"/>
        </w:rPr>
      </w:pPr>
      <w:r>
        <w:rPr>
          <w:rFonts w:ascii="Times New Roman" w:cs="Times New Roman" w:eastAsia="Times New Roman" w:hAnsi="Times New Roman"/>
          <w:sz w:val="22"/>
          <w:szCs w:val="22"/>
          <w:color w:val="auto"/>
        </w:rPr>
        <w:t>(h)the RSUs should in no event be considered as compensation for, or relating in any way to, past services for the Company, the Employer (as defined in Section 15 of this Award Agreement) or any Affiliate or predecessor;</w:t>
      </w:r>
    </w:p>
    <w:p>
      <w:pPr>
        <w:spacing w:after="0" w:line="167" w:lineRule="exact"/>
        <w:rPr>
          <w:sz w:val="20"/>
          <w:szCs w:val="20"/>
          <w:color w:val="auto"/>
        </w:rPr>
      </w:pPr>
    </w:p>
    <w:p>
      <w:pPr>
        <w:ind w:left="960" w:right="339" w:firstLine="614"/>
        <w:spacing w:after="0" w:line="275" w:lineRule="auto"/>
        <w:tabs>
          <w:tab w:leader="none" w:pos="1841"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agreed with the Company, the RSUs and the Shares subject to the RSUs, and the income from and value of same, are not granted as consideration for, or in connection with, the Services Participant may provide as a director of an Affiliate;</w:t>
      </w:r>
    </w:p>
    <w:p>
      <w:pPr>
        <w:spacing w:after="0" w:line="168" w:lineRule="exact"/>
        <w:rPr>
          <w:rFonts w:ascii="Times New Roman" w:cs="Times New Roman" w:eastAsia="Times New Roman" w:hAnsi="Times New Roman"/>
          <w:sz w:val="21"/>
          <w:szCs w:val="21"/>
          <w:color w:val="auto"/>
        </w:rPr>
      </w:pPr>
    </w:p>
    <w:p>
      <w:pPr>
        <w:ind w:left="960" w:right="819" w:firstLine="614"/>
        <w:spacing w:after="0" w:line="271" w:lineRule="auto"/>
        <w:tabs>
          <w:tab w:leader="none" w:pos="184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Shares is unknown, indeterminable and cannot be predicted with certainty;</w:t>
      </w:r>
    </w:p>
    <w:p>
      <w:pPr>
        <w:spacing w:after="0" w:line="158" w:lineRule="exact"/>
        <w:rPr>
          <w:sz w:val="20"/>
          <w:szCs w:val="20"/>
          <w:color w:val="auto"/>
        </w:rPr>
      </w:pPr>
    </w:p>
    <w:p>
      <w:pPr>
        <w:ind w:left="960" w:right="459" w:firstLine="616"/>
        <w:spacing w:after="0" w:line="295" w:lineRule="auto"/>
        <w:rPr>
          <w:sz w:val="20"/>
          <w:szCs w:val="20"/>
          <w:color w:val="auto"/>
        </w:rPr>
      </w:pPr>
      <w:r>
        <w:rPr>
          <w:rFonts w:ascii="Times New Roman" w:cs="Times New Roman" w:eastAsia="Times New Roman" w:hAnsi="Times New Roman"/>
          <w:sz w:val="21"/>
          <w:szCs w:val="21"/>
          <w:color w:val="auto"/>
        </w:rPr>
        <w:t>(k)in the event of termination of the Participant’s Services for any reason, except as set forth in Sections 3(b), 4(b) or 5 (whether or not later to be found invalid or in</w:t>
      </w:r>
    </w:p>
    <w:p>
      <w:pPr>
        <w:sectPr>
          <w:pgSz w:w="11900" w:h="16838" w:orient="portrait"/>
          <w:cols w:equalWidth="0" w:num="1">
            <w:col w:w="9019"/>
          </w:cols>
          <w:pgMar w:left="1440" w:top="71" w:right="1440" w:bottom="0" w:gutter="0" w:footer="0" w:header="0"/>
        </w:sectPr>
      </w:pPr>
    </w:p>
    <w:bookmarkStart w:id="112" w:name="page113"/>
    <w:bookmarkEnd w:id="112"/>
    <w:p>
      <w:pPr>
        <w:ind w:left="960" w:right="539"/>
        <w:spacing w:after="0" w:line="213" w:lineRule="auto"/>
        <w:rPr>
          <w:sz w:val="20"/>
          <w:szCs w:val="20"/>
          <w:color w:val="auto"/>
        </w:rPr>
      </w:pPr>
      <w:r>
        <w:rPr>
          <w:rFonts w:ascii="Times New Roman" w:cs="Times New Roman" w:eastAsia="Times New Roman" w:hAnsi="Times New Roman"/>
          <w:sz w:val="21"/>
          <w:szCs w:val="21"/>
          <w:color w:val="auto"/>
        </w:rPr>
        <w:t>breach of employment laws in the jurisdiction where the Participant is employed or the terms of the Participant’s employment agreement, if any), unless otherwise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-228600</wp:posOffset>
            </wp:positionV>
            <wp:extent cx="7132320" cy="105156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960" w:right="379"/>
        <w:spacing w:after="0" w:line="246" w:lineRule="auto"/>
        <w:rPr>
          <w:sz w:val="20"/>
          <w:szCs w:val="20"/>
          <w:color w:val="auto"/>
        </w:rPr>
      </w:pPr>
      <w:r>
        <w:rPr>
          <w:rFonts w:ascii="Times New Roman" w:cs="Times New Roman" w:eastAsia="Times New Roman" w:hAnsi="Times New Roman"/>
          <w:sz w:val="22"/>
          <w:szCs w:val="22"/>
          <w:color w:val="auto"/>
        </w:rPr>
        <w:t>by the Company, the Participant’s right to vest in the RSUs under the Plan, if any, will terminate effective as of the date that the Participant is no longer actively providing Services and will not be extended by any notice period (e.g., active Services would not include any contractual notice period or any period of “garden leave” or similar period mandated under employment laws in the jurisdiction where the Participant is employed, or the terms of the Participant’s employment agreement, if any); the Administrator shall have the exclusive discretion to determine when the Participant is no longer actively providing Services for purposes of the RSUs grant (including whether the Participant may still be considered to be providing Services while on an approved leave of absence); and</w:t>
      </w:r>
    </w:p>
    <w:p>
      <w:pPr>
        <w:spacing w:after="0" w:line="191" w:lineRule="exact"/>
        <w:rPr>
          <w:sz w:val="20"/>
          <w:szCs w:val="20"/>
          <w:color w:val="auto"/>
        </w:rPr>
      </w:pPr>
    </w:p>
    <w:p>
      <w:pPr>
        <w:ind w:left="960" w:right="459" w:firstLine="614"/>
        <w:spacing w:after="0" w:line="271" w:lineRule="auto"/>
        <w:tabs>
          <w:tab w:leader="none" w:pos="189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provisions above in this Section 8, the following provisions apply if the Participant is providing Services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6</w:t>
      </w:r>
    </w:p>
    <w:p>
      <w:pPr>
        <w:spacing w:after="0" w:line="395" w:lineRule="exact"/>
        <w:rPr>
          <w:sz w:val="20"/>
          <w:szCs w:val="20"/>
          <w:color w:val="auto"/>
        </w:rPr>
      </w:pPr>
    </w:p>
    <w:p>
      <w:pPr>
        <w:ind w:left="1580" w:right="359" w:firstLine="966"/>
        <w:spacing w:after="0" w:line="263" w:lineRule="auto"/>
        <w:tabs>
          <w:tab w:leader="none" w:pos="2864" w:val="left"/>
        </w:tabs>
        <w:numPr>
          <w:ilvl w:val="2"/>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or entitlement to compensation or damages shall arise from forfeiture of the RSUs resulting from termination of the Participant’s Services as set forth in Section 3(c), 4(c) or 4(d) above for any reason (whether or not later found to be invalid or in breach of employment laws in the jurisdiction where the Participant is employed or the terms of the Participant’s employment agreement, if any), and in consideration of the grant of the RSUs, the Participant agrees not to institute any claim against the Company or any Affiliate;</w:t>
      </w:r>
    </w:p>
    <w:p>
      <w:pPr>
        <w:spacing w:after="0" w:line="172" w:lineRule="exact"/>
        <w:rPr>
          <w:rFonts w:ascii="Times New Roman" w:cs="Times New Roman" w:eastAsia="Times New Roman" w:hAnsi="Times New Roman"/>
          <w:sz w:val="21"/>
          <w:szCs w:val="21"/>
          <w:color w:val="auto"/>
        </w:rPr>
      </w:pPr>
    </w:p>
    <w:p>
      <w:pPr>
        <w:ind w:left="1580" w:right="919" w:firstLine="966"/>
        <w:spacing w:after="0" w:line="284" w:lineRule="auto"/>
        <w:tabs>
          <w:tab w:leader="none" w:pos="2924" w:val="left"/>
        </w:tabs>
        <w:numPr>
          <w:ilvl w:val="2"/>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the Shares subject to the RSUs are not part of normal or expected compensation or salary for any purpose; and</w:t>
      </w:r>
    </w:p>
    <w:p>
      <w:pPr>
        <w:spacing w:after="0" w:line="143" w:lineRule="exact"/>
        <w:rPr>
          <w:rFonts w:ascii="Times New Roman" w:cs="Times New Roman" w:eastAsia="Times New Roman" w:hAnsi="Times New Roman"/>
          <w:sz w:val="22"/>
          <w:szCs w:val="22"/>
          <w:color w:val="auto"/>
        </w:rPr>
      </w:pPr>
    </w:p>
    <w:p>
      <w:pPr>
        <w:ind w:left="1580" w:right="379" w:firstLine="966"/>
        <w:spacing w:after="0" w:line="253" w:lineRule="auto"/>
        <w:tabs>
          <w:tab w:leader="none" w:pos="2984" w:val="left"/>
        </w:tabs>
        <w:numPr>
          <w:ilvl w:val="2"/>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Affiliate shall be liable for any foreign exchange rate fluctuation between the Participant’s local currency and the United States Dollar that may affect the value of the RSUs or of any amounts due to the Participant pursuant to the settlement of the RSUs or the subsequent sale of any Shares acquired upon settlement.</w:t>
      </w:r>
    </w:p>
    <w:p>
      <w:pPr>
        <w:spacing w:after="0" w:line="178" w:lineRule="exact"/>
        <w:rPr>
          <w:rFonts w:ascii="Times New Roman" w:cs="Times New Roman" w:eastAsia="Times New Roman" w:hAnsi="Times New Roman"/>
          <w:sz w:val="22"/>
          <w:szCs w:val="22"/>
          <w:color w:val="auto"/>
        </w:rPr>
      </w:pPr>
    </w:p>
    <w:p>
      <w:pPr>
        <w:ind w:left="300" w:right="559" w:firstLine="659"/>
        <w:spacing w:after="0" w:line="268" w:lineRule="auto"/>
        <w:tabs>
          <w:tab w:leader="none" w:pos="1615"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Advice Regarding Grant.</w:t>
      </w:r>
      <w:r>
        <w:rPr>
          <w:rFonts w:ascii="Times New Roman" w:cs="Times New Roman" w:eastAsia="Times New Roman" w:hAnsi="Times New Roman"/>
          <w:sz w:val="21"/>
          <w:szCs w:val="21"/>
          <w:color w:val="auto"/>
        </w:rPr>
        <w:t xml:space="preserve"> The Company is not providing any tax, legal or financial advice, nor is the Company making any recommendations regarding the Participant’s participation in the Plan, or the Participant’s acquisition or sale of the underlying Shares. The Participant should consult with his or her own personal tax, legal and financial advisors regarding his or her participation in the Plan before taking any action related to the Plan.</w:t>
      </w:r>
    </w:p>
    <w:p>
      <w:pPr>
        <w:spacing w:after="0" w:line="157" w:lineRule="exact"/>
        <w:rPr>
          <w:rFonts w:ascii="Times New Roman" w:cs="Times New Roman" w:eastAsia="Times New Roman" w:hAnsi="Times New Roman"/>
          <w:sz w:val="21"/>
          <w:szCs w:val="21"/>
          <w:color w:val="auto"/>
        </w:rPr>
      </w:pPr>
    </w:p>
    <w:p>
      <w:pPr>
        <w:ind w:left="300" w:right="519" w:firstLine="659"/>
        <w:spacing w:after="0" w:line="251" w:lineRule="auto"/>
        <w:tabs>
          <w:tab w:leader="none" w:pos="161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Data Privacy Information and Consent</w:t>
      </w:r>
      <w:r>
        <w:rPr>
          <w:rFonts w:ascii="Times New Roman" w:cs="Times New Roman" w:eastAsia="Times New Roman" w:hAnsi="Times New Roman"/>
          <w:sz w:val="22"/>
          <w:szCs w:val="22"/>
          <w:b w:val="1"/>
          <w:bCs w:val="1"/>
          <w:i w:val="1"/>
          <w:iCs w:val="1"/>
          <w:color w:val="auto"/>
        </w:rPr>
        <w:t>. The Company is located at 1001 Pennsylvania Avenue, NW, Washington, DC 20004 U.S.A. and grants employees of the Company and its Affiliates RSUs, at the Company’s sole discretion. If the Participant would like to participate in the Plan, please review the following information about the Company’s data processing practices and declare the Participant’s consent.</w:t>
      </w:r>
    </w:p>
    <w:p>
      <w:pPr>
        <w:spacing w:after="0" w:line="189" w:lineRule="exact"/>
        <w:rPr>
          <w:rFonts w:ascii="Times New Roman" w:cs="Times New Roman" w:eastAsia="Times New Roman" w:hAnsi="Times New Roman"/>
          <w:sz w:val="22"/>
          <w:szCs w:val="22"/>
          <w:color w:val="auto"/>
        </w:rPr>
      </w:pPr>
    </w:p>
    <w:p>
      <w:pPr>
        <w:ind w:left="960" w:right="559" w:firstLine="614"/>
        <w:spacing w:after="0" w:line="263" w:lineRule="auto"/>
        <w:tabs>
          <w:tab w:leader="none" w:pos="1841" w:val="left"/>
        </w:tabs>
        <w:numPr>
          <w:ilvl w:val="1"/>
          <w:numId w:val="90"/>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u w:val="single" w:color="auto"/>
          <w:color w:val="auto"/>
        </w:rPr>
        <w:t>Data Collection and Usage</w:t>
      </w:r>
      <w:r>
        <w:rPr>
          <w:rFonts w:ascii="Times New Roman" w:cs="Times New Roman" w:eastAsia="Times New Roman" w:hAnsi="Times New Roman"/>
          <w:sz w:val="21"/>
          <w:szCs w:val="21"/>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or directorships held in the Company, and details of all RSUs, canceled, vested, or outstanding in the Participant’s favor, which the Company receives from the Participant or the Employer. If the Company offers the Participant a grant of RSUs under the Plan, then the Company will collect the Participant’s personal data for purposes of allocating Shares and implementing,</w:t>
      </w:r>
    </w:p>
    <w:p>
      <w:pPr>
        <w:sectPr>
          <w:pgSz w:w="11900" w:h="16838" w:orient="portrait"/>
          <w:cols w:equalWidth="0" w:num="1">
            <w:col w:w="9019"/>
          </w:cols>
          <w:pgMar w:left="1440" w:top="71" w:right="1440" w:bottom="0" w:gutter="0" w:footer="0" w:header="0"/>
        </w:sectPr>
      </w:pPr>
    </w:p>
    <w:bookmarkStart w:id="113" w:name="page114"/>
    <w:bookmarkEnd w:id="113"/>
    <w:p>
      <w:pPr>
        <w:spacing w:after="0" w:line="40" w:lineRule="exact"/>
        <w:rPr>
          <w:sz w:val="20"/>
          <w:szCs w:val="20"/>
          <w:color w:val="auto"/>
        </w:rPr>
      </w:pPr>
    </w:p>
    <w:p>
      <w:pPr>
        <w:ind w:left="960" w:right="479"/>
        <w:spacing w:after="0" w:line="200" w:lineRule="auto"/>
        <w:rPr>
          <w:sz w:val="20"/>
          <w:szCs w:val="20"/>
          <w:color w:val="auto"/>
        </w:rPr>
      </w:pPr>
      <w:r>
        <w:rPr>
          <w:rFonts w:ascii="Times New Roman" w:cs="Times New Roman" w:eastAsia="Times New Roman" w:hAnsi="Times New Roman"/>
          <w:sz w:val="22"/>
          <w:szCs w:val="22"/>
          <w:b w:val="1"/>
          <w:bCs w:val="1"/>
          <w:i w:val="1"/>
          <w:iCs w:val="1"/>
          <w:color w:val="auto"/>
        </w:rPr>
        <w:t>administering and managing the Plan. The Company’s legal basis for the processing of the Participant’s personal data would be his or her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-220345</wp:posOffset>
            </wp:positionV>
            <wp:extent cx="7132320" cy="105156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79" w:lineRule="exact"/>
        <w:rPr>
          <w:sz w:val="20"/>
          <w:szCs w:val="20"/>
          <w:color w:val="auto"/>
        </w:rPr>
      </w:pPr>
    </w:p>
    <w:p>
      <w:pPr>
        <w:ind w:left="960" w:right="359" w:firstLine="614"/>
        <w:spacing w:after="0" w:line="252" w:lineRule="auto"/>
        <w:tabs>
          <w:tab w:leader="none" w:pos="1841" w:val="left"/>
        </w:tabs>
        <w:numPr>
          <w:ilvl w:val="0"/>
          <w:numId w:val="9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Stock Plan Administration Service Providers</w:t>
      </w:r>
      <w:r>
        <w:rPr>
          <w:rFonts w:ascii="Times New Roman" w:cs="Times New Roman" w:eastAsia="Times New Roman" w:hAnsi="Times New Roman"/>
          <w:sz w:val="22"/>
          <w:szCs w:val="22"/>
          <w:b w:val="1"/>
          <w:bCs w:val="1"/>
          <w:i w:val="1"/>
          <w:iCs w:val="1"/>
          <w:color w:val="auto"/>
        </w:rPr>
        <w:t>: The Company transfers participant data to Morgan Stanley,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7</w:t>
      </w:r>
    </w:p>
    <w:p>
      <w:pPr>
        <w:spacing w:after="0" w:line="389" w:lineRule="exact"/>
        <w:rPr>
          <w:sz w:val="20"/>
          <w:szCs w:val="20"/>
          <w:color w:val="auto"/>
        </w:rPr>
      </w:pPr>
    </w:p>
    <w:p>
      <w:pPr>
        <w:jc w:val="both"/>
        <w:ind w:left="960" w:right="799"/>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Participant to receive and trade Shares. The Participant will be asked to agree on separate terms and data processing practices with the service provider, which is a condition to the Participant’s ability to participate in the Plan.</w:t>
      </w:r>
    </w:p>
    <w:p>
      <w:pPr>
        <w:spacing w:after="0" w:line="163" w:lineRule="exact"/>
        <w:rPr>
          <w:sz w:val="20"/>
          <w:szCs w:val="20"/>
          <w:color w:val="auto"/>
        </w:rPr>
      </w:pPr>
    </w:p>
    <w:p>
      <w:pPr>
        <w:ind w:left="960" w:right="479" w:firstLine="614"/>
        <w:spacing w:after="0" w:line="254" w:lineRule="auto"/>
        <w:tabs>
          <w:tab w:leader="none" w:pos="1895" w:val="left"/>
        </w:tabs>
        <w:numPr>
          <w:ilvl w:val="1"/>
          <w:numId w:val="9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International Data Transfers</w:t>
      </w:r>
      <w:r>
        <w:rPr>
          <w:rFonts w:ascii="Times New Roman" w:cs="Times New Roman" w:eastAsia="Times New Roman" w:hAnsi="Times New Roman"/>
          <w:sz w:val="22"/>
          <w:szCs w:val="22"/>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The Company’s legal basis for the transfer of the Participant’s personal data is his or her consent.</w:t>
      </w:r>
    </w:p>
    <w:p>
      <w:pPr>
        <w:spacing w:after="0" w:line="173" w:lineRule="exact"/>
        <w:rPr>
          <w:rFonts w:ascii="Times New Roman" w:cs="Times New Roman" w:eastAsia="Times New Roman" w:hAnsi="Times New Roman"/>
          <w:sz w:val="22"/>
          <w:szCs w:val="22"/>
          <w:b w:val="1"/>
          <w:bCs w:val="1"/>
          <w:i w:val="1"/>
          <w:iCs w:val="1"/>
          <w:color w:val="auto"/>
        </w:rPr>
      </w:pPr>
    </w:p>
    <w:p>
      <w:pPr>
        <w:ind w:left="960" w:right="399" w:firstLine="614"/>
        <w:spacing w:after="0" w:line="258" w:lineRule="auto"/>
        <w:tabs>
          <w:tab w:leader="none" w:pos="1895" w:val="left"/>
        </w:tabs>
        <w:numPr>
          <w:ilvl w:val="1"/>
          <w:numId w:val="9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Data Retention</w:t>
      </w:r>
      <w:r>
        <w:rPr>
          <w:rFonts w:ascii="Times New Roman" w:cs="Times New Roman" w:eastAsia="Times New Roman" w:hAnsi="Times New Roman"/>
          <w:sz w:val="22"/>
          <w:szCs w:val="22"/>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and security laws.</w:t>
      </w:r>
    </w:p>
    <w:p>
      <w:pPr>
        <w:spacing w:after="0" w:line="167" w:lineRule="exact"/>
        <w:rPr>
          <w:rFonts w:ascii="Times New Roman" w:cs="Times New Roman" w:eastAsia="Times New Roman" w:hAnsi="Times New Roman"/>
          <w:sz w:val="22"/>
          <w:szCs w:val="22"/>
          <w:b w:val="1"/>
          <w:bCs w:val="1"/>
          <w:i w:val="1"/>
          <w:iCs w:val="1"/>
          <w:color w:val="auto"/>
        </w:rPr>
      </w:pPr>
    </w:p>
    <w:p>
      <w:pPr>
        <w:ind w:left="960" w:right="339" w:firstLine="614"/>
        <w:spacing w:after="0" w:line="251" w:lineRule="auto"/>
        <w:tabs>
          <w:tab w:leader="none" w:pos="1841" w:val="left"/>
        </w:tabs>
        <w:numPr>
          <w:ilvl w:val="1"/>
          <w:numId w:val="9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Voluntariness and Consequences of Consent Denial or Withdrawal</w:t>
      </w:r>
      <w:r>
        <w:rPr>
          <w:rFonts w:ascii="Times New Roman" w:cs="Times New Roman" w:eastAsia="Times New Roman" w:hAnsi="Times New Roman"/>
          <w:sz w:val="22"/>
          <w:szCs w:val="22"/>
          <w:b w:val="1"/>
          <w:bCs w:val="1"/>
          <w:i w:val="1"/>
          <w:iCs w:val="1"/>
          <w:color w:val="auto"/>
        </w:rPr>
        <w:t xml:space="preserve"> :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as an employee or his or her career; the Participant would merely forfeit the opportunities associated with the Plan.</w:t>
      </w:r>
    </w:p>
    <w:p>
      <w:pPr>
        <w:spacing w:after="0" w:line="186" w:lineRule="exact"/>
        <w:rPr>
          <w:rFonts w:ascii="Times New Roman" w:cs="Times New Roman" w:eastAsia="Times New Roman" w:hAnsi="Times New Roman"/>
          <w:sz w:val="22"/>
          <w:szCs w:val="22"/>
          <w:b w:val="1"/>
          <w:bCs w:val="1"/>
          <w:i w:val="1"/>
          <w:iCs w:val="1"/>
          <w:color w:val="auto"/>
        </w:rPr>
      </w:pPr>
    </w:p>
    <w:p>
      <w:pPr>
        <w:ind w:left="960" w:right="359" w:firstLine="614"/>
        <w:spacing w:after="0" w:line="262" w:lineRule="auto"/>
        <w:tabs>
          <w:tab w:leader="none" w:pos="1841" w:val="left"/>
        </w:tabs>
        <w:numPr>
          <w:ilvl w:val="1"/>
          <w:numId w:val="9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u w:val="single" w:color="auto"/>
          <w:color w:val="auto"/>
        </w:rPr>
        <w:t>Data Subject Rights</w:t>
      </w:r>
      <w:r>
        <w:rPr>
          <w:rFonts w:ascii="Times New Roman" w:cs="Times New Roman" w:eastAsia="Times New Roman" w:hAnsi="Times New Roman"/>
          <w:sz w:val="21"/>
          <w:szCs w:val="21"/>
          <w:b w:val="1"/>
          <w:bCs w:val="1"/>
          <w:i w:val="1"/>
          <w:iCs w:val="1"/>
          <w:color w:val="auto"/>
        </w:rPr>
        <w:t>: The Participant has a number of rights under data privacy laws in his or her country. Depending on where the Participant is based, the Participant’s rights may include the right to (i) request access or copies of personal data of the Company processes, (ii) rectification of incorrect data, (iii) deletion of data,</w:t>
      </w:r>
    </w:p>
    <w:p>
      <w:pPr>
        <w:spacing w:after="0" w:line="1" w:lineRule="exact"/>
        <w:rPr>
          <w:rFonts w:ascii="Times New Roman" w:cs="Times New Roman" w:eastAsia="Times New Roman" w:hAnsi="Times New Roman"/>
          <w:sz w:val="21"/>
          <w:szCs w:val="21"/>
          <w:b w:val="1"/>
          <w:bCs w:val="1"/>
          <w:i w:val="1"/>
          <w:iCs w:val="1"/>
          <w:color w:val="auto"/>
        </w:rPr>
      </w:pPr>
    </w:p>
    <w:p>
      <w:pPr>
        <w:ind w:left="960" w:right="619" w:hanging="1"/>
        <w:spacing w:after="0" w:line="246" w:lineRule="auto"/>
        <w:tabs>
          <w:tab w:leader="none" w:pos="1314" w:val="left"/>
        </w:tabs>
        <w:numPr>
          <w:ilvl w:val="0"/>
          <w:numId w:val="9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restrictions on processing, (v) portability of data, (vi) lodge complaints with competent authorities in the Participant’s country, and/or (vii) a list with the names and address of any potential recipients of the Participant’s data. To receive clarification regarding the Participant’s rights or to exercise the Participant’s rights please contact the Company at The Carlyle Group Inc., 1001 Pennsylvania Avenue, NW, Washington, DC 20004 U.S.A., Attention: Equity Management.</w:t>
      </w:r>
    </w:p>
    <w:p>
      <w:pPr>
        <w:spacing w:after="0" w:line="196" w:lineRule="exact"/>
        <w:rPr>
          <w:sz w:val="20"/>
          <w:szCs w:val="20"/>
          <w:color w:val="auto"/>
        </w:rPr>
      </w:pPr>
    </w:p>
    <w:p>
      <w:pPr>
        <w:ind w:left="300" w:right="499"/>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If the Participant agrees with the data processing practices as described in this notice, please declare the Participant’s consent by clicking the “Accept Award” button on the Morgan Stanley award acceptance page or signing below.</w:t>
      </w:r>
    </w:p>
    <w:p>
      <w:pPr>
        <w:spacing w:after="0" w:line="169" w:lineRule="exact"/>
        <w:rPr>
          <w:sz w:val="20"/>
          <w:szCs w:val="20"/>
          <w:color w:val="auto"/>
        </w:rPr>
      </w:pPr>
    </w:p>
    <w:p>
      <w:pPr>
        <w:ind w:left="300" w:right="499" w:firstLine="659"/>
        <w:spacing w:after="0" w:line="263" w:lineRule="auto"/>
        <w:tabs>
          <w:tab w:leader="none" w:pos="161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of a Holder of Shares</w:t>
      </w:r>
      <w:r>
        <w:rPr>
          <w:rFonts w:ascii="Times New Roman" w:cs="Times New Roman" w:eastAsia="Times New Roman" w:hAnsi="Times New Roman"/>
          <w:sz w:val="22"/>
          <w:szCs w:val="22"/>
          <w:color w:val="auto"/>
        </w:rPr>
        <w:t>. Except as otherwise provided herein, the Participant shall not have any rights as a holder of Shares until such Shares have been issued or transferred to the Participant.</w:t>
      </w:r>
    </w:p>
    <w:p>
      <w:pPr>
        <w:spacing w:after="0" w:line="167" w:lineRule="exact"/>
        <w:rPr>
          <w:rFonts w:ascii="Times New Roman" w:cs="Times New Roman" w:eastAsia="Times New Roman" w:hAnsi="Times New Roman"/>
          <w:sz w:val="22"/>
          <w:szCs w:val="22"/>
          <w:color w:val="auto"/>
        </w:rPr>
      </w:pPr>
    </w:p>
    <w:p>
      <w:pPr>
        <w:ind w:left="300" w:right="559" w:firstLine="659"/>
        <w:spacing w:after="0" w:line="272" w:lineRule="auto"/>
        <w:tabs>
          <w:tab w:leader="none" w:pos="1615"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Any Shares issued or transferred to the Participant or to the Participant’s beneficiary pursuant to Section 4 of this Award Agreement (including, without limitation, following the Participant’s death or Disability) shall be subject to such stop transfer orders and other restrictions as the Administrator may deem advisable under the Plan or the</w:t>
      </w:r>
    </w:p>
    <w:p>
      <w:pPr>
        <w:sectPr>
          <w:pgSz w:w="11900" w:h="16878" w:orient="portrait"/>
          <w:cols w:equalWidth="0" w:num="1">
            <w:col w:w="9019"/>
          </w:cols>
          <w:pgMar w:left="1440" w:top="65" w:right="1440" w:bottom="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8</w:t>
      </w:r>
    </w:p>
    <w:p>
      <w:pPr>
        <w:spacing w:after="0" w:line="395" w:lineRule="exact"/>
        <w:rPr>
          <w:sz w:val="20"/>
          <w:szCs w:val="20"/>
          <w:color w:val="auto"/>
        </w:rPr>
      </w:pPr>
    </w:p>
    <w:p>
      <w:pPr>
        <w:ind w:left="300" w:right="419"/>
        <w:spacing w:after="0" w:line="249" w:lineRule="auto"/>
        <w:rPr>
          <w:sz w:val="20"/>
          <w:szCs w:val="20"/>
          <w:color w:val="auto"/>
        </w:rPr>
      </w:pPr>
      <w:r>
        <w:rPr>
          <w:rFonts w:ascii="Times New Roman" w:cs="Times New Roman" w:eastAsia="Times New Roman" w:hAnsi="Times New Roman"/>
          <w:sz w:val="22"/>
          <w:szCs w:val="22"/>
          <w:color w:val="auto"/>
        </w:rPr>
        <w:t>rules, regulations, and other requirements of the SEC, any stock exchange upon which such Shares are listed and any applicable U.S. or non-U.S. federal, state or local laws, and the Administrator may cause a notation or notations to be put entered into the books and records of the Company to make appropriate reference to such restrictions. Without limiting the generality of the forgoing, a Participant’s ability to sell or transfer the Shares shall be subject to such trading policies or limitations as the Administrator may, in its sole discretion, impose from time to time on current or former senior professionals, employees, consultants, directors, members, partners or other service providers of the Company or of any of its Affiliates.</w:t>
      </w:r>
    </w:p>
    <w:p>
      <w:pPr>
        <w:spacing w:after="0" w:line="195" w:lineRule="exact"/>
        <w:rPr>
          <w:sz w:val="20"/>
          <w:szCs w:val="20"/>
          <w:color w:val="auto"/>
        </w:rPr>
      </w:pPr>
    </w:p>
    <w:p>
      <w:pPr>
        <w:ind w:left="300" w:right="459" w:firstLine="659"/>
        <w:spacing w:after="0" w:line="251" w:lineRule="auto"/>
        <w:tabs>
          <w:tab w:leader="none" w:pos="161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Unless otherwise determined or approved by the Administrator, no RSUs may be assigned, alienated, pledged, attached, sold or otherwise transferred or encumbered by the Participant other than by will or by the laws of descent and distribution, and any purported assignment, alienation, pledge, attachment, sale, transfer or encumbrance not permitted by this Section 13 shall be void and unenforceable against the Company or any Affiliate.</w:t>
      </w:r>
    </w:p>
    <w:p>
      <w:pPr>
        <w:spacing w:after="0" w:line="181" w:lineRule="exact"/>
        <w:rPr>
          <w:rFonts w:ascii="Times New Roman" w:cs="Times New Roman" w:eastAsia="Times New Roman" w:hAnsi="Times New Roman"/>
          <w:sz w:val="22"/>
          <w:szCs w:val="22"/>
          <w:color w:val="auto"/>
        </w:rPr>
      </w:pPr>
    </w:p>
    <w:p>
      <w:pPr>
        <w:ind w:left="300" w:right="359" w:firstLine="659"/>
        <w:spacing w:after="0" w:line="251" w:lineRule="auto"/>
        <w:tabs>
          <w:tab w:leader="none" w:pos="161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claims, demands and other communications hereunder shall be in writing and shall be given (and shall be deemed to have been duly given upon receipt) by delivery in person, by courier service, by fax, or by registered or certified mail (postage prepaid, return receipt requested) to the respective parties at the following addresses (or at such other address for a party as shall be specified in a notice given in accordance with this Section 14):</w:t>
      </w:r>
    </w:p>
    <w:p>
      <w:pPr>
        <w:spacing w:after="0" w:line="181" w:lineRule="exact"/>
        <w:rPr>
          <w:rFonts w:ascii="Times New Roman" w:cs="Times New Roman" w:eastAsia="Times New Roman" w:hAnsi="Times New Roman"/>
          <w:sz w:val="22"/>
          <w:szCs w:val="22"/>
          <w:color w:val="auto"/>
        </w:rPr>
      </w:pPr>
    </w:p>
    <w:p>
      <w:pPr>
        <w:ind w:left="1940" w:hanging="352"/>
        <w:spacing w:after="0"/>
        <w:tabs>
          <w:tab w:leader="none" w:pos="194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to:</w:t>
      </w:r>
    </w:p>
    <w:p>
      <w:pPr>
        <w:spacing w:after="0" w:line="22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The Carlyle Group Inc.</w:t>
      </w:r>
    </w:p>
    <w:p>
      <w:pPr>
        <w:spacing w:after="0" w:line="2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1001 Pennsylvania Avenue, NW</w:t>
      </w:r>
    </w:p>
    <w:p>
      <w:pPr>
        <w:spacing w:after="0" w:line="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Washington, DC 20004</w:t>
      </w:r>
    </w:p>
    <w:p>
      <w:pPr>
        <w:spacing w:after="0" w:line="1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Fax: (202) 315-3678</w:t>
      </w:r>
    </w:p>
    <w:p>
      <w:pPr>
        <w:spacing w:after="0" w:line="196" w:lineRule="exact"/>
        <w:rPr>
          <w:sz w:val="20"/>
          <w:szCs w:val="20"/>
          <w:color w:val="auto"/>
        </w:rPr>
      </w:pPr>
    </w:p>
    <w:p>
      <w:pPr>
        <w:ind w:left="1580" w:right="1759" w:firstLine="8"/>
        <w:spacing w:after="0" w:line="271" w:lineRule="auto"/>
        <w:tabs>
          <w:tab w:leader="none" w:pos="194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Participant, to the address appearing in the personnel records of the Company or any Affiliate.</w:t>
      </w:r>
    </w:p>
    <w:p>
      <w:pPr>
        <w:spacing w:after="0" w:line="171" w:lineRule="exact"/>
        <w:rPr>
          <w:rFonts w:ascii="Times New Roman" w:cs="Times New Roman" w:eastAsia="Times New Roman" w:hAnsi="Times New Roman"/>
          <w:sz w:val="22"/>
          <w:szCs w:val="22"/>
          <w:color w:val="auto"/>
        </w:rPr>
      </w:pPr>
    </w:p>
    <w:p>
      <w:pPr>
        <w:ind w:left="300" w:right="539" w:firstLine="659"/>
        <w:spacing w:after="0" w:line="261" w:lineRule="auto"/>
        <w:tabs>
          <w:tab w:leader="none" w:pos="1615"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Participant acknowledges that he or she may be required to pay to the Company or, if different, an Affiliate that employs the Participant (the “</w:t>
      </w:r>
      <w:r>
        <w:rPr>
          <w:rFonts w:ascii="Times New Roman" w:cs="Times New Roman" w:eastAsia="Times New Roman" w:hAnsi="Times New Roman"/>
          <w:sz w:val="21"/>
          <w:szCs w:val="21"/>
          <w:u w:val="single" w:color="auto"/>
          <w:color w:val="auto"/>
        </w:rPr>
        <w:t>Employer</w:t>
      </w:r>
      <w:r>
        <w:rPr>
          <w:rFonts w:ascii="Times New Roman" w:cs="Times New Roman" w:eastAsia="Times New Roman" w:hAnsi="Times New Roman"/>
          <w:sz w:val="21"/>
          <w:szCs w:val="21"/>
          <w:color w:val="auto"/>
        </w:rPr>
        <w:t>”), and that the Company, the Employer, or any Affiliate shall have the right and are hereby authorized to withhold from any compensation or other amount owing to the Participant, applicable income tax, social insurance, payroll tax, fringe benefits tax, payment on account or other tax-related items (including taxes that are imposed on the Company or the Employer as a result of the Participant’s participation in the Plan but are deemed by the Company or the Employer to be an appropriate charge to the Participant) (collectively, “</w:t>
      </w:r>
      <w:r>
        <w:rPr>
          <w:rFonts w:ascii="Times New Roman" w:cs="Times New Roman" w:eastAsia="Times New Roman" w:hAnsi="Times New Roman"/>
          <w:sz w:val="21"/>
          <w:szCs w:val="21"/>
          <w:u w:val="single" w:color="auto"/>
          <w:color w:val="auto"/>
        </w:rPr>
        <w:t>Tax-Related Items</w:t>
      </w:r>
      <w:r>
        <w:rPr>
          <w:rFonts w:ascii="Times New Roman" w:cs="Times New Roman" w:eastAsia="Times New Roman" w:hAnsi="Times New Roman"/>
          <w:sz w:val="21"/>
          <w:szCs w:val="21"/>
          <w:color w:val="auto"/>
        </w:rPr>
        <w:t>”), with respect to any issuance, transfer, or other taxable event under this Award Agreement or under the Plan and to take such action as may be necessary in the opinion of the Company to satisfy all obligations for the payment of such Tax-Related Items. The Participant further acknowledges that the Company and/or the Employer (i) make no representations or</w:t>
      </w:r>
    </w:p>
    <w:p>
      <w:pPr>
        <w:sectPr>
          <w:pgSz w:w="11900" w:h="16838" w:orient="portrait"/>
          <w:cols w:equalWidth="0" w:num="1">
            <w:col w:w="9019"/>
          </w:cols>
          <w:pgMar w:left="1440" w:top="1440" w:right="1440" w:bottom="1440" w:gutter="0" w:footer="0" w:header="0"/>
        </w:sectPr>
      </w:pPr>
    </w:p>
    <w:bookmarkStart w:id="115" w:name="page116"/>
    <w:bookmarkEnd w:id="115"/>
    <w:p>
      <w:pPr>
        <w:spacing w:after="0" w:line="52"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-116840</wp:posOffset>
            </wp:positionV>
            <wp:extent cx="7132320" cy="105156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335"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21"/>
          <w:szCs w:val="21"/>
          <w:color w:val="auto"/>
        </w:rPr>
        <w:t>undertakings regarding the treatment of any Tax-Related Items in connection with any aspect of the RSUs, including, but not limited to the grant or vesting of the RSUs and the subsequent sale of Shares acquired upon settlement of the Vested RSUs; and (ii) do not commit to and are under no obligation to structure the terms of the grant or any aspect of the RSUs to reduce or eliminate the Participant’s liability for Tax-Related Items or achieve a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 Without limiting the foregoing, the Administrator may, from time to time, permit the Participant to make arrangements prior to any Vesting Date described herein to pay the applicable Tax-Related Items in a manner prescribed by the Administrator prior to the applicable Vesting Date; provided that, unless otherwise determined by the Administrator, any such payment or estimate must be received by the Company prior to an applicable Vesting Date. Additionally, the Participant authorizes the Company and/or the Employer to satisfy the obligations with regard to all Tax-Related Items by (i) withholding from proceeds of the sale of Shares acquired upon settlement of the Vested RSUs either through a voluntary sale or through a mandatory sale arranged by the Company (on the Participant’s behalf pursuant to this authorization) or (ii) using a net settlement method whereby the number of Shares that would otherwise be delivered to the Participant upon the settlement of Vested RSUs shall be reduced by a number of Shares having a fair market value necessary to satisfy such obligations. Depending on the withholding method, the Company and/ or the Employer may withhold or account for the Tax-Related Items by considering minimum statutory withholding amounts or other applicable withholding rates in the Participant’s jurisdiction(s), including maximum applicable rates. In the event of overwithholding, the Participant may receive a refund of any over-withheld amount in cash through the Employer’s normal payroll process (with no entitlement to the equivalent in Shares), or if not refunded, the Participant may seek a refund from the applicable tax authorities. In the event of under-withholding, the Participant may be required to pay additional Tax-Related Items directly to the applicable tax authorities or to the Company and/or the Employer. The Participant acknowledges that, regardless of any action taken by the Company, the Employer, or any Affiliate the ultimate liability for all Tax-Related Items, is and remains the Participant’s responsibility and may exceed the amount, if any, actually withheld by the Company or the Employer. The Company may refuse to issue or deliver the Shares or the proceeds from the sale of Shares, if the Participant fails to comply with his or her obligations in connection with the Tax-Related Items.</w:t>
      </w:r>
    </w:p>
    <w:p>
      <w:pPr>
        <w:spacing w:after="0" w:line="208" w:lineRule="exact"/>
        <w:rPr>
          <w:sz w:val="20"/>
          <w:szCs w:val="20"/>
          <w:color w:val="auto"/>
        </w:rPr>
      </w:pPr>
    </w:p>
    <w:p>
      <w:pPr>
        <w:ind w:left="300" w:right="339" w:firstLine="659"/>
        <w:spacing w:after="0" w:line="261" w:lineRule="auto"/>
        <w:tabs>
          <w:tab w:leader="none" w:pos="1615"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 Venue</w:t>
      </w:r>
      <w:r>
        <w:rPr>
          <w:rFonts w:ascii="Times New Roman" w:cs="Times New Roman" w:eastAsia="Times New Roman" w:hAnsi="Times New Roman"/>
          <w:sz w:val="21"/>
          <w:szCs w:val="21"/>
          <w:color w:val="auto"/>
        </w:rPr>
        <w:t xml:space="preserve"> . The interpretation, performance and enforcement of this Award Agreement shall be governed by the law of the State of New York without regard to its conflict of law provisions. Any and all disputes, controversies or issues arising out of, concerning or relating to this Award, this Award Agreement or the relationship between the parties evidenced by the Award Agreement, including, without limitation, disputes, controversies or issues arising out of, concerning or relating to the construction, interpretation, breach or enforcement of this Award Agreement, shall be brought exclusively in the courts in the State of New York, City and County of New York, including the Federal Courts located therein (should Federal jurisdiction exist). Each of the parties hereby expressly represents and agrees that it/he/ she is subject to the personal jurisdiction of said courts, irrevocably consents to the personal jurisdiction of such courts; and waives to the fullest extent permitted by law any objection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10</w:t>
      </w:r>
    </w:p>
    <w:p>
      <w:pPr>
        <w:spacing w:after="0" w:line="395" w:lineRule="exact"/>
        <w:rPr>
          <w:sz w:val="20"/>
          <w:szCs w:val="20"/>
          <w:color w:val="auto"/>
        </w:rPr>
      </w:pPr>
    </w:p>
    <w:p>
      <w:pPr>
        <w:ind w:left="300" w:right="899"/>
        <w:spacing w:after="0" w:line="275" w:lineRule="auto"/>
        <w:rPr>
          <w:sz w:val="20"/>
          <w:szCs w:val="20"/>
          <w:color w:val="auto"/>
        </w:rPr>
      </w:pPr>
      <w:r>
        <w:rPr>
          <w:rFonts w:ascii="Times New Roman" w:cs="Times New Roman" w:eastAsia="Times New Roman" w:hAnsi="Times New Roman"/>
          <w:sz w:val="21"/>
          <w:szCs w:val="21"/>
          <w:color w:val="auto"/>
        </w:rPr>
        <w:t>it/he/she may now or hereafter have that the laying of the venue of any legal lawsuit or proceeding related to such dispute, controversy or issue that is brought in any such court is improper or that such lawsuit or proceeding has been brought in an inconvenient forum.</w:t>
      </w:r>
    </w:p>
    <w:p>
      <w:pPr>
        <w:spacing w:after="0" w:line="169" w:lineRule="exact"/>
        <w:rPr>
          <w:sz w:val="20"/>
          <w:szCs w:val="20"/>
          <w:color w:val="auto"/>
        </w:rPr>
      </w:pPr>
    </w:p>
    <w:p>
      <w:pPr>
        <w:ind w:left="300" w:right="579" w:firstLine="659"/>
        <w:spacing w:after="0" w:line="295" w:lineRule="auto"/>
        <w:tabs>
          <w:tab w:leader="none" w:pos="1615"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RIGHT TO JURY TRIAL</w:t>
      </w:r>
      <w:r>
        <w:rPr>
          <w:rFonts w:ascii="Times New Roman" w:cs="Times New Roman" w:eastAsia="Times New Roman" w:hAnsi="Times New Roman"/>
          <w:sz w:val="21"/>
          <w:szCs w:val="21"/>
          <w:color w:val="auto"/>
        </w:rPr>
        <w:t xml:space="preserve"> . AS SPECIFICALLY BARGAINED FOR INDUCEMENT FOR EACH OF THE PARTIES HERETO TO ENTER INTO THIS</w:t>
      </w:r>
    </w:p>
    <w:p>
      <w:pPr>
        <w:sectPr>
          <w:pgSz w:w="11900" w:h="16890" w:orient="portrait"/>
          <w:cols w:equalWidth="0" w:num="1">
            <w:col w:w="9019"/>
          </w:cols>
          <w:pgMar w:left="1440" w:top="71" w:right="1440" w:bottom="0" w:gutter="0" w:footer="0" w:header="0"/>
        </w:sectPr>
      </w:pPr>
    </w:p>
    <w:bookmarkStart w:id="116" w:name="page117"/>
    <w:bookmarkEnd w:id="116"/>
    <w:p>
      <w:pPr>
        <w:ind w:left="300" w:right="459"/>
        <w:spacing w:after="0" w:line="246" w:lineRule="auto"/>
        <w:rPr>
          <w:sz w:val="20"/>
          <w:szCs w:val="20"/>
          <w:color w:val="auto"/>
        </w:rPr>
      </w:pPr>
      <w:r>
        <w:rPr>
          <w:rFonts w:ascii="Times New Roman" w:cs="Times New Roman" w:eastAsia="Times New Roman" w:hAnsi="Times New Roman"/>
          <w:sz w:val="21"/>
          <w:szCs w:val="21"/>
          <w:color w:val="auto"/>
        </w:rPr>
        <w:t>AWARD AGREEMENT (AFTER HAVING THE OPPORTUNITY TO CONSULT WITH COUNSEL OF ITS/HIS/HER CHOICE), EACH PARTY EXPRESSLY WAIVES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-270510</wp:posOffset>
            </wp:positionV>
            <wp:extent cx="7132320" cy="105156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839"/>
        <w:spacing w:after="0" w:line="249" w:lineRule="auto"/>
        <w:rPr>
          <w:sz w:val="20"/>
          <w:szCs w:val="20"/>
          <w:color w:val="auto"/>
        </w:rPr>
      </w:pPr>
      <w:r>
        <w:rPr>
          <w:rFonts w:ascii="Times New Roman" w:cs="Times New Roman" w:eastAsia="Times New Roman" w:hAnsi="Times New Roman"/>
          <w:sz w:val="22"/>
          <w:szCs w:val="22"/>
          <w:color w:val="auto"/>
        </w:rPr>
        <w:t>TO TRIAL BY JURY IN ANY LAWSUIT OR PROCEEDING ARISING OUT OF, CONCERNING OR RELATING TO THIS AWARD, THIS AWARD AGREEMENT, THE RELATIONSHIP BETWEEN THE PARTIES EVIDENCED BY THIS AWARD AGREEMENT AND/OR THE MATTERS CONTEMPLATED THEREBY.</w:t>
      </w:r>
    </w:p>
    <w:p>
      <w:pPr>
        <w:spacing w:after="0" w:line="182" w:lineRule="exact"/>
        <w:rPr>
          <w:sz w:val="20"/>
          <w:szCs w:val="20"/>
          <w:color w:val="auto"/>
        </w:rPr>
      </w:pPr>
    </w:p>
    <w:p>
      <w:pPr>
        <w:ind w:left="300" w:right="319" w:firstLine="659"/>
        <w:spacing w:after="0" w:line="253" w:lineRule="auto"/>
        <w:tabs>
          <w:tab w:leader="none" w:pos="161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Subject to Plan</w:t>
      </w:r>
      <w:r>
        <w:rPr>
          <w:rFonts w:ascii="Times New Roman" w:cs="Times New Roman" w:eastAsia="Times New Roman" w:hAnsi="Times New Roman"/>
          <w:sz w:val="22"/>
          <w:szCs w:val="22"/>
          <w:color w:val="auto"/>
        </w:rPr>
        <w:t>. By entering into this Award Agreement, the Participant agrees and acknowledges that the Participant has received and read a copy of the Plan. All RSUs and Shares issued or transferred with respect thereof are subject to the Plan. In the event of a conflict between any term or provision contained herein and a term or provision of the Plan, the applicable terms and provisions of the Plan will govern and prevail.</w:t>
      </w:r>
    </w:p>
    <w:p>
      <w:pPr>
        <w:spacing w:after="0" w:line="178" w:lineRule="exact"/>
        <w:rPr>
          <w:rFonts w:ascii="Times New Roman" w:cs="Times New Roman" w:eastAsia="Times New Roman" w:hAnsi="Times New Roman"/>
          <w:sz w:val="22"/>
          <w:szCs w:val="22"/>
          <w:color w:val="auto"/>
        </w:rPr>
      </w:pPr>
    </w:p>
    <w:p>
      <w:pPr>
        <w:ind w:left="300" w:right="339" w:firstLine="659"/>
        <w:spacing w:after="0" w:line="248" w:lineRule="auto"/>
        <w:tabs>
          <w:tab w:leader="none" w:pos="161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Award Agreement contains the entire understanding between the parties with respect to the RSUs granted hereunder (including, without limitation, the vesting and delivery schedules and other terms described herein and in each Appendix attached hereto), and hereby replaces and supersedes any prior communication and arrangements between the Participant and the Company or any of its Affiliates with respect to the matters set forth herein and any other pre-existing economic or other arrangements between the Participant and the Company or any of its Affiliates, </w:t>
      </w:r>
      <w:r>
        <w:rPr>
          <w:rFonts w:ascii="Times New Roman" w:cs="Times New Roman" w:eastAsia="Times New Roman" w:hAnsi="Times New Roman"/>
          <w:sz w:val="22"/>
          <w:szCs w:val="22"/>
          <w:u w:val="single" w:color="auto"/>
          <w:color w:val="auto"/>
        </w:rPr>
        <w:t>unless</w:t>
      </w:r>
      <w:r>
        <w:rPr>
          <w:rFonts w:ascii="Times New Roman" w:cs="Times New Roman" w:eastAsia="Times New Roman" w:hAnsi="Times New Roman"/>
          <w:sz w:val="22"/>
          <w:szCs w:val="22"/>
          <w:color w:val="auto"/>
        </w:rPr>
        <w:t xml:space="preserve"> otherwise explicitly provided for in any other agreement that the Participant has entered into with the Company or any of its Affiliates and that is set forth on Schedule A hereto. Unless set forth on Schedule A hereto, no such other agreement entered into prior to the Date of Grant shall have any effect on the terms of this Award Agreement.</w:t>
      </w:r>
    </w:p>
    <w:p>
      <w:pPr>
        <w:spacing w:after="0" w:line="188" w:lineRule="exact"/>
        <w:rPr>
          <w:rFonts w:ascii="Times New Roman" w:cs="Times New Roman" w:eastAsia="Times New Roman" w:hAnsi="Times New Roman"/>
          <w:sz w:val="22"/>
          <w:szCs w:val="22"/>
          <w:color w:val="auto"/>
        </w:rPr>
      </w:pPr>
    </w:p>
    <w:p>
      <w:pPr>
        <w:ind w:left="300" w:right="399" w:firstLine="659"/>
        <w:spacing w:after="0" w:line="265" w:lineRule="auto"/>
        <w:tabs>
          <w:tab w:leader="none" w:pos="1615"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Modifications</w:t>
      </w:r>
      <w:r>
        <w:rPr>
          <w:rFonts w:ascii="Times New Roman" w:cs="Times New Roman" w:eastAsia="Times New Roman" w:hAnsi="Times New Roman"/>
          <w:sz w:val="21"/>
          <w:szCs w:val="21"/>
          <w:color w:val="auto"/>
        </w:rPr>
        <w:t>. Notwithstanding any provision of this Award Agreement to the contrary, the Company reserves the right to modify the terms and conditions of this Award Agreement, including, without limitation, the timing or circumstances of the issuance or transfer of Shares to the Participant hereunder, to the extent such modification is determined by the Company to be necessary to comply with applicable law or preserve the intended deferral of income recognition with respect to the RSUs until the issuance or transfer of Shares hereunder.</w:t>
      </w:r>
    </w:p>
    <w:p>
      <w:pPr>
        <w:spacing w:after="0" w:line="182" w:lineRule="exact"/>
        <w:rPr>
          <w:rFonts w:ascii="Times New Roman" w:cs="Times New Roman" w:eastAsia="Times New Roman" w:hAnsi="Times New Roman"/>
          <w:sz w:val="21"/>
          <w:szCs w:val="21"/>
          <w:color w:val="auto"/>
        </w:rPr>
      </w:pPr>
    </w:p>
    <w:p>
      <w:pPr>
        <w:ind w:left="300" w:right="459" w:firstLine="659"/>
        <w:spacing w:after="0" w:line="250" w:lineRule="auto"/>
        <w:tabs>
          <w:tab w:leader="none" w:pos="161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Signature in Counterparts; Electronic Acceptance</w:t>
      </w:r>
      <w:r>
        <w:rPr>
          <w:rFonts w:ascii="Times New Roman" w:cs="Times New Roman" w:eastAsia="Times New Roman" w:hAnsi="Times New Roman"/>
          <w:sz w:val="22"/>
          <w:szCs w:val="22"/>
          <w:color w:val="auto"/>
        </w:rPr>
        <w:t>. This Award Agreement may be signed in counterparts, each of which shall be an original, with the same effect as if the signatures thereto and hereto were upon the same instrument. Alternatively, this Award Agreement may be granted to and accepted by the Participant electronically (including, without limitation, via DocuSign or through the Morgan Stanley website).</w:t>
      </w:r>
    </w:p>
    <w:p>
      <w:pPr>
        <w:spacing w:after="0" w:line="194" w:lineRule="exact"/>
        <w:rPr>
          <w:rFonts w:ascii="Times New Roman" w:cs="Times New Roman" w:eastAsia="Times New Roman" w:hAnsi="Times New Roman"/>
          <w:sz w:val="22"/>
          <w:szCs w:val="22"/>
          <w:color w:val="auto"/>
        </w:rPr>
      </w:pPr>
    </w:p>
    <w:p>
      <w:pPr>
        <w:ind w:left="300" w:right="519" w:firstLine="659"/>
        <w:spacing w:after="0" w:line="295" w:lineRule="auto"/>
        <w:tabs>
          <w:tab w:leader="none" w:pos="1615"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Delivery</w:t>
      </w:r>
      <w:r>
        <w:rPr>
          <w:rFonts w:ascii="Times New Roman" w:cs="Times New Roman" w:eastAsia="Times New Roman" w:hAnsi="Times New Roman"/>
          <w:sz w:val="21"/>
          <w:szCs w:val="21"/>
          <w:color w:val="auto"/>
        </w:rPr>
        <w:t>. The Company may, in its sole discretion, decide to deliver any documents related to current or future participation in the Plan by electronic means.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22"/>
          <w:szCs w:val="22"/>
          <w:color w:val="auto"/>
        </w:rPr>
        <w:t>11</w:t>
      </w:r>
    </w:p>
    <w:p>
      <w:pPr>
        <w:spacing w:after="0" w:line="395" w:lineRule="exact"/>
        <w:rPr>
          <w:sz w:val="20"/>
          <w:szCs w:val="20"/>
          <w:color w:val="auto"/>
        </w:rPr>
      </w:pPr>
    </w:p>
    <w:p>
      <w:pPr>
        <w:ind w:left="300" w:right="419"/>
        <w:spacing w:after="0" w:line="257" w:lineRule="auto"/>
        <w:rPr>
          <w:sz w:val="20"/>
          <w:szCs w:val="20"/>
          <w:color w:val="auto"/>
        </w:rPr>
      </w:pPr>
      <w:r>
        <w:rPr>
          <w:rFonts w:ascii="Times New Roman" w:cs="Times New Roman" w:eastAsia="Times New Roman" w:hAnsi="Times New Roman"/>
          <w:sz w:val="22"/>
          <w:szCs w:val="22"/>
          <w:color w:val="auto"/>
        </w:rPr>
        <w:t>Participant hereby consents to receive such documents by electronic delivery and agrees to participate in the Plan through an on-line or electronic system established and maintained by the Company or a third party designated by the Company.</w:t>
      </w:r>
    </w:p>
    <w:p>
      <w:pPr>
        <w:spacing w:after="0" w:line="186" w:lineRule="exact"/>
        <w:rPr>
          <w:sz w:val="20"/>
          <w:szCs w:val="20"/>
          <w:color w:val="auto"/>
        </w:rPr>
      </w:pPr>
    </w:p>
    <w:p>
      <w:pPr>
        <w:ind w:left="300" w:right="299" w:firstLine="659"/>
        <w:spacing w:after="0" w:line="260" w:lineRule="auto"/>
        <w:tabs>
          <w:tab w:leader="none" w:pos="1615"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w:t>
      </w:r>
      <w:r>
        <w:rPr>
          <w:rFonts w:ascii="Times New Roman" w:cs="Times New Roman" w:eastAsia="Times New Roman" w:hAnsi="Times New Roman"/>
          <w:sz w:val="21"/>
          <w:szCs w:val="21"/>
          <w:color w:val="auto"/>
        </w:rPr>
        <w:t>. Notwithstanding any other provision of this Award Agreement, unless there is an available exemption from any registration, qualification or other legal requirement applicable to the Shares, the Company shall not be required to deliver any Shares issuable upon settlement of the RSUs prior to the completion of any registration or qualification of the Shares under any local, state, federal or foreign securities or exchange control law or under rulings or regulations of the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Participant understands that the Company is under no obligation to register or qualify the Shares with the SEC or any state or foreign</w:t>
      </w:r>
    </w:p>
    <w:p>
      <w:pPr>
        <w:sectPr>
          <w:pgSz w:w="11900" w:h="16838" w:orient="portrait"/>
          <w:cols w:equalWidth="0" w:num="1">
            <w:col w:w="9019"/>
          </w:cols>
          <w:pgMar w:left="1440" w:top="71" w:right="1440" w:bottom="0" w:gutter="0" w:footer="0" w:header="0"/>
        </w:sectPr>
      </w:pPr>
    </w:p>
    <w:bookmarkStart w:id="117" w:name="page118"/>
    <w:bookmarkEnd w:id="117"/>
    <w:p>
      <w:pPr>
        <w:spacing w:after="0" w:line="8" w:lineRule="exact"/>
        <w:rPr>
          <w:sz w:val="20"/>
          <w:szCs w:val="20"/>
          <w:color w:val="auto"/>
        </w:rPr>
      </w:pPr>
    </w:p>
    <w:p>
      <w:pPr>
        <w:ind w:left="300" w:right="459"/>
        <w:spacing w:after="0" w:line="197" w:lineRule="auto"/>
        <w:rPr>
          <w:sz w:val="20"/>
          <w:szCs w:val="20"/>
          <w:color w:val="auto"/>
        </w:rPr>
      </w:pPr>
      <w:r>
        <w:rPr>
          <w:rFonts w:ascii="Times New Roman" w:cs="Times New Roman" w:eastAsia="Times New Roman" w:hAnsi="Times New Roman"/>
          <w:sz w:val="22"/>
          <w:szCs w:val="22"/>
          <w:color w:val="auto"/>
        </w:rPr>
        <w:t>securities commission or to seek approval or clearance from any governmental authority for the issuance or sale of the Shares. Further, the Participant agrees that the Company shall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32320" cy="105156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459"/>
        <w:spacing w:after="0" w:line="245" w:lineRule="auto"/>
        <w:rPr>
          <w:sz w:val="20"/>
          <w:szCs w:val="20"/>
          <w:color w:val="auto"/>
        </w:rPr>
      </w:pPr>
      <w:r>
        <w:rPr>
          <w:rFonts w:ascii="Times New Roman" w:cs="Times New Roman" w:eastAsia="Times New Roman" w:hAnsi="Times New Roman"/>
          <w:sz w:val="22"/>
          <w:szCs w:val="22"/>
          <w:color w:val="auto"/>
        </w:rPr>
        <w:t>unilateral authority to amend the Plan and the Award Agreement without the Participant’s consent to the extent necessary to comply with securities or other laws applicable to issuance of Shares.</w:t>
      </w:r>
    </w:p>
    <w:p>
      <w:pPr>
        <w:spacing w:after="0" w:line="200" w:lineRule="exact"/>
        <w:rPr>
          <w:sz w:val="20"/>
          <w:szCs w:val="20"/>
          <w:color w:val="auto"/>
        </w:rPr>
      </w:pPr>
    </w:p>
    <w:p>
      <w:pPr>
        <w:ind w:left="300" w:right="319" w:firstLine="659"/>
        <w:spacing w:after="0" w:line="250" w:lineRule="auto"/>
        <w:tabs>
          <w:tab w:leader="none" w:pos="161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The Participant acknowledges that he or she is sufficiently proficient in English, or has consulted with an advisor who is sufficiently proficient in English, so as to allow the Participant to understand the terms and conditions of this Award Agreement. Furthermore, if the Participant has received this Award Agreement or any other document related to the Plan translated into a language other than English and if the meaning of the translated version is different than the English version, the English version will control, unless otherwise required by applicable law.</w:t>
      </w:r>
    </w:p>
    <w:p>
      <w:pPr>
        <w:spacing w:after="0" w:line="180" w:lineRule="exact"/>
        <w:rPr>
          <w:rFonts w:ascii="Times New Roman" w:cs="Times New Roman" w:eastAsia="Times New Roman" w:hAnsi="Times New Roman"/>
          <w:sz w:val="22"/>
          <w:szCs w:val="22"/>
          <w:color w:val="auto"/>
        </w:rPr>
      </w:pPr>
    </w:p>
    <w:p>
      <w:pPr>
        <w:jc w:val="both"/>
        <w:ind w:left="300" w:right="579" w:firstLine="659"/>
        <w:spacing w:after="0" w:line="257" w:lineRule="auto"/>
        <w:tabs>
          <w:tab w:leader="none" w:pos="161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Award Agreement are severable and if any one or more provisions are determined to be illegal or otherwise unenforceable, in whole or in part, the remaining provisions shall nevertheless be binding and enforceable.</w:t>
      </w:r>
    </w:p>
    <w:p>
      <w:pPr>
        <w:spacing w:after="0" w:line="186" w:lineRule="exact"/>
        <w:rPr>
          <w:rFonts w:ascii="Times New Roman" w:cs="Times New Roman" w:eastAsia="Times New Roman" w:hAnsi="Times New Roman"/>
          <w:sz w:val="22"/>
          <w:szCs w:val="22"/>
          <w:color w:val="auto"/>
        </w:rPr>
      </w:pPr>
    </w:p>
    <w:p>
      <w:pPr>
        <w:ind w:left="300" w:right="379" w:firstLine="659"/>
        <w:spacing w:after="0" w:line="250" w:lineRule="auto"/>
        <w:tabs>
          <w:tab w:leader="none" w:pos="161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Appendix</w:t>
      </w:r>
      <w:r>
        <w:rPr>
          <w:rFonts w:ascii="Times New Roman" w:cs="Times New Roman" w:eastAsia="Times New Roman" w:hAnsi="Times New Roman"/>
          <w:sz w:val="22"/>
          <w:szCs w:val="22"/>
          <w:color w:val="auto"/>
        </w:rPr>
        <w:t>. Notwithstanding any provisions in this Award Agreement, the RSUs grant shall be subject to any additional terms and conditions set forth in each Appendix to this Award Agreement for the Participant’s country. Moreover, if the Participant relocates to another country, any additional terms and conditions for such country will apply to the Participant, to the extent the Company determines that the application of such terms and conditions is necessary or advisable for legal or administrative reasons. Each Appendix hereto constitutes part of this Award Agreement.</w:t>
      </w:r>
    </w:p>
    <w:p>
      <w:pPr>
        <w:spacing w:after="0" w:line="180" w:lineRule="exact"/>
        <w:rPr>
          <w:rFonts w:ascii="Times New Roman" w:cs="Times New Roman" w:eastAsia="Times New Roman" w:hAnsi="Times New Roman"/>
          <w:sz w:val="22"/>
          <w:szCs w:val="22"/>
          <w:color w:val="auto"/>
        </w:rPr>
      </w:pPr>
    </w:p>
    <w:p>
      <w:pPr>
        <w:ind w:left="300" w:right="419" w:firstLine="659"/>
        <w:spacing w:after="0" w:line="253" w:lineRule="auto"/>
        <w:tabs>
          <w:tab w:leader="none" w:pos="161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other requirements on the Participant’s participation in the Plan, on the RSUs and on any Shares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12</w:t>
      </w:r>
    </w:p>
    <w:p>
      <w:pPr>
        <w:spacing w:after="0" w:line="395" w:lineRule="exact"/>
        <w:rPr>
          <w:sz w:val="20"/>
          <w:szCs w:val="20"/>
          <w:color w:val="auto"/>
        </w:rPr>
      </w:pPr>
    </w:p>
    <w:p>
      <w:pPr>
        <w:ind w:left="300" w:right="459" w:firstLine="659"/>
        <w:spacing w:after="0" w:line="256" w:lineRule="auto"/>
        <w:tabs>
          <w:tab w:leader="none" w:pos="1615"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Participant acknowledges that a waiver by the Company of breach of any provision of this Award Agreement shall not operate or be construed as a waiver of any other provision of this Award Agreement, or of any subsequent breach by the Participant or any other participant.</w:t>
      </w:r>
    </w:p>
    <w:p>
      <w:pPr>
        <w:spacing w:after="0" w:line="176" w:lineRule="exact"/>
        <w:rPr>
          <w:rFonts w:ascii="Times New Roman" w:cs="Times New Roman" w:eastAsia="Times New Roman" w:hAnsi="Times New Roman"/>
          <w:sz w:val="22"/>
          <w:szCs w:val="22"/>
          <w:color w:val="auto"/>
        </w:rPr>
      </w:pPr>
    </w:p>
    <w:p>
      <w:pPr>
        <w:ind w:left="300" w:right="379" w:firstLine="659"/>
        <w:spacing w:after="0" w:line="260" w:lineRule="auto"/>
        <w:tabs>
          <w:tab w:leader="none" w:pos="1615"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Insider Trading Restrictions/Market Abuse Laws</w:t>
      </w:r>
      <w:r>
        <w:rPr>
          <w:rFonts w:ascii="Times New Roman" w:cs="Times New Roman" w:eastAsia="Times New Roman" w:hAnsi="Times New Roman"/>
          <w:sz w:val="21"/>
          <w:szCs w:val="21"/>
          <w:color w:val="auto"/>
        </w:rPr>
        <w:t>. The Participant acknowledges that, depending on his or her country of residence, or broker’s country of residence, or where the Shares are listed, Participant may be subject to insider trading restrictions and/or market abuse laws, which may affect the Participant’s ability to directly or indirectly, accept, acquire, sell, or attempt to sell or otherwise dispose of Shares or rights to Shares (e.g., RSUs) under the Plan during such times as Participant is considered to have “inside information” regarding the Company (as defined by the laws or regulations in applicable jurisdictions or Participant’s country). Local insider trading laws and regulations may prohibit the cancellation or amendment of orders placed by the Participant before possessing inside information. Furthermore, the Participant understands that he or she may be prohibited from (i) disclosing the inside information to any third party, including fellow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74" w:lineRule="exact"/>
        <w:rPr>
          <w:rFonts w:ascii="Times New Roman" w:cs="Times New Roman" w:eastAsia="Times New Roman" w:hAnsi="Times New Roman"/>
          <w:sz w:val="21"/>
          <w:szCs w:val="21"/>
          <w:color w:val="auto"/>
        </w:rPr>
      </w:pPr>
    </w:p>
    <w:p>
      <w:pPr>
        <w:ind w:left="1580" w:hanging="640"/>
        <w:spacing w:after="0"/>
        <w:tabs>
          <w:tab w:leader="none" w:pos="15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Asset/Account Reporting</w:t>
      </w:r>
      <w:r>
        <w:rPr>
          <w:rFonts w:ascii="Times New Roman" w:cs="Times New Roman" w:eastAsia="Times New Roman" w:hAnsi="Times New Roman"/>
          <w:sz w:val="22"/>
          <w:szCs w:val="22"/>
          <w:color w:val="auto"/>
        </w:rPr>
        <w:t>. The Participant’s country of residence may</w:t>
      </w:r>
    </w:p>
    <w:p>
      <w:pPr>
        <w:sectPr>
          <w:pgSz w:w="11900" w:h="16846" w:orient="portrait"/>
          <w:cols w:equalWidth="0" w:num="1">
            <w:col w:w="9019"/>
          </w:cols>
          <w:pgMar w:left="1440" w:top="71" w:right="1440" w:bottom="0" w:gutter="0" w:footer="0" w:header="0"/>
        </w:sectPr>
      </w:pPr>
    </w:p>
    <w:bookmarkStart w:id="118" w:name="page119"/>
    <w:bookmarkEnd w:id="118"/>
    <w:p>
      <w:pPr>
        <w:ind w:left="300" w:right="379"/>
        <w:spacing w:after="0" w:line="250" w:lineRule="auto"/>
        <w:rPr>
          <w:sz w:val="20"/>
          <w:szCs w:val="20"/>
          <w:color w:val="auto"/>
        </w:rPr>
      </w:pPr>
      <w:r>
        <w:rPr>
          <w:rFonts w:ascii="Times New Roman" w:cs="Times New Roman" w:eastAsia="Times New Roman" w:hAnsi="Times New Roman"/>
          <w:sz w:val="22"/>
          <w:szCs w:val="22"/>
          <w:color w:val="auto"/>
        </w:rPr>
        <w:t>have certain foreign asset and/or account reporting requirements which may affect his or her ability to acquire or hold RSUs under the Plan or cash received from participating in the Plan (including sales proceeds arising from the sale of Shares) in a brokerage or bank account outside the Participant’s country. The Participant may be required to report such amounts, assets or transactions to the tax or other authorities in his or her country. The Participant also may be required to repatriate sale proceeds or other funds received as a result of participation in the Plan to the Participant’s country through a designated broker or bank within a certain time after receipt. The Participant is responsible for ensuring compliance with such regulations and should speak with his or her personal legal advisor regarding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-1462405</wp:posOffset>
            </wp:positionV>
            <wp:extent cx="7132320" cy="105156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13</w:t>
      </w:r>
    </w:p>
    <w:p>
      <w:pPr>
        <w:spacing w:after="0" w:line="389" w:lineRule="exact"/>
        <w:rPr>
          <w:sz w:val="20"/>
          <w:szCs w:val="20"/>
          <w:color w:val="auto"/>
        </w:rPr>
      </w:pPr>
    </w:p>
    <w:p>
      <w:pPr>
        <w:jc w:val="center"/>
        <w:ind w:left="300" w:right="299"/>
        <w:spacing w:after="0" w:line="378" w:lineRule="auto"/>
        <w:rPr>
          <w:sz w:val="20"/>
          <w:szCs w:val="20"/>
          <w:color w:val="auto"/>
        </w:rPr>
      </w:pPr>
      <w:r>
        <w:rPr>
          <w:rFonts w:ascii="Times New Roman" w:cs="Times New Roman" w:eastAsia="Times New Roman" w:hAnsi="Times New Roman"/>
          <w:sz w:val="22"/>
          <w:szCs w:val="22"/>
          <w:color w:val="auto"/>
        </w:rPr>
        <w:t xml:space="preserve">IN WITNESS WHEREOF, the parties hereto have executed this Award Agreement.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The Carlyle Group Inc.</w:t>
      </w:r>
    </w:p>
    <w:p>
      <w:pPr>
        <w:spacing w:after="0" w:line="35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By:____________________________________</w:t>
      </w:r>
    </w:p>
    <w:p>
      <w:pPr>
        <w:spacing w:after="0" w:line="2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Title:</w:t>
      </w:r>
    </w:p>
    <w:p>
      <w:pPr>
        <w:spacing w:after="0" w:line="23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w:t>
      </w:r>
    </w:p>
    <w:p>
      <w:pPr>
        <w:sectPr>
          <w:pgSz w:w="11900" w:h="16838" w:orient="portrait"/>
          <w:cols w:equalWidth="0" w:num="1">
            <w:col w:w="9019"/>
          </w:cols>
          <w:pgMar w:left="1440" w:top="71" w:right="1440"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1394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32320" cy="313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right="499" w:hanging="248"/>
        <w:spacing w:after="0" w:line="239" w:lineRule="auto"/>
        <w:tabs>
          <w:tab w:leader="none" w:pos="531" w:val="left"/>
        </w:tabs>
        <w:numPr>
          <w:ilvl w:val="0"/>
          <w:numId w:val="10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If this Award Agreement is delivered to the Participant electronically, the Participant’s electronic acceptance of the Award Agreement (pursuant to instructions separately communicated to the Participant) shall constitute acceptance of the Award Agreement and shall be binding on the Participant and the Company in lieu of any required signatures to this Award Agreement.</w:t>
      </w:r>
    </w:p>
    <w:p>
      <w:pPr>
        <w:sectPr>
          <w:pgSz w:w="11900" w:h="16838" w:orient="portrait"/>
          <w:cols w:equalWidth="0" w:num="1">
            <w:col w:w="9019"/>
          </w:cols>
          <w:pgMar w:left="1440" w:top="1440" w:right="1440" w:bottom="1440" w:gutter="0" w:footer="0" w:header="0"/>
        </w:sectPr>
      </w:pPr>
    </w:p>
    <w:bookmarkStart w:id="120" w:name="page121"/>
    <w:bookmarkEnd w:id="120"/>
    <w:p>
      <w:pPr>
        <w:jc w:val="right"/>
        <w:ind w:right="29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10.2</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Carlyle Group Inc. 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2012 Equity Incentive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Global Restricted Stock Unit Agreement</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i w:val="1"/>
          <w:iCs w:val="1"/>
          <w:color w:val="auto"/>
        </w:rPr>
        <w:t>Participant:</w:t>
      </w:r>
    </w:p>
    <w:p>
      <w:pPr>
        <w:ind w:left="4100"/>
        <w:spacing w:after="0"/>
        <w:rPr>
          <w:sz w:val="20"/>
          <w:szCs w:val="20"/>
          <w:color w:val="auto"/>
        </w:rPr>
      </w:pPr>
      <w:r>
        <w:rPr>
          <w:rFonts w:ascii="Times New Roman" w:cs="Times New Roman" w:eastAsia="Times New Roman" w:hAnsi="Times New Roman"/>
          <w:sz w:val="22"/>
          <w:szCs w:val="22"/>
          <w:i w:val="1"/>
          <w:iCs w:val="1"/>
          <w:color w:val="auto"/>
        </w:rPr>
        <w:t>Date of Grant:</w:t>
      </w:r>
    </w:p>
    <w:p>
      <w:pPr>
        <w:spacing w:after="0" w:line="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i w:val="1"/>
          <w:iCs w:val="1"/>
          <w:color w:val="auto"/>
        </w:rPr>
        <w:t>Number of RSUs:</w:t>
      </w:r>
    </w:p>
    <w:p>
      <w:pPr>
        <w:spacing w:after="0" w:line="200" w:lineRule="exact"/>
        <w:rPr>
          <w:sz w:val="20"/>
          <w:szCs w:val="20"/>
          <w:color w:val="auto"/>
        </w:rPr>
      </w:pPr>
    </w:p>
    <w:p>
      <w:pPr>
        <w:spacing w:after="0" w:line="264" w:lineRule="exact"/>
        <w:rPr>
          <w:sz w:val="20"/>
          <w:szCs w:val="20"/>
          <w:color w:val="auto"/>
        </w:rPr>
      </w:pPr>
    </w:p>
    <w:p>
      <w:pPr>
        <w:ind w:left="300" w:right="339" w:firstLine="652"/>
        <w:spacing w:after="0" w:line="249" w:lineRule="auto"/>
        <w:tabs>
          <w:tab w:leader="none" w:pos="160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RSUs</w:t>
      </w:r>
      <w:r>
        <w:rPr>
          <w:rFonts w:ascii="Times New Roman" w:cs="Times New Roman" w:eastAsia="Times New Roman" w:hAnsi="Times New Roman"/>
          <w:sz w:val="22"/>
          <w:szCs w:val="22"/>
          <w:color w:val="auto"/>
        </w:rPr>
        <w:t>. The Carlyle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the number of restricted stock units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listed above to the Participant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effective as of [___]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on the terms and conditions hereinafter set forth in this agreement including any Appendix hereto, which includes any applicable country-specific provisions (collectively,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This grant is made pursuant to the terms of The Carlyle Group Inc. Amended and Restated 2012 Equity Incentive Plan (as amended, modified or supplemented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 and made a part of this Award Agreement. Each RSU represents the unfunded, unsecured right of the Participant to receive a Share on the delivery date(s) specified in Section 4 hereof.</w:t>
      </w:r>
    </w:p>
    <w:p>
      <w:pPr>
        <w:spacing w:after="0" w:line="183" w:lineRule="exact"/>
        <w:rPr>
          <w:rFonts w:ascii="Times New Roman" w:cs="Times New Roman" w:eastAsia="Times New Roman" w:hAnsi="Times New Roman"/>
          <w:sz w:val="22"/>
          <w:szCs w:val="22"/>
          <w:color w:val="auto"/>
        </w:rPr>
      </w:pPr>
    </w:p>
    <w:p>
      <w:pPr>
        <w:ind w:left="300" w:right="499" w:firstLine="659"/>
        <w:spacing w:after="0" w:line="284" w:lineRule="auto"/>
        <w:tabs>
          <w:tab w:leader="none" w:pos="1615"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not otherwise defined herein shall have the same meanings as in the Plan.</w:t>
      </w:r>
    </w:p>
    <w:p>
      <w:pPr>
        <w:spacing w:after="0" w:line="144" w:lineRule="exact"/>
        <w:rPr>
          <w:sz w:val="20"/>
          <w:szCs w:val="20"/>
          <w:color w:val="auto"/>
        </w:rPr>
      </w:pPr>
    </w:p>
    <w:p>
      <w:pPr>
        <w:ind w:left="960" w:right="319" w:firstLine="616"/>
        <w:spacing w:after="0" w:line="259" w:lineRule="auto"/>
        <w:rPr>
          <w:sz w:val="20"/>
          <w:szCs w:val="20"/>
          <w:color w:val="auto"/>
        </w:rPr>
      </w:pPr>
      <w:r>
        <w:rPr>
          <w:rFonts w:ascii="Times New Roman" w:cs="Times New Roman" w:eastAsia="Times New Roman" w:hAnsi="Times New Roman"/>
          <w:sz w:val="21"/>
          <w:szCs w:val="21"/>
          <w:color w:val="auto"/>
        </w:rPr>
        <w:t>(a)“</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mean the determination by the Administrator in its sole discretion that the Participant has (i) engaged in gross negligence or willful misconduct in the performance of the Participant’s duties, (ii) willfully engaged in conduct that the Participant knows or, based on facts known to the Participant, should know is materially injurious to the Company or any of its Affiliates, (iii) materially breached any material provision of the Participant’s employment agreement or offer letter with the Company or its Affiliates, (iv) breached any Restrictive Covenant Agreement or any other restrictive covenant obligation owed by the Participant to the Company or any of its Affiliates, including, but not limited to, any restrictions relating to the Participant’s non-competition, non-solicitation, non-disparagement and/or non-disclosure of confidential or proprietary information, (v) engaged in fraud or other conduct in bad faith that contributed to a financial restatement or irregularity, (vi) been convicted of, or entered a plea bargain or settlement admitting guilt for, fraud, embezzlement, or any other felony under the laws of the United States or of any state or the District of Columbia or any other country or any jurisdiction of any other country (but specifically excluding felonies involving a traffic violation), (vii) been the subject of any order, judicial or administrative, obtained or issued by the U.S. Securities and Exchange Commission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or similar agency or tribunal of any country, for any securities violation involving insider trading, fraud, misappropriation, dishonesty or willful misconduct (including, for example, any such order consented to by the Participant in which findings of facts or any legal conclusions establishing liability are neither admitted nor denied), or (viii) discussed the Company’s (or its Affiliates’) fundraising efforts, or the name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22"/>
          <w:szCs w:val="22"/>
          <w:color w:val="auto"/>
        </w:rPr>
        <w:t>2</w:t>
      </w:r>
    </w:p>
    <w:p>
      <w:pPr>
        <w:spacing w:after="0" w:line="395" w:lineRule="exact"/>
        <w:rPr>
          <w:sz w:val="20"/>
          <w:szCs w:val="20"/>
          <w:color w:val="auto"/>
        </w:rPr>
      </w:pPr>
    </w:p>
    <w:p>
      <w:pPr>
        <w:ind w:left="960" w:right="1219"/>
        <w:spacing w:after="0" w:line="271" w:lineRule="auto"/>
        <w:rPr>
          <w:sz w:val="20"/>
          <w:szCs w:val="20"/>
          <w:color w:val="auto"/>
        </w:rPr>
      </w:pPr>
      <w:r>
        <w:rPr>
          <w:rFonts w:ascii="Times New Roman" w:cs="Times New Roman" w:eastAsia="Times New Roman" w:hAnsi="Times New Roman"/>
          <w:sz w:val="22"/>
          <w:szCs w:val="22"/>
          <w:color w:val="auto"/>
        </w:rPr>
        <w:t>fund vehicle that has not had a final closing of commitments, to any reporter or representative of any press or other public media.</w:t>
      </w:r>
    </w:p>
    <w:p>
      <w:pPr>
        <w:sectPr>
          <w:pgSz w:w="11900" w:h="16838" w:orient="portrait"/>
          <w:cols w:equalWidth="0" w:num="1">
            <w:col w:w="9019"/>
          </w:cols>
          <w:pgMar w:left="1440" w:top="729" w:right="1440" w:bottom="0" w:gutter="0" w:footer="0" w:header="0"/>
        </w:sectPr>
      </w:pPr>
    </w:p>
    <w:bookmarkStart w:id="121" w:name="page122"/>
    <w:bookmarkEnd w:id="121"/>
    <w:p>
      <w:pPr>
        <w:ind w:left="960" w:right="339" w:firstLine="616"/>
        <w:spacing w:after="0" w:line="213" w:lineRule="auto"/>
        <w:rPr>
          <w:sz w:val="20"/>
          <w:szCs w:val="20"/>
          <w:color w:val="auto"/>
        </w:rPr>
      </w:pPr>
      <w:r>
        <w:rPr>
          <w:rFonts w:ascii="Times New Roman" w:cs="Times New Roman" w:eastAsia="Times New Roman" w:hAnsi="Times New Roman"/>
          <w:sz w:val="21"/>
          <w:szCs w:val="21"/>
          <w:color w:val="auto"/>
        </w:rPr>
        <w:t>(b)“</w:t>
      </w:r>
      <w:r>
        <w:rPr>
          <w:rFonts w:ascii="Times New Roman" w:cs="Times New Roman" w:eastAsia="Times New Roman" w:hAnsi="Times New Roman"/>
          <w:sz w:val="21"/>
          <w:szCs w:val="21"/>
          <w:u w:val="single" w:color="auto"/>
          <w:color w:val="auto"/>
        </w:rPr>
        <w:t>Detrimental Activity</w:t>
      </w:r>
      <w:r>
        <w:rPr>
          <w:rFonts w:ascii="Times New Roman" w:cs="Times New Roman" w:eastAsia="Times New Roman" w:hAnsi="Times New Roman"/>
          <w:sz w:val="21"/>
          <w:szCs w:val="21"/>
          <w:color w:val="auto"/>
        </w:rPr>
        <w:t>” shall mean any of the following: (i) a termination of the Participant’s Service for Cause or the Participant engaging in any activity that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-228600</wp:posOffset>
            </wp:positionV>
            <wp:extent cx="7132320" cy="105156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960" w:right="359"/>
        <w:spacing w:after="0" w:line="246" w:lineRule="auto"/>
        <w:rPr>
          <w:sz w:val="20"/>
          <w:szCs w:val="20"/>
          <w:color w:val="auto"/>
        </w:rPr>
      </w:pPr>
      <w:r>
        <w:rPr>
          <w:rFonts w:ascii="Times New Roman" w:cs="Times New Roman" w:eastAsia="Times New Roman" w:hAnsi="Times New Roman"/>
          <w:sz w:val="22"/>
          <w:szCs w:val="22"/>
          <w:color w:val="auto"/>
        </w:rPr>
        <w:t>grounds to terminate the Participant’s Service for Cause (whether or not any termination of the Participant’s Service occurs); or (ii) a breach of any Restrictive Covenant Agreement or any other restrictive covenant obligation owed by the Participant to the Company or any of its Affiliates, including, but not limited to, any restrictions relating to the Participant’s non-competition, non-solicitation, non-disparagement and/or non-disclosure of confidential or proprietary information.</w:t>
      </w:r>
    </w:p>
    <w:p>
      <w:pPr>
        <w:spacing w:after="0" w:line="189" w:lineRule="exact"/>
        <w:rPr>
          <w:sz w:val="20"/>
          <w:szCs w:val="20"/>
          <w:color w:val="auto"/>
        </w:rPr>
      </w:pPr>
    </w:p>
    <w:p>
      <w:pPr>
        <w:ind w:left="960" w:right="399" w:firstLine="616"/>
        <w:spacing w:after="0" w:line="257"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Involuntary Termination</w:t>
      </w:r>
      <w:r>
        <w:rPr>
          <w:rFonts w:ascii="Times New Roman" w:cs="Times New Roman" w:eastAsia="Times New Roman" w:hAnsi="Times New Roman"/>
          <w:sz w:val="22"/>
          <w:szCs w:val="22"/>
          <w:color w:val="auto"/>
        </w:rPr>
        <w:t>” shall mean the termination by the Company and its Affiliates of the Participant’s Services without Cause (and in the absence of the Participant’s Disability).</w:t>
      </w:r>
    </w:p>
    <w:p>
      <w:pPr>
        <w:spacing w:after="0" w:line="186" w:lineRule="exact"/>
        <w:rPr>
          <w:sz w:val="20"/>
          <w:szCs w:val="20"/>
          <w:color w:val="auto"/>
        </w:rPr>
      </w:pPr>
    </w:p>
    <w:p>
      <w:pPr>
        <w:ind w:left="960" w:right="839" w:firstLine="616"/>
        <w:spacing w:after="0" w:line="271"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Qualifying Event</w:t>
      </w:r>
      <w:r>
        <w:rPr>
          <w:rFonts w:ascii="Times New Roman" w:cs="Times New Roman" w:eastAsia="Times New Roman" w:hAnsi="Times New Roman"/>
          <w:sz w:val="22"/>
          <w:szCs w:val="22"/>
          <w:color w:val="auto"/>
        </w:rPr>
        <w:t>” shall mean, during the Participant’s Services with the Company and its Affiliates, the Participant’s death or Disability.</w:t>
      </w:r>
    </w:p>
    <w:p>
      <w:pPr>
        <w:spacing w:after="0" w:line="158" w:lineRule="exact"/>
        <w:rPr>
          <w:sz w:val="20"/>
          <w:szCs w:val="20"/>
          <w:color w:val="auto"/>
        </w:rPr>
      </w:pPr>
    </w:p>
    <w:p>
      <w:pPr>
        <w:ind w:left="960" w:right="299" w:firstLine="616"/>
        <w:spacing w:after="0" w:line="250"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Restrictive Covenant Agreement</w:t>
      </w:r>
      <w:r>
        <w:rPr>
          <w:rFonts w:ascii="Times New Roman" w:cs="Times New Roman" w:eastAsia="Times New Roman" w:hAnsi="Times New Roman"/>
          <w:sz w:val="22"/>
          <w:szCs w:val="22"/>
          <w:color w:val="auto"/>
        </w:rPr>
        <w:t>” shall mean any agreement (including, without limitation, this Award Agreement), and any attachments or schedules thereto, entered into by and between the Participant and the Company or its Affiliates, pursuant to which the Participant has agreed, among other things, to certain restrictions relating to non-competition (if applicable), non-solicitation, non-disparagement and/or non-disclosure of confidential or proprietary information, in order to protect the business of the Company and its Affiliates.</w:t>
      </w:r>
    </w:p>
    <w:p>
      <w:pPr>
        <w:spacing w:after="0" w:line="180" w:lineRule="exact"/>
        <w:rPr>
          <w:sz w:val="20"/>
          <w:szCs w:val="20"/>
          <w:color w:val="auto"/>
        </w:rPr>
      </w:pPr>
    </w:p>
    <w:p>
      <w:pPr>
        <w:ind w:left="960" w:right="339" w:firstLine="614"/>
        <w:spacing w:after="0" w:line="253" w:lineRule="auto"/>
        <w:tabs>
          <w:tab w:leader="none" w:pos="184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shall mean the termination of the Participant’s Services with the Company and its Affiliates after the Participant has reached age 55 and has at least five full years of service with the Company and its Affiliates; provided that, in the case of any voluntary termination of Service by the Participant, the Participant has satisfied any contractual notice requirements.</w:t>
      </w:r>
    </w:p>
    <w:p>
      <w:pPr>
        <w:spacing w:after="0" w:line="179" w:lineRule="exact"/>
        <w:rPr>
          <w:sz w:val="20"/>
          <w:szCs w:val="20"/>
          <w:color w:val="auto"/>
        </w:rPr>
      </w:pPr>
    </w:p>
    <w:p>
      <w:pPr>
        <w:ind w:left="960" w:right="379" w:firstLine="616"/>
        <w:spacing w:after="0" w:line="284"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Vested RSUs</w:t>
      </w:r>
      <w:r>
        <w:rPr>
          <w:rFonts w:ascii="Times New Roman" w:cs="Times New Roman" w:eastAsia="Times New Roman" w:hAnsi="Times New Roman"/>
          <w:sz w:val="22"/>
          <w:szCs w:val="22"/>
          <w:color w:val="auto"/>
        </w:rPr>
        <w:t xml:space="preserve"> ” shall mean those RSUs which have become vested pursuant to Section 3 or otherwise pursuant to the Plan or this Award Agreement.</w:t>
      </w:r>
    </w:p>
    <w:p>
      <w:pPr>
        <w:spacing w:after="0" w:line="14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22"/>
          <w:szCs w:val="22"/>
          <w:u w:val="single" w:color="auto"/>
          <w:color w:val="auto"/>
        </w:rPr>
        <w:t>Vesting Dates</w:t>
      </w:r>
      <w:r>
        <w:rPr>
          <w:rFonts w:ascii="Times New Roman" w:cs="Times New Roman" w:eastAsia="Times New Roman" w:hAnsi="Times New Roman"/>
          <w:sz w:val="22"/>
          <w:szCs w:val="22"/>
          <w:color w:val="auto"/>
        </w:rPr>
        <w:t xml:space="preserve"> ” shall mean each of the vesting dates set forth in Section 4(a)</w:t>
      </w:r>
    </w:p>
    <w:p>
      <w:pPr>
        <w:spacing w:after="0" w:line="2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hereof.</w:t>
      </w:r>
    </w:p>
    <w:p>
      <w:pPr>
        <w:spacing w:after="0" w:line="196" w:lineRule="exact"/>
        <w:rPr>
          <w:sz w:val="20"/>
          <w:szCs w:val="20"/>
          <w:color w:val="auto"/>
        </w:rPr>
      </w:pPr>
    </w:p>
    <w:p>
      <w:pPr>
        <w:ind w:left="1600" w:hanging="648"/>
        <w:spacing w:after="0"/>
        <w:tabs>
          <w:tab w:leader="none" w:pos="16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w:t>
      </w:r>
    </w:p>
    <w:p>
      <w:pPr>
        <w:spacing w:after="0" w:line="215" w:lineRule="exact"/>
        <w:rPr>
          <w:rFonts w:ascii="Times New Roman" w:cs="Times New Roman" w:eastAsia="Times New Roman" w:hAnsi="Times New Roman"/>
          <w:sz w:val="22"/>
          <w:szCs w:val="22"/>
          <w:color w:val="auto"/>
        </w:rPr>
      </w:pPr>
    </w:p>
    <w:p>
      <w:pPr>
        <w:ind w:left="960" w:right="679" w:firstLine="614"/>
        <w:spacing w:after="0" w:line="265" w:lineRule="auto"/>
        <w:tabs>
          <w:tab w:leader="none" w:pos="1841"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Vesting – General. </w:t>
      </w:r>
      <w:r>
        <w:rPr>
          <w:rFonts w:ascii="Times New Roman" w:cs="Times New Roman" w:eastAsia="Times New Roman" w:hAnsi="Times New Roman"/>
          <w:sz w:val="22"/>
          <w:szCs w:val="22"/>
          <w:color w:val="auto"/>
        </w:rPr>
        <w:t>Subject to the Participant’s continued Services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and its Affiliates, the Award shall vest on the applicable Vesting Dates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3</w:t>
      </w:r>
    </w:p>
    <w:p>
      <w:pPr>
        <w:spacing w:after="0" w:line="395" w:lineRule="exact"/>
        <w:rPr>
          <w:sz w:val="20"/>
          <w:szCs w:val="20"/>
          <w:color w:val="auto"/>
        </w:rPr>
      </w:pPr>
    </w:p>
    <w:p>
      <w:pPr>
        <w:ind w:left="1580" w:right="739" w:firstLine="966"/>
        <w:spacing w:after="0" w:line="271" w:lineRule="auto"/>
        <w:tabs>
          <w:tab w:leader="none" w:pos="286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granted hereunder shall vest in installments on each Vesting Date as set forth in Section 4(a) hereof.</w:t>
      </w:r>
    </w:p>
    <w:p>
      <w:pPr>
        <w:spacing w:after="0" w:line="154" w:lineRule="exact"/>
        <w:rPr>
          <w:sz w:val="20"/>
          <w:szCs w:val="20"/>
          <w:color w:val="auto"/>
        </w:rPr>
      </w:pPr>
    </w:p>
    <w:p>
      <w:pPr>
        <w:ind w:left="940" w:right="319" w:firstLine="648"/>
        <w:spacing w:after="0" w:line="265"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i w:val="1"/>
          <w:iCs w:val="1"/>
          <w:color w:val="auto"/>
        </w:rPr>
        <w:t>Vesting – Death or Disability.</w:t>
      </w:r>
      <w:r>
        <w:rPr>
          <w:rFonts w:ascii="Times New Roman" w:cs="Times New Roman" w:eastAsia="Times New Roman" w:hAnsi="Times New Roman"/>
          <w:sz w:val="22"/>
          <w:szCs w:val="22"/>
          <w:color w:val="auto"/>
        </w:rPr>
        <w:t xml:space="preserve"> Upon the occurrence of a Qualifying Event, 100% of the RSUs granted hereunder shall vest (to the extent not previously vested) upon the date of such Qualifying Event.</w:t>
      </w:r>
    </w:p>
    <w:p>
      <w:pPr>
        <w:spacing w:after="0" w:line="161" w:lineRule="exact"/>
        <w:rPr>
          <w:sz w:val="20"/>
          <w:szCs w:val="20"/>
          <w:color w:val="auto"/>
        </w:rPr>
      </w:pPr>
    </w:p>
    <w:p>
      <w:pPr>
        <w:ind w:left="1840" w:hanging="266"/>
        <w:spacing w:after="0"/>
        <w:tabs>
          <w:tab w:leader="none" w:pos="18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Vesting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Retirement</w:t>
      </w:r>
      <w:r>
        <w:rPr>
          <w:rFonts w:ascii="Times New Roman" w:cs="Times New Roman" w:eastAsia="Times New Roman" w:hAnsi="Times New Roman"/>
          <w:sz w:val="22"/>
          <w:szCs w:val="22"/>
          <w:color w:val="auto"/>
        </w:rPr>
        <w:t>. Subject to Section 4(f), upon the Participant’s</w:t>
      </w:r>
    </w:p>
    <w:p>
      <w:pPr>
        <w:spacing w:after="0" w:line="31" w:lineRule="exact"/>
        <w:rPr>
          <w:rFonts w:ascii="Times New Roman" w:cs="Times New Roman" w:eastAsia="Times New Roman" w:hAnsi="Times New Roman"/>
          <w:sz w:val="22"/>
          <w:szCs w:val="22"/>
          <w:color w:val="auto"/>
        </w:rPr>
      </w:pPr>
    </w:p>
    <w:p>
      <w:pPr>
        <w:ind w:left="960" w:right="379"/>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 100% of the RSUs granted hereunder shall remain eligible to vest upon each of the scheduled Vesting Dates as set forth in Section 4(a) hereof.</w:t>
      </w:r>
    </w:p>
    <w:p>
      <w:pPr>
        <w:spacing w:after="0" w:line="191" w:lineRule="exact"/>
        <w:rPr>
          <w:rFonts w:ascii="Times New Roman" w:cs="Times New Roman" w:eastAsia="Times New Roman" w:hAnsi="Times New Roman"/>
          <w:sz w:val="22"/>
          <w:szCs w:val="22"/>
          <w:color w:val="auto"/>
        </w:rPr>
      </w:pPr>
    </w:p>
    <w:p>
      <w:pPr>
        <w:ind w:left="1900" w:hanging="326"/>
        <w:spacing w:after="0"/>
        <w:tabs>
          <w:tab w:leader="none" w:pos="19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Vesting – Involuntary Termination </w:t>
      </w:r>
      <w:r>
        <w:rPr>
          <w:rFonts w:ascii="Times New Roman" w:cs="Times New Roman" w:eastAsia="Times New Roman" w:hAnsi="Times New Roman"/>
          <w:sz w:val="22"/>
          <w:szCs w:val="22"/>
          <w:color w:val="auto"/>
        </w:rPr>
        <w:t>. Subject to Section 4(f) and the</w:t>
      </w:r>
    </w:p>
    <w:p>
      <w:pPr>
        <w:sectPr>
          <w:pgSz w:w="11900" w:h="16838" w:orient="portrait"/>
          <w:cols w:equalWidth="0" w:num="1">
            <w:col w:w="9019"/>
          </w:cols>
          <w:pgMar w:left="1440" w:top="71" w:right="1440" w:bottom="0" w:gutter="0" w:footer="0" w:header="0"/>
        </w:sectPr>
      </w:pPr>
    </w:p>
    <w:bookmarkStart w:id="122" w:name="page123"/>
    <w:bookmarkEnd w:id="122"/>
    <w:p>
      <w:pPr>
        <w:spacing w:after="0" w:line="169" w:lineRule="exact"/>
        <w:rPr>
          <w:sz w:val="20"/>
          <w:szCs w:val="20"/>
          <w:color w:val="auto"/>
        </w:rPr>
      </w:pPr>
    </w:p>
    <w:p>
      <w:pPr>
        <w:ind w:left="960" w:right="439"/>
        <w:spacing w:after="0" w:line="253" w:lineRule="auto"/>
        <w:rPr>
          <w:sz w:val="20"/>
          <w:szCs w:val="20"/>
          <w:color w:val="auto"/>
        </w:rPr>
      </w:pPr>
      <w:r>
        <w:rPr>
          <w:rFonts w:ascii="Times New Roman" w:cs="Times New Roman" w:eastAsia="Times New Roman" w:hAnsi="Times New Roman"/>
          <w:sz w:val="21"/>
          <w:szCs w:val="21"/>
          <w:color w:val="auto"/>
        </w:rPr>
        <w:t>Participant’s execution and delivery of a release of claims in the form provided by the Company (and non-revocation thereof within the time period set forth therein),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-279400</wp:posOffset>
            </wp:positionV>
            <wp:extent cx="7132320" cy="105156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both"/>
        <w:ind w:left="960" w:right="759"/>
        <w:spacing w:after="0" w:line="252" w:lineRule="auto"/>
        <w:rPr>
          <w:sz w:val="20"/>
          <w:szCs w:val="20"/>
          <w:color w:val="auto"/>
        </w:rPr>
      </w:pPr>
      <w:r>
        <w:rPr>
          <w:rFonts w:ascii="Times New Roman" w:cs="Times New Roman" w:eastAsia="Times New Roman" w:hAnsi="Times New Roman"/>
          <w:sz w:val="22"/>
          <w:szCs w:val="22"/>
          <w:color w:val="auto"/>
        </w:rPr>
        <w:t>occurrence of the Participant’s Involuntary Termination, 100% of the RSUs granted hereunder shall remain eligible to vest upon each of the following scheduled Vesting Dates as set forth in Section 4(a) hereof.</w:t>
      </w:r>
    </w:p>
    <w:p>
      <w:pPr>
        <w:spacing w:after="0" w:line="174" w:lineRule="exact"/>
        <w:rPr>
          <w:sz w:val="20"/>
          <w:szCs w:val="20"/>
          <w:color w:val="auto"/>
        </w:rPr>
      </w:pPr>
    </w:p>
    <w:p>
      <w:pPr>
        <w:ind w:left="960" w:right="339" w:firstLine="614"/>
        <w:spacing w:after="0" w:line="249" w:lineRule="auto"/>
        <w:tabs>
          <w:tab w:leader="none" w:pos="1841"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Vesting – Terminations. </w:t>
      </w:r>
      <w:r>
        <w:rPr>
          <w:rFonts w:ascii="Times New Roman" w:cs="Times New Roman" w:eastAsia="Times New Roman" w:hAnsi="Times New Roman"/>
          <w:sz w:val="22"/>
          <w:szCs w:val="22"/>
          <w:color w:val="auto"/>
        </w:rPr>
        <w:t>Except as otherwise set forth in Sections 3(b), 3(c),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3(d) or 5, in the event the Participant’s Services with the Company and its Affiliates are terminated for any reason, the portion of the Award that has not yet vested pursuant to Sections 3 or 5 hereof (or otherwise pursuant to the Plan) shall be canceled immediately and the Participant shall automatically forfeit all rights with respect to such portion of the Award as of the date of such termination. For purposes of this provision, the effective date of termination of the Participant’s Services will be determined in accordance with Section 8(k) hereof.</w:t>
      </w:r>
    </w:p>
    <w:p>
      <w:pPr>
        <w:spacing w:after="0" w:line="185" w:lineRule="exact"/>
        <w:rPr>
          <w:rFonts w:ascii="Times New Roman" w:cs="Times New Roman" w:eastAsia="Times New Roman" w:hAnsi="Times New Roman"/>
          <w:sz w:val="22"/>
          <w:szCs w:val="22"/>
          <w:color w:val="auto"/>
        </w:rPr>
      </w:pPr>
    </w:p>
    <w:p>
      <w:pPr>
        <w:ind w:left="1600" w:hanging="641"/>
        <w:spacing w:after="0"/>
        <w:tabs>
          <w:tab w:leader="none" w:pos="16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and Delivery Dates</w:t>
      </w:r>
      <w:r>
        <w:rPr>
          <w:rFonts w:ascii="Times New Roman" w:cs="Times New Roman" w:eastAsia="Times New Roman" w:hAnsi="Times New Roman"/>
          <w:sz w:val="22"/>
          <w:szCs w:val="22"/>
          <w:color w:val="auto"/>
        </w:rPr>
        <w:t>.</w:t>
      </w:r>
    </w:p>
    <w:p>
      <w:pPr>
        <w:spacing w:after="0" w:line="229" w:lineRule="exact"/>
        <w:rPr>
          <w:rFonts w:ascii="Times New Roman" w:cs="Times New Roman" w:eastAsia="Times New Roman" w:hAnsi="Times New Roman"/>
          <w:sz w:val="22"/>
          <w:szCs w:val="22"/>
          <w:color w:val="auto"/>
        </w:rPr>
      </w:pPr>
    </w:p>
    <w:p>
      <w:pPr>
        <w:ind w:left="960" w:right="739" w:firstLine="614"/>
        <w:spacing w:after="0" w:line="251" w:lineRule="auto"/>
        <w:tabs>
          <w:tab w:leader="none" w:pos="1841"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Delivery – General. </w:t>
      </w:r>
      <w:r>
        <w:rPr>
          <w:rFonts w:ascii="Times New Roman" w:cs="Times New Roman" w:eastAsia="Times New Roman" w:hAnsi="Times New Roman"/>
          <w:sz w:val="22"/>
          <w:szCs w:val="22"/>
          <w:color w:val="auto"/>
        </w:rPr>
        <w:t>The Company shall, on or within 30 days following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Vesting Date, deliver (or cause delivery to be made) to the Participant the Shares underlying the RSUs that vest and become Vested RSUs on such Vesting Date. The general vesting and delivery terms with respect to the RSUs are set forth in the table below.</w:t>
      </w:r>
    </w:p>
    <w:p>
      <w:pPr>
        <w:spacing w:after="0" w:line="238" w:lineRule="exact"/>
        <w:rPr>
          <w:sz w:val="20"/>
          <w:szCs w:val="20"/>
          <w:color w:val="auto"/>
        </w:rPr>
      </w:pPr>
    </w:p>
    <w:tbl>
      <w:tblPr>
        <w:tblLayout w:type="fixed"/>
        <w:tblInd w:w="1050" w:type="dxa"/>
        <w:tblCellMar>
          <w:top w:w="0" w:type="dxa"/>
          <w:left w:w="0" w:type="dxa"/>
          <w:bottom w:w="0" w:type="dxa"/>
          <w:right w:w="0" w:type="dxa"/>
        </w:tblCellMar>
      </w:tblPr>
      <w:tr>
        <w:trPr>
          <w:trHeight w:val="206"/>
        </w:trPr>
        <w:tc>
          <w:tcPr>
            <w:tcW w:w="2280" w:type="dxa"/>
            <w:vAlign w:val="bottom"/>
            <w:tcBorders>
              <w:top w:val="single" w:sz="8" w:color="auto"/>
              <w:left w:val="single" w:sz="8" w:color="auto"/>
              <w:right w:val="single" w:sz="8" w:color="auto"/>
            </w:tcBorders>
            <w:gridSpan w:val="3"/>
          </w:tcPr>
          <w:p>
            <w:pPr>
              <w:ind w:left="500"/>
              <w:spacing w:after="0" w:line="206" w:lineRule="exact"/>
              <w:rPr>
                <w:sz w:val="20"/>
                <w:szCs w:val="20"/>
                <w:color w:val="auto"/>
              </w:rPr>
            </w:pPr>
            <w:r>
              <w:rPr>
                <w:rFonts w:ascii="Times New Roman" w:cs="Times New Roman" w:eastAsia="Times New Roman" w:hAnsi="Times New Roman"/>
                <w:sz w:val="22"/>
                <w:szCs w:val="22"/>
                <w:b w:val="1"/>
                <w:bCs w:val="1"/>
                <w:color w:val="auto"/>
              </w:rPr>
              <w:t>Vesting Dates</w:t>
            </w:r>
          </w:p>
        </w:tc>
        <w:tc>
          <w:tcPr>
            <w:tcW w:w="420" w:type="dxa"/>
            <w:vAlign w:val="bottom"/>
            <w:tcBorders>
              <w:top w:val="single" w:sz="8" w:color="auto"/>
            </w:tcBorders>
          </w:tcPr>
          <w:p>
            <w:pPr>
              <w:spacing w:after="0"/>
              <w:rPr>
                <w:sz w:val="17"/>
                <w:szCs w:val="17"/>
                <w:color w:val="auto"/>
              </w:rPr>
            </w:pPr>
          </w:p>
        </w:tc>
        <w:tc>
          <w:tcPr>
            <w:tcW w:w="2020" w:type="dxa"/>
            <w:vAlign w:val="bottom"/>
            <w:tcBorders>
              <w:top w:val="single" w:sz="8" w:color="auto"/>
              <w:right w:val="single" w:sz="8" w:color="auto"/>
            </w:tcBorders>
            <w:gridSpan w:val="4"/>
          </w:tcPr>
          <w:p>
            <w:pPr>
              <w:jc w:val="center"/>
              <w:ind w:right="480"/>
              <w:spacing w:after="0" w:line="206" w:lineRule="exact"/>
              <w:rPr>
                <w:sz w:val="20"/>
                <w:szCs w:val="20"/>
                <w:color w:val="auto"/>
              </w:rPr>
            </w:pPr>
            <w:r>
              <w:rPr>
                <w:rFonts w:ascii="Times New Roman" w:cs="Times New Roman" w:eastAsia="Times New Roman" w:hAnsi="Times New Roman"/>
                <w:sz w:val="22"/>
                <w:szCs w:val="22"/>
                <w:b w:val="1"/>
                <w:bCs w:val="1"/>
                <w:color w:val="auto"/>
                <w:w w:val="97"/>
              </w:rPr>
              <w:t>Annual Vesting /</w:t>
            </w:r>
          </w:p>
        </w:tc>
        <w:tc>
          <w:tcPr>
            <w:tcW w:w="260" w:type="dxa"/>
            <w:vAlign w:val="bottom"/>
            <w:tcBorders>
              <w:top w:val="single" w:sz="8" w:color="auto"/>
            </w:tcBorders>
          </w:tcPr>
          <w:p>
            <w:pPr>
              <w:spacing w:after="0"/>
              <w:rPr>
                <w:sz w:val="17"/>
                <w:szCs w:val="17"/>
                <w:color w:val="auto"/>
              </w:rPr>
            </w:pPr>
          </w:p>
        </w:tc>
        <w:tc>
          <w:tcPr>
            <w:tcW w:w="2240" w:type="dxa"/>
            <w:vAlign w:val="bottom"/>
            <w:tcBorders>
              <w:top w:val="single" w:sz="8" w:color="auto"/>
              <w:right w:val="single" w:sz="8" w:color="auto"/>
            </w:tcBorders>
            <w:gridSpan w:val="4"/>
          </w:tcPr>
          <w:p>
            <w:pPr>
              <w:jc w:val="center"/>
              <w:ind w:right="320"/>
              <w:spacing w:after="0" w:line="206" w:lineRule="exact"/>
              <w:rPr>
                <w:sz w:val="20"/>
                <w:szCs w:val="20"/>
                <w:color w:val="auto"/>
              </w:rPr>
            </w:pPr>
            <w:r>
              <w:rPr>
                <w:rFonts w:ascii="Times New Roman" w:cs="Times New Roman" w:eastAsia="Times New Roman" w:hAnsi="Times New Roman"/>
                <w:sz w:val="22"/>
                <w:szCs w:val="22"/>
                <w:b w:val="1"/>
                <w:bCs w:val="1"/>
                <w:color w:val="auto"/>
                <w:w w:val="96"/>
              </w:rPr>
              <w:t>Cumulative Vesting /</w:t>
            </w:r>
          </w:p>
        </w:tc>
      </w:tr>
      <w:tr>
        <w:trPr>
          <w:trHeight w:val="196"/>
        </w:trPr>
        <w:tc>
          <w:tcPr>
            <w:tcW w:w="500" w:type="dxa"/>
            <w:vAlign w:val="bottom"/>
            <w:tcBorders>
              <w:left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Borders>
              <w:top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w w:val="98"/>
              </w:rPr>
              <w:t>Delivery</w:t>
            </w:r>
          </w:p>
        </w:tc>
        <w:tc>
          <w:tcPr>
            <w:tcW w:w="4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center"/>
              <w:ind w:right="620"/>
              <w:spacing w:after="0" w:line="196" w:lineRule="exact"/>
              <w:rPr>
                <w:sz w:val="20"/>
                <w:szCs w:val="20"/>
                <w:color w:val="auto"/>
              </w:rPr>
            </w:pPr>
            <w:r>
              <w:rPr>
                <w:rFonts w:ascii="Times New Roman" w:cs="Times New Roman" w:eastAsia="Times New Roman" w:hAnsi="Times New Roman"/>
                <w:sz w:val="22"/>
                <w:szCs w:val="22"/>
                <w:b w:val="1"/>
                <w:bCs w:val="1"/>
                <w:color w:val="auto"/>
                <w:w w:val="98"/>
              </w:rPr>
              <w:t>Delivery</w:t>
            </w:r>
          </w:p>
        </w:tc>
        <w:tc>
          <w:tcPr>
            <w:tcW w:w="260" w:type="dxa"/>
            <w:vAlign w:val="bottom"/>
            <w:tcBorders>
              <w:right w:val="single" w:sz="8" w:color="auto"/>
            </w:tcBorders>
          </w:tcPr>
          <w:p>
            <w:pPr>
              <w:spacing w:after="0"/>
              <w:rPr>
                <w:sz w:val="17"/>
                <w:szCs w:val="17"/>
                <w:color w:val="auto"/>
              </w:rPr>
            </w:pPr>
          </w:p>
        </w:tc>
      </w:tr>
      <w:tr>
        <w:trPr>
          <w:trHeight w:val="196"/>
        </w:trPr>
        <w:tc>
          <w:tcPr>
            <w:tcW w:w="500" w:type="dxa"/>
            <w:vAlign w:val="bottom"/>
            <w:tcBorders>
              <w:left w:val="single" w:sz="8" w:color="auto"/>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r>
      <w:tr>
        <w:trPr>
          <w:trHeight w:val="358"/>
        </w:trPr>
        <w:tc>
          <w:tcPr>
            <w:tcW w:w="500" w:type="dxa"/>
            <w:vAlign w:val="bottom"/>
            <w:tcBorders>
              <w:left w:val="single" w:sz="8" w:color="auto"/>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r>
      <w:tr>
        <w:trPr>
          <w:trHeight w:val="358"/>
        </w:trPr>
        <w:tc>
          <w:tcPr>
            <w:tcW w:w="500" w:type="dxa"/>
            <w:vAlign w:val="bottom"/>
            <w:tcBorders>
              <w:left w:val="single" w:sz="8" w:color="auto"/>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r>
      <w:tr>
        <w:trPr>
          <w:trHeight w:val="358"/>
        </w:trPr>
        <w:tc>
          <w:tcPr>
            <w:tcW w:w="500" w:type="dxa"/>
            <w:vAlign w:val="bottom"/>
            <w:tcBorders>
              <w:left w:val="single" w:sz="8" w:color="auto"/>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r>
    </w:tbl>
    <w:p>
      <w:pPr>
        <w:spacing w:after="0" w:line="212" w:lineRule="exact"/>
        <w:rPr>
          <w:sz w:val="20"/>
          <w:szCs w:val="20"/>
          <w:color w:val="auto"/>
        </w:rPr>
      </w:pPr>
    </w:p>
    <w:p>
      <w:pPr>
        <w:ind w:left="960" w:right="599" w:firstLine="614"/>
        <w:spacing w:after="0" w:line="313" w:lineRule="auto"/>
        <w:tabs>
          <w:tab w:leader="none" w:pos="1847"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Delivery – Death or Disability</w:t>
      </w:r>
      <w:r>
        <w:rPr>
          <w:rFonts w:ascii="Times New Roman" w:cs="Times New Roman" w:eastAsia="Times New Roman" w:hAnsi="Times New Roman"/>
          <w:sz w:val="21"/>
          <w:szCs w:val="21"/>
          <w:color w:val="auto"/>
        </w:rPr>
        <w:t>. Upon the occurrence of a Qualifying Event,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Company shall, within 30 days following the date of such event, deliver (or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4</w:t>
      </w:r>
    </w:p>
    <w:p>
      <w:pPr>
        <w:spacing w:after="0" w:line="395" w:lineRule="exact"/>
        <w:rPr>
          <w:sz w:val="20"/>
          <w:szCs w:val="20"/>
          <w:color w:val="auto"/>
        </w:rPr>
      </w:pPr>
    </w:p>
    <w:p>
      <w:pPr>
        <w:ind w:left="960" w:right="759"/>
        <w:spacing w:after="0" w:line="271" w:lineRule="auto"/>
        <w:rPr>
          <w:sz w:val="20"/>
          <w:szCs w:val="20"/>
          <w:color w:val="auto"/>
        </w:rPr>
      </w:pPr>
      <w:r>
        <w:rPr>
          <w:rFonts w:ascii="Times New Roman" w:cs="Times New Roman" w:eastAsia="Times New Roman" w:hAnsi="Times New Roman"/>
          <w:sz w:val="22"/>
          <w:szCs w:val="22"/>
          <w:color w:val="auto"/>
        </w:rPr>
        <w:t>delivery of) Shares to the Participant in respect of 100% of the RSUs which vest and become Vested RSUs on such date.</w:t>
      </w:r>
    </w:p>
    <w:p>
      <w:pPr>
        <w:spacing w:after="0" w:line="154" w:lineRule="exact"/>
        <w:rPr>
          <w:sz w:val="20"/>
          <w:szCs w:val="20"/>
          <w:color w:val="auto"/>
        </w:rPr>
      </w:pPr>
    </w:p>
    <w:p>
      <w:pPr>
        <w:jc w:val="both"/>
        <w:ind w:left="960" w:right="379" w:firstLine="614"/>
        <w:spacing w:after="0" w:line="283" w:lineRule="auto"/>
        <w:tabs>
          <w:tab w:leader="none" w:pos="1841"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Delivery – Retirement</w:t>
      </w:r>
      <w:r>
        <w:rPr>
          <w:rFonts w:ascii="Times New Roman" w:cs="Times New Roman" w:eastAsia="Times New Roman" w:hAnsi="Times New Roman"/>
          <w:sz w:val="21"/>
          <w:szCs w:val="21"/>
          <w:color w:val="auto"/>
        </w:rPr>
        <w:t>. Upon the Participant’s Retirement, the Company shall,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on each subsequent Vesting Date, deliver (or cause delivery of) Shares to the Participant in respect of the RSUs which vest and have become Vested RSUs on such date.</w:t>
      </w:r>
    </w:p>
    <w:p>
      <w:pPr>
        <w:spacing w:after="0" w:line="144" w:lineRule="exact"/>
        <w:rPr>
          <w:rFonts w:ascii="Times New Roman" w:cs="Times New Roman" w:eastAsia="Times New Roman" w:hAnsi="Times New Roman"/>
          <w:sz w:val="21"/>
          <w:szCs w:val="21"/>
          <w:color w:val="auto"/>
        </w:rPr>
      </w:pPr>
    </w:p>
    <w:p>
      <w:pPr>
        <w:ind w:left="960" w:right="359" w:firstLine="614"/>
        <w:spacing w:after="0" w:line="258" w:lineRule="auto"/>
        <w:tabs>
          <w:tab w:leader="none" w:pos="189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 Involuntary Termination</w:t>
      </w:r>
      <w:r>
        <w:rPr>
          <w:rFonts w:ascii="Times New Roman" w:cs="Times New Roman" w:eastAsia="Times New Roman" w:hAnsi="Times New Roman"/>
          <w:sz w:val="22"/>
          <w:szCs w:val="22"/>
          <w:color w:val="auto"/>
        </w:rPr>
        <w:t>. Upon the Participant’s Involuntary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Termination, the Company shall, on each subsequent Vesting Date, deliver (or cause delivery of) Shares to the Participant in respect of the RSUs which vest and have become Vested RSUs on such date.</w:t>
      </w:r>
    </w:p>
    <w:p>
      <w:pPr>
        <w:spacing w:after="0" w:line="167" w:lineRule="exact"/>
        <w:rPr>
          <w:rFonts w:ascii="Times New Roman" w:cs="Times New Roman" w:eastAsia="Times New Roman" w:hAnsi="Times New Roman"/>
          <w:sz w:val="22"/>
          <w:szCs w:val="22"/>
          <w:color w:val="auto"/>
        </w:rPr>
      </w:pPr>
    </w:p>
    <w:p>
      <w:pPr>
        <w:ind w:left="960" w:right="359" w:firstLine="614"/>
        <w:spacing w:after="0" w:line="254" w:lineRule="auto"/>
        <w:tabs>
          <w:tab w:leader="none" w:pos="184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Delivery – Terminations. </w:t>
      </w:r>
      <w:r>
        <w:rPr>
          <w:rFonts w:ascii="Times New Roman" w:cs="Times New Roman" w:eastAsia="Times New Roman" w:hAnsi="Times New Roman"/>
          <w:sz w:val="22"/>
          <w:szCs w:val="22"/>
          <w:color w:val="auto"/>
        </w:rPr>
        <w:t>Except as otherwise set forth in Sections 4(b), 4(c),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4(d) or 4(f), in the event the Participant’s Services with the Company and its Affiliates are terminated for any reason, the Company shall within 30 days following the date of such termination, deliver (or cause delivery of) Shares to the Participant in respect of any then outstanding Vested RSUs.</w:t>
      </w:r>
    </w:p>
    <w:p>
      <w:pPr>
        <w:spacing w:after="0" w:line="173" w:lineRule="exact"/>
        <w:rPr>
          <w:rFonts w:ascii="Times New Roman" w:cs="Times New Roman" w:eastAsia="Times New Roman" w:hAnsi="Times New Roman"/>
          <w:sz w:val="22"/>
          <w:szCs w:val="22"/>
          <w:color w:val="auto"/>
        </w:rPr>
      </w:pPr>
    </w:p>
    <w:p>
      <w:pPr>
        <w:jc w:val="both"/>
        <w:ind w:left="960" w:right="479" w:firstLine="614"/>
        <w:spacing w:after="0" w:line="277" w:lineRule="auto"/>
        <w:tabs>
          <w:tab w:leader="none" w:pos="1841"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Forfeiture; Clawback</w:t>
      </w:r>
      <w:r>
        <w:rPr>
          <w:rFonts w:ascii="Times New Roman" w:cs="Times New Roman" w:eastAsia="Times New Roman" w:hAnsi="Times New Roman"/>
          <w:sz w:val="21"/>
          <w:szCs w:val="21"/>
          <w:color w:val="auto"/>
        </w:rPr>
        <w:t>. It is a condition of being granted the RSUs hereunder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receiving the underlying Shares upon satisfaction of the vesting conditions set forth herein that the Participant not engage in any Detrimental Activity. Notwithstanding</w:t>
      </w:r>
    </w:p>
    <w:p>
      <w:pPr>
        <w:sectPr>
          <w:pgSz w:w="11900" w:h="17007" w:orient="portrait"/>
          <w:cols w:equalWidth="0" w:num="1">
            <w:col w:w="9019"/>
          </w:cols>
          <w:pgMar w:left="1440" w:top="71" w:right="1440" w:bottom="0" w:gutter="0" w:footer="0" w:header="0"/>
        </w:sectPr>
      </w:pPr>
    </w:p>
    <w:bookmarkStart w:id="123" w:name="page124"/>
    <w:bookmarkEnd w:id="123"/>
    <w:p>
      <w:pPr>
        <w:spacing w:after="0" w:line="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960" w:right="319"/>
        <w:spacing w:after="0" w:line="260" w:lineRule="auto"/>
        <w:rPr>
          <w:sz w:val="20"/>
          <w:szCs w:val="20"/>
          <w:color w:val="auto"/>
        </w:rPr>
      </w:pPr>
      <w:r>
        <w:rPr>
          <w:rFonts w:ascii="Times New Roman" w:cs="Times New Roman" w:eastAsia="Times New Roman" w:hAnsi="Times New Roman"/>
          <w:sz w:val="21"/>
          <w:szCs w:val="21"/>
          <w:color w:val="auto"/>
        </w:rPr>
        <w:t>anything to the contrary herein, if the Administrator determines in its sole discretion that the Participant has engaged in Detrimental Activity (i) all outstanding RSUs (whether or not vested) shall immediately terminate and be forfeited without consideration upon the date of such determination and no further Shares with respect of the Award shall be delivered to the Participant or to the Participant’s legal representative, beneficiaries or heirs, (ii) to the extent permitted under applicable law, any Shares that have previously been delivered to the Participant or the Participant’s legal representative, beneficiaries or heirs pursuant to the Award and which are still held by the Participant or the Participant’s legal representative, or beneficiaries or heirs as of the date of such determination by the Administrator shall also immediately terminate and be forfeited without consideration and (iii) the Administrator may require that the Participant forfeit any proceeds realized within the one (1) year period preceding the date of such determination on the disposition of any Shares received in settlement of the Award, and repay such proceeds to the Company within thirty (30) days following the Company’s demand therefor. Without limiting the foregoing, the Award and all Shares issued in respect thereof shall be subject to reduction, cancellation, forfeiture or recoupment to the extent necessary to comply with applicable law and/or the Company’s clawback and recoupment policies as in effect from time to time.</w:t>
      </w:r>
    </w:p>
    <w:p>
      <w:pPr>
        <w:spacing w:after="0" w:line="200" w:lineRule="exact"/>
        <w:rPr>
          <w:sz w:val="20"/>
          <w:szCs w:val="20"/>
          <w:color w:val="auto"/>
        </w:rPr>
      </w:pPr>
    </w:p>
    <w:p>
      <w:pPr>
        <w:spacing w:after="0" w:line="240" w:lineRule="exact"/>
        <w:rPr>
          <w:sz w:val="20"/>
          <w:szCs w:val="20"/>
          <w:color w:val="auto"/>
        </w:rPr>
      </w:pPr>
    </w:p>
    <w:p>
      <w:pPr>
        <w:ind w:left="300" w:right="299" w:firstLine="659"/>
        <w:spacing w:after="0" w:line="268" w:lineRule="auto"/>
        <w:tabs>
          <w:tab w:leader="none" w:pos="1615"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Notwithstanding anything to the contrary herein, in the event of the Participant’s involuntary termination of Service by the Company without Cause that occurs within twelve (12) months following a Change in Control, 100% of the RSUs granted hereunder which then remain outstanding shall vest (to the extent not previously vested) upon the date of such termination of Service and the Shares underlying such Vested RSUs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5</w:t>
      </w:r>
    </w:p>
    <w:p>
      <w:pPr>
        <w:spacing w:after="0" w:line="395" w:lineRule="exact"/>
        <w:rPr>
          <w:sz w:val="20"/>
          <w:szCs w:val="20"/>
          <w:color w:val="auto"/>
        </w:rPr>
      </w:pPr>
    </w:p>
    <w:p>
      <w:pPr>
        <w:ind w:left="300" w:right="519"/>
        <w:spacing w:after="0" w:line="271" w:lineRule="auto"/>
        <w:rPr>
          <w:sz w:val="20"/>
          <w:szCs w:val="20"/>
          <w:color w:val="auto"/>
        </w:rPr>
      </w:pPr>
      <w:r>
        <w:rPr>
          <w:rFonts w:ascii="Times New Roman" w:cs="Times New Roman" w:eastAsia="Times New Roman" w:hAnsi="Times New Roman"/>
          <w:sz w:val="22"/>
          <w:szCs w:val="22"/>
          <w:color w:val="auto"/>
        </w:rPr>
        <w:t>delivered in accordance with Section 4(d), subject to any required delay pursuant to Section 17 of the Plan.</w:t>
      </w:r>
    </w:p>
    <w:p>
      <w:pPr>
        <w:spacing w:after="0" w:line="158" w:lineRule="exact"/>
        <w:rPr>
          <w:sz w:val="20"/>
          <w:szCs w:val="20"/>
          <w:color w:val="auto"/>
        </w:rPr>
      </w:pPr>
    </w:p>
    <w:p>
      <w:pPr>
        <w:ind w:left="300" w:right="439" w:firstLine="659"/>
        <w:spacing w:after="0" w:line="261" w:lineRule="auto"/>
        <w:tabs>
          <w:tab w:leader="none" w:pos="1615"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 RSUs</w:t>
      </w:r>
      <w:r>
        <w:rPr>
          <w:rFonts w:ascii="Times New Roman" w:cs="Times New Roman" w:eastAsia="Times New Roman" w:hAnsi="Times New Roman"/>
          <w:sz w:val="21"/>
          <w:szCs w:val="21"/>
          <w:color w:val="auto"/>
        </w:rPr>
        <w:t>. With respect to any cash dividend paid by the Company with respect to Shares for which the record date occurs while the Award remains outstanding and that occurs on or after the beginning of the first calendar quarter commencing after the Date of Grant, on the payment date of such dividend the number of RSUs then underlying the Award shall be increased by a number of additional dividend equivalent RSUs equal to the quotient (rounded down to the nearest whole number of RSUs) of (a) the product of</w:t>
      </w:r>
    </w:p>
    <w:p>
      <w:pPr>
        <w:spacing w:after="0" w:line="2" w:lineRule="exact"/>
        <w:rPr>
          <w:rFonts w:ascii="Times New Roman" w:cs="Times New Roman" w:eastAsia="Times New Roman" w:hAnsi="Times New Roman"/>
          <w:sz w:val="21"/>
          <w:szCs w:val="21"/>
          <w:color w:val="auto"/>
        </w:rPr>
      </w:pPr>
    </w:p>
    <w:p>
      <w:pPr>
        <w:ind w:left="300" w:right="339" w:hanging="8"/>
        <w:spacing w:after="0" w:line="249" w:lineRule="auto"/>
        <w:tabs>
          <w:tab w:leader="none" w:pos="55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dollar amount of the cash dividend paid per Share on such date,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the number of RSUs that remain outstanding and subject to the Award as of such date,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(b) the closing price of a Share on The Nasdaq Global Select Market on such date. Any such additional dividend equivalents shall be subject to the same terms and conditions, and shall be earned and vested, and be settled or forfeited, in the same manner and at the same time, as the RSUs with respect to which they have been credited.</w:t>
      </w:r>
    </w:p>
    <w:p>
      <w:pPr>
        <w:spacing w:after="0" w:line="181" w:lineRule="exact"/>
        <w:rPr>
          <w:rFonts w:ascii="Times New Roman" w:cs="Times New Roman" w:eastAsia="Times New Roman" w:hAnsi="Times New Roman"/>
          <w:sz w:val="22"/>
          <w:szCs w:val="22"/>
          <w:color w:val="auto"/>
        </w:rPr>
      </w:pPr>
    </w:p>
    <w:p>
      <w:pPr>
        <w:ind w:left="300" w:right="399" w:firstLine="659"/>
        <w:spacing w:after="0" w:line="257" w:lineRule="auto"/>
        <w:tabs>
          <w:tab w:leader="none" w:pos="1615"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Upon Certain Events</w:t>
      </w:r>
      <w:r>
        <w:rPr>
          <w:rFonts w:ascii="Times New Roman" w:cs="Times New Roman" w:eastAsia="Times New Roman" w:hAnsi="Times New Roman"/>
          <w:sz w:val="22"/>
          <w:szCs w:val="22"/>
          <w:color w:val="auto"/>
        </w:rPr>
        <w:t>. The Administrator shall make certain substitutions or adjustments to any RSUs subject to this Award Agreement pursuant to Section 9 of the Plan.</w:t>
      </w:r>
    </w:p>
    <w:p>
      <w:pPr>
        <w:spacing w:after="0" w:line="172" w:lineRule="exact"/>
        <w:rPr>
          <w:rFonts w:ascii="Times New Roman" w:cs="Times New Roman" w:eastAsia="Times New Roman" w:hAnsi="Times New Roman"/>
          <w:sz w:val="22"/>
          <w:szCs w:val="22"/>
          <w:color w:val="auto"/>
        </w:rPr>
      </w:pPr>
    </w:p>
    <w:p>
      <w:pPr>
        <w:ind w:left="300" w:right="1319" w:firstLine="659"/>
        <w:spacing w:after="0" w:line="284" w:lineRule="auto"/>
        <w:tabs>
          <w:tab w:leader="none" w:pos="1615"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the grant, the Participant acknowledges, understands, and agrees that:</w:t>
      </w:r>
    </w:p>
    <w:p>
      <w:pPr>
        <w:spacing w:after="0" w:line="144" w:lineRule="exact"/>
        <w:rPr>
          <w:sz w:val="20"/>
          <w:szCs w:val="20"/>
          <w:color w:val="auto"/>
        </w:rPr>
      </w:pPr>
    </w:p>
    <w:p>
      <w:pPr>
        <w:jc w:val="both"/>
        <w:ind w:left="960" w:right="359" w:firstLine="616"/>
        <w:spacing w:after="0" w:line="257" w:lineRule="auto"/>
        <w:rPr>
          <w:sz w:val="20"/>
          <w:szCs w:val="20"/>
          <w:color w:val="auto"/>
        </w:rPr>
      </w:pPr>
      <w:r>
        <w:rPr>
          <w:rFonts w:ascii="Times New Roman" w:cs="Times New Roman" w:eastAsia="Times New Roman" w:hAnsi="Times New Roman"/>
          <w:sz w:val="22"/>
          <w:szCs w:val="22"/>
          <w:color w:val="auto"/>
        </w:rPr>
        <w:t>(a)the Plan is established voluntarily by the Company, it is discretionary in nature and it may be modified, amended, suspended or terminated by the Company, at any time, to the extent permitted by the Plan;</w:t>
      </w:r>
    </w:p>
    <w:p>
      <w:pPr>
        <w:spacing w:after="0" w:line="173" w:lineRule="exact"/>
        <w:rPr>
          <w:sz w:val="20"/>
          <w:szCs w:val="20"/>
          <w:color w:val="auto"/>
        </w:rPr>
      </w:pPr>
    </w:p>
    <w:p>
      <w:pPr>
        <w:ind w:left="960" w:right="499" w:firstLine="614"/>
        <w:spacing w:after="0" w:line="309" w:lineRule="auto"/>
        <w:tabs>
          <w:tab w:leader="none" w:pos="1895"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the RSUs is exceptional, voluntary and occasional and does not create any contractual or other right to receive future grants of RSUs, or benefits in lieu</w:t>
      </w:r>
    </w:p>
    <w:p>
      <w:pPr>
        <w:sectPr>
          <w:pgSz w:w="11900" w:h="16918" w:orient="portrait"/>
          <w:cols w:equalWidth="0" w:num="1">
            <w:col w:w="9019"/>
          </w:cols>
          <w:pgMar w:left="1440" w:top="166" w:right="1440" w:bottom="0" w:gutter="0" w:footer="0" w:header="0"/>
        </w:sectPr>
      </w:pPr>
    </w:p>
    <w:bookmarkStart w:id="124" w:name="page125"/>
    <w:bookmarkEnd w:id="124"/>
    <w:p>
      <w:pPr>
        <w:spacing w:after="0" w:line="1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of RSUs, even if RSUs have been granted in the past;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-116840</wp:posOffset>
            </wp:positionV>
            <wp:extent cx="7132320" cy="105156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73" w:lineRule="exact"/>
        <w:rPr>
          <w:sz w:val="20"/>
          <w:szCs w:val="20"/>
          <w:color w:val="auto"/>
        </w:rPr>
      </w:pPr>
    </w:p>
    <w:p>
      <w:pPr>
        <w:ind w:left="960" w:right="459" w:firstLine="614"/>
        <w:spacing w:after="0" w:line="271" w:lineRule="auto"/>
        <w:tabs>
          <w:tab w:leader="none" w:pos="1895"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RSUs or other grants, if any, will be at the sole discretion of the Company;</w:t>
      </w:r>
    </w:p>
    <w:p>
      <w:pPr>
        <w:spacing w:after="0" w:line="157" w:lineRule="exact"/>
        <w:rPr>
          <w:rFonts w:ascii="Times New Roman" w:cs="Times New Roman" w:eastAsia="Times New Roman" w:hAnsi="Times New Roman"/>
          <w:sz w:val="22"/>
          <w:szCs w:val="22"/>
          <w:color w:val="auto"/>
        </w:rPr>
      </w:pPr>
    </w:p>
    <w:p>
      <w:pPr>
        <w:ind w:left="960" w:right="359" w:firstLine="614"/>
        <w:spacing w:after="0" w:line="256" w:lineRule="auto"/>
        <w:tabs>
          <w:tab w:leader="none" w:pos="1895"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granting of the RSUs evidenced by this Award Agreement shall impose no obligation on the Company or any Affiliate to continue the Services of the Participant and shall not lessen or affect the Company’s or its Affiliate’s right to terminate the Services of such Participant;</w:t>
      </w:r>
    </w:p>
    <w:p>
      <w:pPr>
        <w:spacing w:after="0" w:line="176" w:lineRule="exact"/>
        <w:rPr>
          <w:rFonts w:ascii="Times New Roman" w:cs="Times New Roman" w:eastAsia="Times New Roman" w:hAnsi="Times New Roman"/>
          <w:sz w:val="22"/>
          <w:szCs w:val="22"/>
          <w:color w:val="auto"/>
        </w:rPr>
      </w:pPr>
    </w:p>
    <w:p>
      <w:pPr>
        <w:ind w:left="1900" w:hanging="326"/>
        <w:spacing w:after="0"/>
        <w:tabs>
          <w:tab w:leader="none" w:pos="190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voluntarily participating in the Plan;</w:t>
      </w:r>
    </w:p>
    <w:p>
      <w:pPr>
        <w:spacing w:after="0" w:line="219" w:lineRule="exact"/>
        <w:rPr>
          <w:rFonts w:ascii="Times New Roman" w:cs="Times New Roman" w:eastAsia="Times New Roman" w:hAnsi="Times New Roman"/>
          <w:sz w:val="22"/>
          <w:szCs w:val="22"/>
          <w:color w:val="auto"/>
        </w:rPr>
      </w:pPr>
    </w:p>
    <w:p>
      <w:pPr>
        <w:ind w:left="960" w:right="439" w:firstLine="614"/>
        <w:spacing w:after="0" w:line="284" w:lineRule="auto"/>
        <w:tabs>
          <w:tab w:leader="none" w:pos="1895"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the Shares subject to the RSUs, and the income from and value of same, are not intended to replace any pension rights or compensation;</w:t>
      </w:r>
    </w:p>
    <w:p>
      <w:pPr>
        <w:spacing w:after="0" w:line="144" w:lineRule="exact"/>
        <w:rPr>
          <w:sz w:val="20"/>
          <w:szCs w:val="20"/>
          <w:color w:val="auto"/>
        </w:rPr>
      </w:pPr>
    </w:p>
    <w:p>
      <w:pPr>
        <w:ind w:left="960" w:right="359" w:firstLine="616"/>
        <w:spacing w:after="0" w:line="295" w:lineRule="auto"/>
        <w:rPr>
          <w:sz w:val="20"/>
          <w:szCs w:val="20"/>
          <w:color w:val="auto"/>
        </w:rPr>
      </w:pPr>
      <w:r>
        <w:rPr>
          <w:rFonts w:ascii="Times New Roman" w:cs="Times New Roman" w:eastAsia="Times New Roman" w:hAnsi="Times New Roman"/>
          <w:sz w:val="21"/>
          <w:szCs w:val="21"/>
          <w:color w:val="auto"/>
        </w:rPr>
        <w:t>(g)the RSUs and the Shares subject to the RSUs, and the income from and value of same, are not part of normal or expected compensation for purposes of calculating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6</w:t>
      </w:r>
    </w:p>
    <w:p>
      <w:pPr>
        <w:spacing w:after="0" w:line="395" w:lineRule="exact"/>
        <w:rPr>
          <w:sz w:val="20"/>
          <w:szCs w:val="20"/>
          <w:color w:val="auto"/>
        </w:rPr>
      </w:pPr>
    </w:p>
    <w:p>
      <w:pPr>
        <w:ind w:left="960" w:right="559"/>
        <w:spacing w:after="0" w:line="257" w:lineRule="auto"/>
        <w:rPr>
          <w:sz w:val="20"/>
          <w:szCs w:val="20"/>
          <w:color w:val="auto"/>
        </w:rPr>
      </w:pPr>
      <w:r>
        <w:rPr>
          <w:rFonts w:ascii="Times New Roman" w:cs="Times New Roman" w:eastAsia="Times New Roman" w:hAnsi="Times New Roman"/>
          <w:sz w:val="22"/>
          <w:szCs w:val="22"/>
          <w:color w:val="auto"/>
        </w:rPr>
        <w:t>severance, resignation, termination, redundancy, dismissal, end-of-service payments, holiday pay, bonuses, long-service awards, pension or retirement or welfare benefits or similar payments;</w:t>
      </w:r>
    </w:p>
    <w:p>
      <w:pPr>
        <w:spacing w:after="0" w:line="186" w:lineRule="exact"/>
        <w:rPr>
          <w:sz w:val="20"/>
          <w:szCs w:val="20"/>
          <w:color w:val="auto"/>
        </w:rPr>
      </w:pPr>
    </w:p>
    <w:p>
      <w:pPr>
        <w:ind w:left="960" w:right="319" w:firstLine="616"/>
        <w:spacing w:after="0" w:line="257" w:lineRule="auto"/>
        <w:rPr>
          <w:sz w:val="20"/>
          <w:szCs w:val="20"/>
          <w:color w:val="auto"/>
        </w:rPr>
      </w:pPr>
      <w:r>
        <w:rPr>
          <w:rFonts w:ascii="Times New Roman" w:cs="Times New Roman" w:eastAsia="Times New Roman" w:hAnsi="Times New Roman"/>
          <w:sz w:val="22"/>
          <w:szCs w:val="22"/>
          <w:color w:val="auto"/>
        </w:rPr>
        <w:t>(h)the RSUs should in no event be considered as compensation for, or relating in any way to, past services for the Company, the Employer (as defined in Section 15 of this Award Agreement) or any Affiliate or predecessor;</w:t>
      </w:r>
    </w:p>
    <w:p>
      <w:pPr>
        <w:spacing w:after="0" w:line="173" w:lineRule="exact"/>
        <w:rPr>
          <w:sz w:val="20"/>
          <w:szCs w:val="20"/>
          <w:color w:val="auto"/>
        </w:rPr>
      </w:pPr>
    </w:p>
    <w:p>
      <w:pPr>
        <w:ind w:left="960" w:right="339" w:firstLine="614"/>
        <w:spacing w:after="0" w:line="281" w:lineRule="auto"/>
        <w:tabs>
          <w:tab w:leader="none" w:pos="1841"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agreed with the Company, the RSUs and the Shares subject to the RSUs, and the income from and value of same, are not granted as consideration for, or in connection with, the Services Participant may provide as a director of an Affiliate;</w:t>
      </w:r>
    </w:p>
    <w:p>
      <w:pPr>
        <w:spacing w:after="0" w:line="150" w:lineRule="exact"/>
        <w:rPr>
          <w:rFonts w:ascii="Times New Roman" w:cs="Times New Roman" w:eastAsia="Times New Roman" w:hAnsi="Times New Roman"/>
          <w:sz w:val="21"/>
          <w:szCs w:val="21"/>
          <w:color w:val="auto"/>
        </w:rPr>
      </w:pPr>
    </w:p>
    <w:p>
      <w:pPr>
        <w:ind w:left="960" w:right="819" w:firstLine="614"/>
        <w:spacing w:after="0" w:line="271" w:lineRule="auto"/>
        <w:tabs>
          <w:tab w:leader="none" w:pos="1841"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Shares is unknown, indeterminable and cannot be predicted with certainty;</w:t>
      </w:r>
    </w:p>
    <w:p>
      <w:pPr>
        <w:spacing w:after="0" w:line="158" w:lineRule="exact"/>
        <w:rPr>
          <w:sz w:val="20"/>
          <w:szCs w:val="20"/>
          <w:color w:val="auto"/>
        </w:rPr>
      </w:pPr>
    </w:p>
    <w:p>
      <w:pPr>
        <w:ind w:left="960" w:right="319" w:firstLine="616"/>
        <w:spacing w:after="0" w:line="248" w:lineRule="auto"/>
        <w:rPr>
          <w:sz w:val="20"/>
          <w:szCs w:val="20"/>
          <w:color w:val="auto"/>
        </w:rPr>
      </w:pPr>
      <w:r>
        <w:rPr>
          <w:rFonts w:ascii="Times New Roman" w:cs="Times New Roman" w:eastAsia="Times New Roman" w:hAnsi="Times New Roman"/>
          <w:sz w:val="22"/>
          <w:szCs w:val="22"/>
          <w:color w:val="auto"/>
        </w:rPr>
        <w:t>(k)in the event of termination of the Participant’s Services for any reason, except as set forth in Sections 3, 4 or 5 (whether or not later to be found invalid or in breach of employment laws in the jurisdiction where the Participant is employed or the terms of the Participant’s employment agreement, if any), unless otherwise determined by the Company, the Participant’s right to vest in the RSUs under the Plan, if any, will terminate effective as of the date that the Participant is no longer actively providing Services and will not be extended by any notice period (e.g., active Services would not include any contractual notice period or any period of “garden leave” or similar period mandated under employment laws in the jurisdiction where the Participant is employed, or the terms of the Participant’s employment agreement, if any); the Administrator shall have the exclusive discretion to determine when the Participant is no longer actively providing Services for purposes of the RSUs grant (including whether the Participant may still be considered to be providing Services while on an approved leave of absence); and</w:t>
      </w:r>
    </w:p>
    <w:p>
      <w:pPr>
        <w:spacing w:after="0" w:line="188" w:lineRule="exact"/>
        <w:rPr>
          <w:sz w:val="20"/>
          <w:szCs w:val="20"/>
          <w:color w:val="auto"/>
        </w:rPr>
      </w:pPr>
    </w:p>
    <w:p>
      <w:pPr>
        <w:ind w:left="960" w:right="459" w:firstLine="614"/>
        <w:spacing w:after="0" w:line="271" w:lineRule="auto"/>
        <w:tabs>
          <w:tab w:leader="none" w:pos="189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provisions above in this Section 8, the following provisions apply if the Participant is providing Services outside the United States:</w:t>
      </w:r>
    </w:p>
    <w:p>
      <w:pPr>
        <w:spacing w:after="0" w:line="157" w:lineRule="exact"/>
        <w:rPr>
          <w:rFonts w:ascii="Times New Roman" w:cs="Times New Roman" w:eastAsia="Times New Roman" w:hAnsi="Times New Roman"/>
          <w:sz w:val="22"/>
          <w:szCs w:val="22"/>
          <w:color w:val="auto"/>
        </w:rPr>
      </w:pPr>
    </w:p>
    <w:p>
      <w:pPr>
        <w:ind w:left="1580" w:right="419" w:firstLine="966"/>
        <w:spacing w:after="0" w:line="268" w:lineRule="auto"/>
        <w:tabs>
          <w:tab w:leader="none" w:pos="2864"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or entitlement to compensation or damages shall arise from forfeiture of the RSUs resulting from termination of the Participant’s Services as set forth in Sections 3 or 4 above for any reason (whether or not later found to be invalid or in breach of employment laws in the jurisdiction where the Participant is employed or the terms of the Participant’s employment agreement,</w:t>
      </w:r>
    </w:p>
    <w:p>
      <w:pPr>
        <w:sectPr>
          <w:pgSz w:w="11900" w:h="16997" w:orient="portrait"/>
          <w:cols w:equalWidth="0" w:num="1">
            <w:col w:w="9019"/>
          </w:cols>
          <w:pgMar w:left="1440" w:top="71" w:right="1440" w:bottom="0" w:gutter="0" w:footer="0" w:header="0"/>
        </w:sectPr>
      </w:pPr>
    </w:p>
    <w:bookmarkStart w:id="125" w:name="page126"/>
    <w:bookmarkEnd w:id="125"/>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1580" w:right="339"/>
        <w:spacing w:after="0" w:line="284" w:lineRule="auto"/>
        <w:rPr>
          <w:sz w:val="20"/>
          <w:szCs w:val="20"/>
          <w:color w:val="auto"/>
        </w:rPr>
      </w:pPr>
      <w:r>
        <w:rPr>
          <w:rFonts w:ascii="Times New Roman" w:cs="Times New Roman" w:eastAsia="Times New Roman" w:hAnsi="Times New Roman"/>
          <w:sz w:val="22"/>
          <w:szCs w:val="22"/>
          <w:color w:val="auto"/>
        </w:rPr>
        <w:t>if any), and in consideration of the grant of the RSUs, the Participant agrees not to institute any claim against the Company or any Affiliate;</w:t>
      </w:r>
    </w:p>
    <w:p>
      <w:pPr>
        <w:spacing w:after="0" w:line="144" w:lineRule="exact"/>
        <w:rPr>
          <w:sz w:val="20"/>
          <w:szCs w:val="20"/>
          <w:color w:val="auto"/>
        </w:rPr>
      </w:pPr>
    </w:p>
    <w:p>
      <w:pPr>
        <w:ind w:left="1580" w:right="919" w:firstLine="966"/>
        <w:spacing w:after="0" w:line="271" w:lineRule="auto"/>
        <w:tabs>
          <w:tab w:leader="none" w:pos="292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the Shares subject to the RSUs are not part of normal or expected compensation or salary for any purpose;</w:t>
      </w:r>
    </w:p>
    <w:p>
      <w:pPr>
        <w:spacing w:after="0" w:line="157" w:lineRule="exact"/>
        <w:rPr>
          <w:rFonts w:ascii="Times New Roman" w:cs="Times New Roman" w:eastAsia="Times New Roman" w:hAnsi="Times New Roman"/>
          <w:sz w:val="22"/>
          <w:szCs w:val="22"/>
          <w:color w:val="auto"/>
        </w:rPr>
      </w:pPr>
    </w:p>
    <w:p>
      <w:pPr>
        <w:ind w:left="1580" w:right="399" w:firstLine="966"/>
        <w:spacing w:after="0" w:line="295" w:lineRule="auto"/>
        <w:tabs>
          <w:tab w:leader="none" w:pos="2984"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Affiliate shall be liable for any foreign exchange rate fluctuation between the Participant’s local currency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22"/>
          <w:szCs w:val="22"/>
          <w:color w:val="auto"/>
        </w:rPr>
        <w:t>7</w:t>
      </w:r>
    </w:p>
    <w:p>
      <w:pPr>
        <w:spacing w:after="0" w:line="395" w:lineRule="exact"/>
        <w:rPr>
          <w:sz w:val="20"/>
          <w:szCs w:val="20"/>
          <w:color w:val="auto"/>
        </w:rPr>
      </w:pPr>
    </w:p>
    <w:p>
      <w:pPr>
        <w:jc w:val="both"/>
        <w:ind w:left="1580" w:right="379"/>
        <w:spacing w:after="0" w:line="257" w:lineRule="auto"/>
        <w:rPr>
          <w:sz w:val="20"/>
          <w:szCs w:val="20"/>
          <w:color w:val="auto"/>
        </w:rPr>
      </w:pPr>
      <w:r>
        <w:rPr>
          <w:rFonts w:ascii="Times New Roman" w:cs="Times New Roman" w:eastAsia="Times New Roman" w:hAnsi="Times New Roman"/>
          <w:sz w:val="22"/>
          <w:szCs w:val="22"/>
          <w:color w:val="auto"/>
        </w:rPr>
        <w:t>United States Dollar that may affect the value of the RSUs or of any amounts due to the Participant pursuant to the settlement of the RSUs or the subsequent sale of any Shares acquired upon settlement; and</w:t>
      </w:r>
    </w:p>
    <w:p>
      <w:pPr>
        <w:spacing w:after="0" w:line="186" w:lineRule="exact"/>
        <w:rPr>
          <w:sz w:val="20"/>
          <w:szCs w:val="20"/>
          <w:color w:val="auto"/>
        </w:rPr>
      </w:pPr>
    </w:p>
    <w:p>
      <w:pPr>
        <w:ind w:left="1580" w:right="299" w:firstLine="966"/>
        <w:spacing w:after="0" w:line="248" w:lineRule="auto"/>
        <w:tabs>
          <w:tab w:leader="none" w:pos="2972"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Company, in consultation with legal counsel, or a court or tribunal of competent jurisdiction determines that the provisions set forth in Sections 3(c) and/or 4(c) above are invalid or unlawful, in whole or in part, or the Company determines that the application of such provisions may result in adverse tax consequences to the Participant, the Company or an Affiliate, the Company, in its sole discretion, shall have the power and authority to revise or strike such provisions to the minimum extent necessary to make them valid and lawful to the full extent permitted under applicable law and/or to mitigate any adverse tax consequences.</w:t>
      </w:r>
    </w:p>
    <w:p>
      <w:pPr>
        <w:spacing w:after="0" w:line="185" w:lineRule="exact"/>
        <w:rPr>
          <w:rFonts w:ascii="Times New Roman" w:cs="Times New Roman" w:eastAsia="Times New Roman" w:hAnsi="Times New Roman"/>
          <w:sz w:val="22"/>
          <w:szCs w:val="22"/>
          <w:color w:val="auto"/>
        </w:rPr>
      </w:pPr>
    </w:p>
    <w:p>
      <w:pPr>
        <w:ind w:left="300" w:right="559" w:firstLine="659"/>
        <w:spacing w:after="0" w:line="268" w:lineRule="auto"/>
        <w:tabs>
          <w:tab w:leader="none" w:pos="1615"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Advice Regarding Grant.</w:t>
      </w:r>
      <w:r>
        <w:rPr>
          <w:rFonts w:ascii="Times New Roman" w:cs="Times New Roman" w:eastAsia="Times New Roman" w:hAnsi="Times New Roman"/>
          <w:sz w:val="21"/>
          <w:szCs w:val="21"/>
          <w:color w:val="auto"/>
        </w:rPr>
        <w:t xml:space="preserve"> The Company is not providing any tax, legal or financial advice, nor is the Company making any recommendations regarding the Participant’s participation in the Plan, or the Participant’s acquisition or sale of the underlying Shares. The Participant should consult with his or her own personal tax, legal and financial advisors regarding his or her participation in the Plan before taking any action related to the Plan.</w:t>
      </w:r>
    </w:p>
    <w:p>
      <w:pPr>
        <w:spacing w:after="0" w:line="157" w:lineRule="exact"/>
        <w:rPr>
          <w:rFonts w:ascii="Times New Roman" w:cs="Times New Roman" w:eastAsia="Times New Roman" w:hAnsi="Times New Roman"/>
          <w:sz w:val="21"/>
          <w:szCs w:val="21"/>
          <w:color w:val="auto"/>
        </w:rPr>
      </w:pPr>
    </w:p>
    <w:p>
      <w:pPr>
        <w:ind w:left="300" w:right="519" w:firstLine="659"/>
        <w:spacing w:after="0" w:line="254" w:lineRule="auto"/>
        <w:tabs>
          <w:tab w:leader="none" w:pos="1615"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Data Privacy Information and Consent</w:t>
      </w:r>
      <w:r>
        <w:rPr>
          <w:rFonts w:ascii="Times New Roman" w:cs="Times New Roman" w:eastAsia="Times New Roman" w:hAnsi="Times New Roman"/>
          <w:sz w:val="22"/>
          <w:szCs w:val="22"/>
          <w:b w:val="1"/>
          <w:bCs w:val="1"/>
          <w:i w:val="1"/>
          <w:iCs w:val="1"/>
          <w:color w:val="auto"/>
        </w:rPr>
        <w:t>. The Company is located at 1001 Pennsylvania Avenue, NW, Washington, DC 20004 U.S.A. and grants employees of the Company and its Affiliates RSUs, at the Company’s sole discretion. If the Participant would like to participate in the Plan, please review the following information about the Company’s data processing practices and declare the Participant’s consent.</w:t>
      </w:r>
    </w:p>
    <w:p>
      <w:pPr>
        <w:spacing w:after="0" w:line="173" w:lineRule="exact"/>
        <w:rPr>
          <w:rFonts w:ascii="Times New Roman" w:cs="Times New Roman" w:eastAsia="Times New Roman" w:hAnsi="Times New Roman"/>
          <w:sz w:val="22"/>
          <w:szCs w:val="22"/>
          <w:color w:val="auto"/>
        </w:rPr>
      </w:pPr>
    </w:p>
    <w:p>
      <w:pPr>
        <w:ind w:left="960" w:right="479" w:firstLine="614"/>
        <w:spacing w:after="0" w:line="249" w:lineRule="auto"/>
        <w:tabs>
          <w:tab w:leader="none" w:pos="1841" w:val="left"/>
        </w:tabs>
        <w:numPr>
          <w:ilvl w:val="1"/>
          <w:numId w:val="12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Data Collection and Usage</w:t>
      </w:r>
      <w:r>
        <w:rPr>
          <w:rFonts w:ascii="Times New Roman" w:cs="Times New Roman" w:eastAsia="Times New Roman" w:hAnsi="Times New Roman"/>
          <w:sz w:val="22"/>
          <w:szCs w:val="22"/>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or directorships held in the Company, and details of all RSUs, canceled, vested, or outstanding in the Participant’s favor, which the Company receives from the Participant or the Employer. If the Company offers the Participant a grant of RSUs under the Plan, then the Company will collect the Participant’s personal data for purposes of allocating Shares and implementing, administering and managing the Plan. The Company’s legal basis for the processing of the Participant’s personal data would be his or her consent.</w:t>
      </w:r>
    </w:p>
    <w:p>
      <w:pPr>
        <w:spacing w:after="0" w:line="183" w:lineRule="exact"/>
        <w:rPr>
          <w:rFonts w:ascii="Times New Roman" w:cs="Times New Roman" w:eastAsia="Times New Roman" w:hAnsi="Times New Roman"/>
          <w:sz w:val="22"/>
          <w:szCs w:val="22"/>
          <w:b w:val="1"/>
          <w:bCs w:val="1"/>
          <w:i w:val="1"/>
          <w:iCs w:val="1"/>
          <w:color w:val="auto"/>
        </w:rPr>
      </w:pPr>
    </w:p>
    <w:p>
      <w:pPr>
        <w:ind w:left="960" w:right="359" w:firstLine="614"/>
        <w:spacing w:after="0" w:line="250" w:lineRule="auto"/>
        <w:tabs>
          <w:tab w:leader="none" w:pos="1841" w:val="left"/>
        </w:tabs>
        <w:numPr>
          <w:ilvl w:val="1"/>
          <w:numId w:val="12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Stock Plan Administration Service Providers</w:t>
      </w:r>
      <w:r>
        <w:rPr>
          <w:rFonts w:ascii="Times New Roman" w:cs="Times New Roman" w:eastAsia="Times New Roman" w:hAnsi="Times New Roman"/>
          <w:sz w:val="22"/>
          <w:szCs w:val="22"/>
          <w:b w:val="1"/>
          <w:bCs w:val="1"/>
          <w:i w:val="1"/>
          <w:iCs w:val="1"/>
          <w:color w:val="auto"/>
        </w:rPr>
        <w:t>: The Company transfers participant data to Morgan Stanley,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The Participant will be asked to agree on separate terms and data processing practices with the service provider, which is a condition to the Participant’s ability to participate in the Plan.</w:t>
      </w:r>
    </w:p>
    <w:p>
      <w:pPr>
        <w:sectPr>
          <w:pgSz w:w="11900" w:h="16934" w:orient="portrait"/>
          <w:cols w:equalWidth="0" w:num="1">
            <w:col w:w="9019"/>
          </w:cols>
          <w:pgMar w:left="1440" w:top="166" w:right="1440" w:bottom="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8</w:t>
      </w:r>
    </w:p>
    <w:p>
      <w:pPr>
        <w:spacing w:after="0" w:line="389" w:lineRule="exact"/>
        <w:rPr>
          <w:sz w:val="20"/>
          <w:szCs w:val="20"/>
          <w:color w:val="auto"/>
        </w:rPr>
      </w:pPr>
    </w:p>
    <w:p>
      <w:pPr>
        <w:ind w:left="960" w:right="479" w:firstLine="614"/>
        <w:spacing w:after="0" w:line="254" w:lineRule="auto"/>
        <w:tabs>
          <w:tab w:leader="none" w:pos="1895" w:val="left"/>
        </w:tabs>
        <w:numPr>
          <w:ilvl w:val="1"/>
          <w:numId w:val="12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International Data Transfers</w:t>
      </w:r>
      <w:r>
        <w:rPr>
          <w:rFonts w:ascii="Times New Roman" w:cs="Times New Roman" w:eastAsia="Times New Roman" w:hAnsi="Times New Roman"/>
          <w:sz w:val="22"/>
          <w:szCs w:val="22"/>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The Company’s legal basis for the transfer of the Participant’s personal data is his or her consent.</w:t>
      </w:r>
    </w:p>
    <w:p>
      <w:pPr>
        <w:spacing w:after="0" w:line="173" w:lineRule="exact"/>
        <w:rPr>
          <w:rFonts w:ascii="Times New Roman" w:cs="Times New Roman" w:eastAsia="Times New Roman" w:hAnsi="Times New Roman"/>
          <w:sz w:val="22"/>
          <w:szCs w:val="22"/>
          <w:b w:val="1"/>
          <w:bCs w:val="1"/>
          <w:i w:val="1"/>
          <w:iCs w:val="1"/>
          <w:color w:val="auto"/>
        </w:rPr>
      </w:pPr>
    </w:p>
    <w:p>
      <w:pPr>
        <w:ind w:left="960" w:right="399" w:firstLine="614"/>
        <w:spacing w:after="0" w:line="254" w:lineRule="auto"/>
        <w:tabs>
          <w:tab w:leader="none" w:pos="1895" w:val="left"/>
        </w:tabs>
        <w:numPr>
          <w:ilvl w:val="1"/>
          <w:numId w:val="12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Data Retention</w:t>
      </w:r>
      <w:r>
        <w:rPr>
          <w:rFonts w:ascii="Times New Roman" w:cs="Times New Roman" w:eastAsia="Times New Roman" w:hAnsi="Times New Roman"/>
          <w:sz w:val="22"/>
          <w:szCs w:val="22"/>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and security laws.</w:t>
      </w:r>
    </w:p>
    <w:p>
      <w:pPr>
        <w:spacing w:after="0" w:line="184" w:lineRule="exact"/>
        <w:rPr>
          <w:rFonts w:ascii="Times New Roman" w:cs="Times New Roman" w:eastAsia="Times New Roman" w:hAnsi="Times New Roman"/>
          <w:sz w:val="22"/>
          <w:szCs w:val="22"/>
          <w:b w:val="1"/>
          <w:bCs w:val="1"/>
          <w:i w:val="1"/>
          <w:iCs w:val="1"/>
          <w:color w:val="auto"/>
        </w:rPr>
      </w:pPr>
    </w:p>
    <w:p>
      <w:pPr>
        <w:ind w:left="960" w:right="339" w:firstLine="614"/>
        <w:spacing w:after="0" w:line="251" w:lineRule="auto"/>
        <w:tabs>
          <w:tab w:leader="none" w:pos="1841" w:val="left"/>
        </w:tabs>
        <w:numPr>
          <w:ilvl w:val="1"/>
          <w:numId w:val="12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Voluntariness and Consequences of Consent Denial or Withdrawal</w:t>
      </w:r>
      <w:r>
        <w:rPr>
          <w:rFonts w:ascii="Times New Roman" w:cs="Times New Roman" w:eastAsia="Times New Roman" w:hAnsi="Times New Roman"/>
          <w:sz w:val="22"/>
          <w:szCs w:val="22"/>
          <w:b w:val="1"/>
          <w:bCs w:val="1"/>
          <w:i w:val="1"/>
          <w:iCs w:val="1"/>
          <w:color w:val="auto"/>
        </w:rPr>
        <w:t xml:space="preserve"> :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as an employee or his or her career; the Participant would merely forfeit the opportunities associated with the Plan.</w:t>
      </w:r>
    </w:p>
    <w:p>
      <w:pPr>
        <w:spacing w:after="0" w:line="172" w:lineRule="exact"/>
        <w:rPr>
          <w:rFonts w:ascii="Times New Roman" w:cs="Times New Roman" w:eastAsia="Times New Roman" w:hAnsi="Times New Roman"/>
          <w:sz w:val="22"/>
          <w:szCs w:val="22"/>
          <w:b w:val="1"/>
          <w:bCs w:val="1"/>
          <w:i w:val="1"/>
          <w:iCs w:val="1"/>
          <w:color w:val="auto"/>
        </w:rPr>
      </w:pPr>
    </w:p>
    <w:p>
      <w:pPr>
        <w:ind w:left="960" w:right="359" w:firstLine="614"/>
        <w:spacing w:after="0" w:line="265" w:lineRule="auto"/>
        <w:tabs>
          <w:tab w:leader="none" w:pos="1841" w:val="left"/>
        </w:tabs>
        <w:numPr>
          <w:ilvl w:val="1"/>
          <w:numId w:val="125"/>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u w:val="single" w:color="auto"/>
          <w:color w:val="auto"/>
        </w:rPr>
        <w:t>Data Subject Rights</w:t>
      </w:r>
      <w:r>
        <w:rPr>
          <w:rFonts w:ascii="Times New Roman" w:cs="Times New Roman" w:eastAsia="Times New Roman" w:hAnsi="Times New Roman"/>
          <w:sz w:val="21"/>
          <w:szCs w:val="21"/>
          <w:b w:val="1"/>
          <w:bCs w:val="1"/>
          <w:i w:val="1"/>
          <w:iCs w:val="1"/>
          <w:color w:val="auto"/>
        </w:rPr>
        <w:t>: The Participant has a number of rights under data privacy laws in his or her country. Depending on where the Participant is based, the Participant’s rights may include the right to (i) request access or copies of personal data of the Company processes, (ii) rectification of incorrect data, (iii) deletion of data,</w:t>
      </w:r>
    </w:p>
    <w:p>
      <w:pPr>
        <w:spacing w:after="0" w:line="2" w:lineRule="exact"/>
        <w:rPr>
          <w:rFonts w:ascii="Times New Roman" w:cs="Times New Roman" w:eastAsia="Times New Roman" w:hAnsi="Times New Roman"/>
          <w:sz w:val="21"/>
          <w:szCs w:val="21"/>
          <w:b w:val="1"/>
          <w:bCs w:val="1"/>
          <w:i w:val="1"/>
          <w:iCs w:val="1"/>
          <w:color w:val="auto"/>
        </w:rPr>
      </w:pPr>
    </w:p>
    <w:p>
      <w:pPr>
        <w:ind w:left="960" w:right="619" w:hanging="1"/>
        <w:spacing w:after="0" w:line="246" w:lineRule="auto"/>
        <w:tabs>
          <w:tab w:leader="none" w:pos="1314" w:val="left"/>
        </w:tabs>
        <w:numPr>
          <w:ilvl w:val="0"/>
          <w:numId w:val="12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restrictions on processing, (v) portability of data, (vi) lodge complaints with competent authorities in the Participant’s country, and/or (vii) a list with the names and address of any potential recipients of the Participant’s data. To receive clarification regarding the Participant’s rights or to exercise the Participant’s rights please contact the Company at The Carlyle Group Inc., 1001 Pennsylvania Avenue, NW, Washington, DC 20004 U.S.A., Attention: Equity Management.</w:t>
      </w:r>
    </w:p>
    <w:p>
      <w:pPr>
        <w:spacing w:after="0" w:line="183" w:lineRule="exact"/>
        <w:rPr>
          <w:sz w:val="20"/>
          <w:szCs w:val="20"/>
          <w:color w:val="auto"/>
        </w:rPr>
      </w:pPr>
    </w:p>
    <w:p>
      <w:pPr>
        <w:ind w:left="300" w:right="499"/>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If the Participant agrees with the data processing practices as described in this notice, please declare the Participant’s consent by clicking the “Accept Award” button on the Morgan Stanley award acceptance page or signing below.</w:t>
      </w:r>
    </w:p>
    <w:p>
      <w:pPr>
        <w:spacing w:after="0" w:line="183" w:lineRule="exact"/>
        <w:rPr>
          <w:sz w:val="20"/>
          <w:szCs w:val="20"/>
          <w:color w:val="auto"/>
        </w:rPr>
      </w:pPr>
    </w:p>
    <w:p>
      <w:pPr>
        <w:ind w:left="300" w:right="499" w:firstLine="659"/>
        <w:spacing w:after="0" w:line="257" w:lineRule="auto"/>
        <w:tabs>
          <w:tab w:leader="none" w:pos="1615"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of a Holder of Shares</w:t>
      </w:r>
      <w:r>
        <w:rPr>
          <w:rFonts w:ascii="Times New Roman" w:cs="Times New Roman" w:eastAsia="Times New Roman" w:hAnsi="Times New Roman"/>
          <w:sz w:val="22"/>
          <w:szCs w:val="22"/>
          <w:color w:val="auto"/>
        </w:rPr>
        <w:t>. Except as otherwise provided herein, the Participant shall not have any rights as a holder of Shares until such Shares have been issued or transferred to the Participant.</w:t>
      </w:r>
    </w:p>
    <w:p>
      <w:pPr>
        <w:spacing w:after="0" w:line="172" w:lineRule="exact"/>
        <w:rPr>
          <w:rFonts w:ascii="Times New Roman" w:cs="Times New Roman" w:eastAsia="Times New Roman" w:hAnsi="Times New Roman"/>
          <w:sz w:val="22"/>
          <w:szCs w:val="22"/>
          <w:color w:val="auto"/>
        </w:rPr>
      </w:pPr>
    </w:p>
    <w:p>
      <w:pPr>
        <w:ind w:left="300" w:right="419" w:firstLine="659"/>
        <w:spacing w:after="0" w:line="264" w:lineRule="auto"/>
        <w:tabs>
          <w:tab w:leader="none" w:pos="1615"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Any Shares issued or transferred to the Participant or to the Participant’s beneficiary pursuant to Section 4 of this Award Agreement (including, without limitation, following the Participant’s death or Disability) shall be subject to such stop transfer orders and other restrictions as the Administrator may deem advisable under the Plan or the rules, regulations, and other requirements of the SEC, any stock exchange upon which such Shares are listed and any applicable U.S. or non-U.S. federal, state or local laws, and the Administrator may cause a notation or notations to be put entered into the books and records of the Company to make appropriate reference to such restrictions. Without limiting the generality</w:t>
      </w:r>
    </w:p>
    <w:p>
      <w:pPr>
        <w:sectPr>
          <w:pgSz w:w="11900" w:h="16838" w:orient="portrait"/>
          <w:cols w:equalWidth="0" w:num="1">
            <w:col w:w="9019"/>
          </w:cols>
          <w:pgMar w:left="1440" w:top="1440" w:right="1440" w:bottom="1440" w:gutter="0" w:footer="0" w:header="0"/>
        </w:sectPr>
      </w:pPr>
    </w:p>
    <w:bookmarkStart w:id="127" w:name="page128"/>
    <w:bookmarkEnd w:id="127"/>
    <w:p>
      <w:pPr>
        <w:spacing w:after="0" w:line="59"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-116840</wp:posOffset>
            </wp:positionV>
            <wp:extent cx="7132320" cy="105156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335"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22"/>
          <w:szCs w:val="22"/>
          <w:color w:val="auto"/>
        </w:rPr>
        <w:t>of the forgoing, a Participant’s ability to sell or transfer the Shares shall be subject to such trading policies or limitations as the Administrator may, in its sole discretion, impose from time to time on current or former senior professionals, employees, consultants, directors, members, partners or other service providers of the Company or of any of its Affiliates.</w:t>
      </w:r>
    </w:p>
    <w:p>
      <w:pPr>
        <w:spacing w:after="0" w:line="176" w:lineRule="exact"/>
        <w:rPr>
          <w:sz w:val="20"/>
          <w:szCs w:val="20"/>
          <w:color w:val="auto"/>
        </w:rPr>
      </w:pPr>
    </w:p>
    <w:p>
      <w:pPr>
        <w:ind w:left="300" w:right="459" w:firstLine="659"/>
        <w:spacing w:after="0" w:line="251" w:lineRule="auto"/>
        <w:tabs>
          <w:tab w:leader="none" w:pos="1615"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Unless otherwise determined or approved by the Administrator, no RSUs may be assigned, alienated, pledged, attached, sold or otherwise transferred or encumbered by the Participant other than by will or by the laws of descent and distribution, and any purported assignment, alienation, pledge, attachment, sale, transfer or encumbrance not permitted by this Section 13 shall be void and unenforceable against the Company or any Affiliate.</w:t>
      </w:r>
    </w:p>
    <w:p>
      <w:pPr>
        <w:spacing w:after="0" w:line="181" w:lineRule="exact"/>
        <w:rPr>
          <w:rFonts w:ascii="Times New Roman" w:cs="Times New Roman" w:eastAsia="Times New Roman" w:hAnsi="Times New Roman"/>
          <w:sz w:val="22"/>
          <w:szCs w:val="22"/>
          <w:color w:val="auto"/>
        </w:rPr>
      </w:pPr>
    </w:p>
    <w:p>
      <w:pPr>
        <w:ind w:left="300" w:right="359" w:firstLine="659"/>
        <w:spacing w:after="0" w:line="251" w:lineRule="auto"/>
        <w:tabs>
          <w:tab w:leader="none" w:pos="1615"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claims, demands and other communications hereunder shall be in writing and shall be given (and shall be deemed to have been duly given upon receipt) by delivery in person, by courier service, by fax, or by registered or certified mail (postage prepaid, return receipt requested) to the respective parties at the following addresses (or at such other address for a party as shall be specified in a notice given in accordance with this Section 14):</w:t>
      </w:r>
    </w:p>
    <w:p>
      <w:pPr>
        <w:spacing w:after="0" w:line="181" w:lineRule="exact"/>
        <w:rPr>
          <w:rFonts w:ascii="Times New Roman" w:cs="Times New Roman" w:eastAsia="Times New Roman" w:hAnsi="Times New Roman"/>
          <w:sz w:val="22"/>
          <w:szCs w:val="22"/>
          <w:color w:val="auto"/>
        </w:rPr>
      </w:pPr>
    </w:p>
    <w:p>
      <w:pPr>
        <w:ind w:left="1940" w:hanging="352"/>
        <w:spacing w:after="0"/>
        <w:tabs>
          <w:tab w:leader="none" w:pos="194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to:</w:t>
      </w:r>
    </w:p>
    <w:p>
      <w:pPr>
        <w:spacing w:after="0" w:line="22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The Carlyle Group Inc.</w:t>
      </w:r>
    </w:p>
    <w:p>
      <w:pPr>
        <w:spacing w:after="0" w:line="2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1001 Pennsylvania Avenue, NW</w:t>
      </w:r>
    </w:p>
    <w:p>
      <w:pPr>
        <w:spacing w:after="0" w:line="1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Washington, DC 20004</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Fax: (202) 315-3678</w:t>
      </w:r>
    </w:p>
    <w:p>
      <w:pPr>
        <w:spacing w:after="0" w:line="196" w:lineRule="exact"/>
        <w:rPr>
          <w:sz w:val="20"/>
          <w:szCs w:val="20"/>
          <w:color w:val="auto"/>
        </w:rPr>
      </w:pPr>
    </w:p>
    <w:p>
      <w:pPr>
        <w:ind w:left="1580" w:right="1759" w:firstLine="8"/>
        <w:spacing w:after="0" w:line="284" w:lineRule="auto"/>
        <w:tabs>
          <w:tab w:leader="none" w:pos="194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Participant, to the address appearing in the personnel records of the Company or any Affiliate.</w:t>
      </w:r>
    </w:p>
    <w:p>
      <w:pPr>
        <w:spacing w:after="0" w:line="143" w:lineRule="exact"/>
        <w:rPr>
          <w:rFonts w:ascii="Times New Roman" w:cs="Times New Roman" w:eastAsia="Times New Roman" w:hAnsi="Times New Roman"/>
          <w:sz w:val="22"/>
          <w:szCs w:val="22"/>
          <w:color w:val="auto"/>
        </w:rPr>
      </w:pPr>
    </w:p>
    <w:p>
      <w:pPr>
        <w:ind w:left="300" w:right="399" w:firstLine="659"/>
        <w:spacing w:after="0" w:line="260" w:lineRule="auto"/>
        <w:tabs>
          <w:tab w:leader="none" w:pos="1615"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Participant acknowledges that he or she may be required to pay to the Company or, if different, an Affiliate that employs the Participant (the “</w:t>
      </w:r>
      <w:r>
        <w:rPr>
          <w:rFonts w:ascii="Times New Roman" w:cs="Times New Roman" w:eastAsia="Times New Roman" w:hAnsi="Times New Roman"/>
          <w:sz w:val="21"/>
          <w:szCs w:val="21"/>
          <w:u w:val="single" w:color="auto"/>
          <w:color w:val="auto"/>
        </w:rPr>
        <w:t>Employer</w:t>
      </w:r>
      <w:r>
        <w:rPr>
          <w:rFonts w:ascii="Times New Roman" w:cs="Times New Roman" w:eastAsia="Times New Roman" w:hAnsi="Times New Roman"/>
          <w:sz w:val="21"/>
          <w:szCs w:val="21"/>
          <w:color w:val="auto"/>
        </w:rPr>
        <w:t>”), and that the Company, the Employer, or any Affiliate shall have the right and are hereby authorized to withhold from any compensation or other amount owing to the Participant, applicable income tax, social insurance, payroll tax, fringe benefits tax, payment on account or other tax-related items (including taxes that are imposed on the Company or the Employer as a result of the Participant’s participation in the Plan but are deemed by the Company or the Employer to be an appropriate charge to the Participant) (collectively, “</w:t>
      </w:r>
      <w:r>
        <w:rPr>
          <w:rFonts w:ascii="Times New Roman" w:cs="Times New Roman" w:eastAsia="Times New Roman" w:hAnsi="Times New Roman"/>
          <w:sz w:val="21"/>
          <w:szCs w:val="21"/>
          <w:u w:val="single" w:color="auto"/>
          <w:color w:val="auto"/>
        </w:rPr>
        <w:t>Tax-Related Items</w:t>
      </w:r>
      <w:r>
        <w:rPr>
          <w:rFonts w:ascii="Times New Roman" w:cs="Times New Roman" w:eastAsia="Times New Roman" w:hAnsi="Times New Roman"/>
          <w:sz w:val="21"/>
          <w:szCs w:val="21"/>
          <w:color w:val="auto"/>
        </w:rPr>
        <w:t>”), with respect to any issuance, transfer, or other taxable event under this Award Agreement or under the Plan and to take such action as may be necessary in the opinion of the Company to satisfy all obligations for the payment of such Tax-Related Items. The Participant further acknowledges that the Company and/or the Employer (i) make no representations or undertakings regarding the treatment of any Tax-Related Items in connection with any aspect of the RSUs, including, but not limited to the grant or vesting of the RSUs and the subsequent sale of Shares acquired upon settlement of the Vested RSUs; and (ii) do not commit to and are under no obligation to structure the terms of the grant or any aspect of the RSUs to reduce or eliminate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10</w:t>
      </w:r>
    </w:p>
    <w:p>
      <w:pPr>
        <w:spacing w:after="0" w:line="395" w:lineRule="exact"/>
        <w:rPr>
          <w:sz w:val="20"/>
          <w:szCs w:val="20"/>
          <w:color w:val="auto"/>
        </w:rPr>
      </w:pPr>
    </w:p>
    <w:p>
      <w:pPr>
        <w:ind w:left="300" w:right="379"/>
        <w:spacing w:after="0" w:line="265" w:lineRule="auto"/>
        <w:rPr>
          <w:sz w:val="20"/>
          <w:szCs w:val="20"/>
          <w:color w:val="auto"/>
        </w:rPr>
      </w:pPr>
      <w:r>
        <w:rPr>
          <w:rFonts w:ascii="Times New Roman" w:cs="Times New Roman" w:eastAsia="Times New Roman" w:hAnsi="Times New Roman"/>
          <w:sz w:val="21"/>
          <w:szCs w:val="21"/>
          <w:color w:val="auto"/>
        </w:rPr>
        <w:t>the Participant’s liability for Tax-Related Items or achieve a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 Without limiting the foregoing, the Administrator may, from time to time, permit the Participant to make arrangements prior to any Vesting Date described herein to pay the applicable Tax-Related Items</w:t>
      </w:r>
    </w:p>
    <w:p>
      <w:pPr>
        <w:sectPr>
          <w:pgSz w:w="11900" w:h="16897" w:orient="portrait"/>
          <w:cols w:equalWidth="0" w:num="1">
            <w:col w:w="9019"/>
          </w:cols>
          <w:pgMar w:left="1440" w:top="71" w:right="1440" w:bottom="0" w:gutter="0" w:footer="0" w:header="0"/>
        </w:sectPr>
      </w:pPr>
    </w:p>
    <w:bookmarkStart w:id="128" w:name="page129"/>
    <w:bookmarkEnd w:id="128"/>
    <w:p>
      <w:pPr>
        <w:ind w:left="300" w:right="319"/>
        <w:spacing w:after="0" w:line="259" w:lineRule="auto"/>
        <w:rPr>
          <w:sz w:val="20"/>
          <w:szCs w:val="20"/>
          <w:color w:val="auto"/>
        </w:rPr>
      </w:pPr>
      <w:r>
        <w:rPr>
          <w:rFonts w:ascii="Times New Roman" w:cs="Times New Roman" w:eastAsia="Times New Roman" w:hAnsi="Times New Roman"/>
          <w:sz w:val="21"/>
          <w:szCs w:val="21"/>
          <w:color w:val="auto"/>
        </w:rPr>
        <w:t>in a manner prescribed by the Administrator prior to the applicable Vesting Date; provided that, unless otherwise determined by the Administrator, any such payment or estimate must be received by the Company prior to an applicable Vesting Date. Additionally, the Participant authorizes the Company and/or the Employer to satisfy the obligations with regard to all Tax-Related Items by (i) withholding from proceeds of the sale of Shares acquired upon settlement of the Vested RSUs either through a voluntary sale or through a mandatory sale arranged by the Company (on the Participant’s behalf pursuant to this authorization) or (ii) using a net settlement method whereby the number of Shares that would otherwise be delivered to the Participant upon the settlement of Vested RSUs shall be reduced by a number of Shares having a fair market value necessary to satisfy such obligations. Depending on the withholding method, the Company and/ or the Employer may withhold or account for the Tax-Related Items by considering minimum statutory withholding amounts or other applicable withholding rates in the Participant’s jurisdiction(s), including maximum applicable rates. In the event of overwithholding, the Participant may receive a refund of any over-withheld amount in cash through the Employer’s normal payroll process (with no entitlement to the equivalent in Shares), or if not refunded, the Participant may seek a refund from the applicable tax authorities. In the event of under-withholding, the Participant may be required to pay additional Tax-Related Items directly to the applicable tax authorities or to the Company and/or the Employer. The Participant acknowledges that, regardless of any action taken by the Company, the Employer, or any Affiliate the ultimate liability for all Tax-Related Items, is and remains the Participant’s responsibility and may exceed the amount, if any, actually withheld by the Company or the Employer. The Company may refuse to issue or deliver the Shares or the proceeds from the sale of Shares, if the Participant fails to comply with his or her obligations in connection with the Tax-Related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-3762375</wp:posOffset>
            </wp:positionV>
            <wp:extent cx="7132320" cy="105156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69" w:lineRule="exact"/>
        <w:rPr>
          <w:sz w:val="20"/>
          <w:szCs w:val="20"/>
          <w:color w:val="auto"/>
        </w:rPr>
      </w:pPr>
    </w:p>
    <w:p>
      <w:pPr>
        <w:ind w:left="300" w:right="339" w:firstLine="659"/>
        <w:spacing w:after="0" w:line="260" w:lineRule="auto"/>
        <w:tabs>
          <w:tab w:leader="none" w:pos="1615"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 Venue</w:t>
      </w:r>
      <w:r>
        <w:rPr>
          <w:rFonts w:ascii="Times New Roman" w:cs="Times New Roman" w:eastAsia="Times New Roman" w:hAnsi="Times New Roman"/>
          <w:sz w:val="21"/>
          <w:szCs w:val="21"/>
          <w:color w:val="auto"/>
        </w:rPr>
        <w:t xml:space="preserve"> . The interpretation, performance and enforcement of this Award Agreement shall be governed by the law of the State of New York without regard to its conflict of law provisions. Any and all disputes, controversies or issues arising out of, concerning or relating to this Award, this Award Agreement or the relationship between the parties evidenced by the Award Agreement, including, without limitation, disputes, controversies or issues arising out of, concerning or relating to the construction, interpretation, breach or enforcement of this Award Agreement, shall be brought exclusively in the courts in the State of New York, City and County of New York, including the Federal Courts located therein (should Federal jurisdiction exist). Each of the parties hereby expressly represents and agrees that it/he/ she is subject to the personal jurisdiction of said courts, irrevocably consents to the personal jurisdiction of such courts; and waives to the fullest extent permitted by law any objection which it/he/she may now or hereafter have that the laying of the venue of any legal lawsuit or proceeding related to such dispute, controversy or issue that is brought in any such court is improper or that such lawsuit or proceeding has been brought in an inconvenient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22"/>
          <w:szCs w:val="22"/>
          <w:color w:val="auto"/>
        </w:rPr>
        <w:t>11</w:t>
      </w:r>
    </w:p>
    <w:p>
      <w:pPr>
        <w:spacing w:after="0" w:line="395" w:lineRule="exact"/>
        <w:rPr>
          <w:sz w:val="20"/>
          <w:szCs w:val="20"/>
          <w:color w:val="auto"/>
        </w:rPr>
      </w:pPr>
    </w:p>
    <w:p>
      <w:pPr>
        <w:ind w:left="300" w:right="459" w:firstLine="659"/>
        <w:spacing w:after="0" w:line="249" w:lineRule="auto"/>
        <w:tabs>
          <w:tab w:leader="none" w:pos="1615"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RIGHT TO JURY TRIAL</w:t>
      </w:r>
      <w:r>
        <w:rPr>
          <w:rFonts w:ascii="Times New Roman" w:cs="Times New Roman" w:eastAsia="Times New Roman" w:hAnsi="Times New Roman"/>
          <w:sz w:val="22"/>
          <w:szCs w:val="22"/>
          <w:color w:val="auto"/>
        </w:rPr>
        <w:t xml:space="preserve"> . AS SPECIFICALLY BARGAINED FOR INDUCEMENT FOR EACH OF THE PARTIES HERETO TO ENTER INTO THIS AWARD AGREEMENT (AFTER HAVING THE OPPORTUNITY TO CONSULT WITH COUNSEL OF ITS/HIS/HER CHOICE), EACH PARTY EXPRESSLY WAIVES THE RIGHT TO TRIAL BY JURY IN ANY LAWSUIT OR PROCEEDING ARISING OUT OF, CONCERNING OR RELATING TO THIS AWARD, THIS AWARD AGREEMENT, THE RELATIONSHIP BETWEEN THE PARTIES EVIDENCED BY THIS AWARD AGREEMENT AND/OR THE MATTERS CONTEMPLATED THEREBY.</w:t>
      </w:r>
    </w:p>
    <w:p>
      <w:pPr>
        <w:spacing w:after="0" w:line="195" w:lineRule="exact"/>
        <w:rPr>
          <w:rFonts w:ascii="Times New Roman" w:cs="Times New Roman" w:eastAsia="Times New Roman" w:hAnsi="Times New Roman"/>
          <w:sz w:val="22"/>
          <w:szCs w:val="22"/>
          <w:color w:val="auto"/>
        </w:rPr>
      </w:pPr>
    </w:p>
    <w:p>
      <w:pPr>
        <w:ind w:left="300" w:right="319" w:firstLine="659"/>
        <w:spacing w:after="0" w:line="250" w:lineRule="auto"/>
        <w:tabs>
          <w:tab w:leader="none" w:pos="1615"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Subject to Plan</w:t>
      </w:r>
      <w:r>
        <w:rPr>
          <w:rFonts w:ascii="Times New Roman" w:cs="Times New Roman" w:eastAsia="Times New Roman" w:hAnsi="Times New Roman"/>
          <w:sz w:val="22"/>
          <w:szCs w:val="22"/>
          <w:color w:val="auto"/>
        </w:rPr>
        <w:t>. By entering into this Award Agreement, the Participant agrees and acknowledges that the Participant has received and read a copy of the Plan. All RSUs and Shares issued or transferred with respect thereof are subject to the Plan. In the event of a conflict between any term or provision contained herein and a term or provision of the Plan, the applicable terms and provisions of the Plan will govern and prevail.</w:t>
      </w:r>
    </w:p>
    <w:p>
      <w:pPr>
        <w:sectPr>
          <w:pgSz w:w="11900" w:h="16838" w:orient="portrait"/>
          <w:cols w:equalWidth="0" w:num="1">
            <w:col w:w="9019"/>
          </w:cols>
          <w:pgMar w:left="1440" w:top="71" w:right="1440" w:bottom="0" w:gutter="0" w:footer="0" w:header="0"/>
        </w:sectPr>
      </w:pPr>
    </w:p>
    <w:bookmarkStart w:id="129" w:name="page130"/>
    <w:bookmarkEnd w:id="129"/>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339" w:firstLine="659"/>
        <w:spacing w:after="0" w:line="248" w:lineRule="auto"/>
        <w:tabs>
          <w:tab w:leader="none" w:pos="1615"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Award Agreement contains the entire understanding between the parties with respect to the RSUs granted hereunder (including, without limitation, the vesting and delivery schedules and other terms described herein and in each Appendix attached hereto), and hereby replaces and supersedes any prior communication and arrangements between the Participant and the Company or any of its Affiliates with respect to the matters set forth herein and any other pre-existing economic or other arrangements between the Participant and the Company or any of its Affiliates, </w:t>
      </w:r>
      <w:r>
        <w:rPr>
          <w:rFonts w:ascii="Times New Roman" w:cs="Times New Roman" w:eastAsia="Times New Roman" w:hAnsi="Times New Roman"/>
          <w:sz w:val="22"/>
          <w:szCs w:val="22"/>
          <w:u w:val="single" w:color="auto"/>
          <w:color w:val="auto"/>
        </w:rPr>
        <w:t>unless</w:t>
      </w:r>
      <w:r>
        <w:rPr>
          <w:rFonts w:ascii="Times New Roman" w:cs="Times New Roman" w:eastAsia="Times New Roman" w:hAnsi="Times New Roman"/>
          <w:sz w:val="22"/>
          <w:szCs w:val="22"/>
          <w:color w:val="auto"/>
        </w:rPr>
        <w:t xml:space="preserve"> otherwise explicitly provided for in any other agreement that the Participant has entered into with the Company or any of its Affiliates and that is set forth on Schedule A hereto. Unless set forth on Schedule A hereto, no such other agreement entered into prior to the Date of Grant shall have any effect on the terms of this Award Agreement.</w:t>
      </w:r>
    </w:p>
    <w:p>
      <w:pPr>
        <w:spacing w:after="0" w:line="188" w:lineRule="exact"/>
        <w:rPr>
          <w:rFonts w:ascii="Times New Roman" w:cs="Times New Roman" w:eastAsia="Times New Roman" w:hAnsi="Times New Roman"/>
          <w:sz w:val="22"/>
          <w:szCs w:val="22"/>
          <w:color w:val="auto"/>
        </w:rPr>
      </w:pPr>
    </w:p>
    <w:p>
      <w:pPr>
        <w:ind w:left="300" w:right="399" w:firstLine="659"/>
        <w:spacing w:after="0" w:line="265" w:lineRule="auto"/>
        <w:tabs>
          <w:tab w:leader="none" w:pos="1615"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Modifications</w:t>
      </w:r>
      <w:r>
        <w:rPr>
          <w:rFonts w:ascii="Times New Roman" w:cs="Times New Roman" w:eastAsia="Times New Roman" w:hAnsi="Times New Roman"/>
          <w:sz w:val="21"/>
          <w:szCs w:val="21"/>
          <w:color w:val="auto"/>
        </w:rPr>
        <w:t>. Notwithstanding any provision of this Award Agreement to the contrary, the Company reserves the right to modify the terms and conditions of this Award Agreement, including, without limitation, the timing or circumstances of the issuance or transfer of Shares to the Participant hereunder, to the extent such modification is determined by the Company to be necessary to comply with applicable law or preserve the intended deferral of income recognition with respect to the RSUs until the issuance or transfer of Shares hereunder.</w:t>
      </w:r>
    </w:p>
    <w:p>
      <w:pPr>
        <w:spacing w:after="0" w:line="168" w:lineRule="exact"/>
        <w:rPr>
          <w:rFonts w:ascii="Times New Roman" w:cs="Times New Roman" w:eastAsia="Times New Roman" w:hAnsi="Times New Roman"/>
          <w:sz w:val="21"/>
          <w:szCs w:val="21"/>
          <w:color w:val="auto"/>
        </w:rPr>
      </w:pPr>
    </w:p>
    <w:p>
      <w:pPr>
        <w:ind w:left="300" w:right="459" w:firstLine="659"/>
        <w:spacing w:after="0" w:line="253" w:lineRule="auto"/>
        <w:tabs>
          <w:tab w:leader="none" w:pos="1615"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Signature in Counterparts; Electronic Acceptance</w:t>
      </w:r>
      <w:r>
        <w:rPr>
          <w:rFonts w:ascii="Times New Roman" w:cs="Times New Roman" w:eastAsia="Times New Roman" w:hAnsi="Times New Roman"/>
          <w:sz w:val="22"/>
          <w:szCs w:val="22"/>
          <w:color w:val="auto"/>
        </w:rPr>
        <w:t>. This Award Agreement may be signed in counterparts, each of which shall be an original, with the same effect as if the signatures thereto and hereto were upon the same instrument. Alternatively, this Award Agreement may be granted to and accepted by the Participant electronically (including, without limitation, via DocuSign or through the Morgan Stanley website).</w:t>
      </w:r>
    </w:p>
    <w:p>
      <w:pPr>
        <w:spacing w:after="0" w:line="178" w:lineRule="exact"/>
        <w:rPr>
          <w:rFonts w:ascii="Times New Roman" w:cs="Times New Roman" w:eastAsia="Times New Roman" w:hAnsi="Times New Roman"/>
          <w:sz w:val="22"/>
          <w:szCs w:val="22"/>
          <w:color w:val="auto"/>
        </w:rPr>
      </w:pPr>
    </w:p>
    <w:p>
      <w:pPr>
        <w:ind w:left="300" w:right="419" w:firstLine="659"/>
        <w:spacing w:after="0" w:line="253" w:lineRule="auto"/>
        <w:tabs>
          <w:tab w:leader="none" w:pos="1615"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12</w:t>
      </w:r>
    </w:p>
    <w:p>
      <w:pPr>
        <w:spacing w:after="0" w:line="395" w:lineRule="exact"/>
        <w:rPr>
          <w:sz w:val="20"/>
          <w:szCs w:val="20"/>
          <w:color w:val="auto"/>
        </w:rPr>
      </w:pPr>
    </w:p>
    <w:p>
      <w:pPr>
        <w:ind w:left="300" w:right="299" w:firstLine="659"/>
        <w:spacing w:after="0" w:line="248" w:lineRule="auto"/>
        <w:tabs>
          <w:tab w:leader="none" w:pos="1615"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Notwithstanding any other provision of this Award Agreement, unless there is an available exemption from any registration, qualification or other legal requirement applicable to the Shares, the Company shall not be required to deliver any Shares issuable upon settlement of the RSUs prior to the completion of any registration or qualification of the Shares under any local, state, federal or foreign securities or exchange control law or under rulings or regulations of the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Participant understands that the Company is under no obligation to register or qualify the Shares with the SEC or any state or foreign securities commission or to seek approval or clearance from any governmental authority for the issuance or sale of the Shares. Further, the Participant agrees that the Company shall have unilateral authority to amend the Plan and the Award Agreement without the Participant’s consent to the extent necessary to comply with securities or other laws applicable to issuance of Shares.</w:t>
      </w:r>
    </w:p>
    <w:p>
      <w:pPr>
        <w:spacing w:after="0" w:line="182" w:lineRule="exact"/>
        <w:rPr>
          <w:rFonts w:ascii="Times New Roman" w:cs="Times New Roman" w:eastAsia="Times New Roman" w:hAnsi="Times New Roman"/>
          <w:sz w:val="22"/>
          <w:szCs w:val="22"/>
          <w:color w:val="auto"/>
        </w:rPr>
      </w:pPr>
    </w:p>
    <w:p>
      <w:pPr>
        <w:ind w:left="300" w:right="319" w:firstLine="659"/>
        <w:spacing w:after="0" w:line="250" w:lineRule="auto"/>
        <w:tabs>
          <w:tab w:leader="none" w:pos="1615"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The Participant acknowledges that he or she is sufficiently proficient in English, or has consulted with an advisor who is sufficiently proficient in English, so as to allow the Participant to understand the terms and conditions of this Award Agreement. Furthermore, if the Participant has received this Award Agreement or any other document related to the Plan translated into a language other than English and if the meaning of the translated version is different than the English version, the English version will control, unless otherwise required by applicable law.</w:t>
      </w:r>
    </w:p>
    <w:p>
      <w:pPr>
        <w:sectPr>
          <w:pgSz w:w="11900" w:h="16926" w:orient="portrait"/>
          <w:cols w:equalWidth="0" w:num="1">
            <w:col w:w="9019"/>
          </w:cols>
          <w:pgMar w:left="1440" w:top="166" w:right="1440" w:bottom="0" w:gutter="0" w:footer="0" w:header="0"/>
        </w:sectPr>
      </w:pPr>
    </w:p>
    <w:bookmarkStart w:id="130" w:name="page131"/>
    <w:bookmarkEnd w:id="130"/>
    <w:p>
      <w:pPr>
        <w:jc w:val="both"/>
        <w:ind w:left="300" w:right="579" w:firstLine="659"/>
        <w:spacing w:after="0" w:line="263" w:lineRule="auto"/>
        <w:tabs>
          <w:tab w:leader="none" w:pos="1615"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Severability</w:t>
      </w:r>
      <w:r>
        <w:rPr>
          <w:rFonts w:ascii="Times New Roman" w:cs="Times New Roman" w:eastAsia="Times New Roman" w:hAnsi="Times New Roman"/>
          <w:sz w:val="22"/>
          <w:szCs w:val="22"/>
          <w:color w:val="auto"/>
        </w:rPr>
        <w:t>. The provisions of this Award Agreement are severable and if any one or more provisions are determined to be illegal or otherwise unenforceable, in whole or in part, the remaining provisions shall nevertheless be binding and enforceable.</w:t>
      </w:r>
    </w:p>
    <w:p>
      <w:pPr>
        <w:spacing w:after="0" w:line="167" w:lineRule="exact"/>
        <w:rPr>
          <w:rFonts w:ascii="Times New Roman" w:cs="Times New Roman" w:eastAsia="Times New Roman" w:hAnsi="Times New Roman"/>
          <w:sz w:val="22"/>
          <w:szCs w:val="22"/>
          <w:color w:val="auto"/>
        </w:rPr>
      </w:pPr>
    </w:p>
    <w:p>
      <w:pPr>
        <w:ind w:left="300" w:right="379" w:firstLine="659"/>
        <w:spacing w:after="0" w:line="250" w:lineRule="auto"/>
        <w:tabs>
          <w:tab w:leader="none" w:pos="1615"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Appendix</w:t>
      </w:r>
      <w:r>
        <w:rPr>
          <w:rFonts w:ascii="Times New Roman" w:cs="Times New Roman" w:eastAsia="Times New Roman" w:hAnsi="Times New Roman"/>
          <w:sz w:val="22"/>
          <w:szCs w:val="22"/>
          <w:color w:val="auto"/>
        </w:rPr>
        <w:t>. Notwithstanding any provisions in this Award Agreement, the RSUs grant shall be subject to any additional terms and conditions set forth in each Appendix to this Award Agreement for the Participant’s country. Moreover, if the Participant relocates to another country, any additional terms and conditions for such country will apply to the Participant, to the extent the Company determines that the application of such terms and conditions is necessary or advisable for legal or administrative reasons. Each Appendix hereto constitutes part of this Award Agreement.</w:t>
      </w:r>
    </w:p>
    <w:p>
      <w:pPr>
        <w:spacing w:after="0" w:line="180" w:lineRule="exact"/>
        <w:rPr>
          <w:rFonts w:ascii="Times New Roman" w:cs="Times New Roman" w:eastAsia="Times New Roman" w:hAnsi="Times New Roman"/>
          <w:sz w:val="22"/>
          <w:szCs w:val="22"/>
          <w:color w:val="auto"/>
        </w:rPr>
      </w:pPr>
    </w:p>
    <w:p>
      <w:pPr>
        <w:ind w:left="300" w:right="419" w:firstLine="659"/>
        <w:spacing w:after="0" w:line="253" w:lineRule="auto"/>
        <w:tabs>
          <w:tab w:leader="none" w:pos="1615"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other requirements on the Participant’s participation in the Plan, on the RSUs and on any Shares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78" w:lineRule="exact"/>
        <w:rPr>
          <w:rFonts w:ascii="Times New Roman" w:cs="Times New Roman" w:eastAsia="Times New Roman" w:hAnsi="Times New Roman"/>
          <w:sz w:val="22"/>
          <w:szCs w:val="22"/>
          <w:color w:val="auto"/>
        </w:rPr>
      </w:pPr>
    </w:p>
    <w:p>
      <w:pPr>
        <w:ind w:left="300" w:right="459" w:firstLine="659"/>
        <w:spacing w:after="0" w:line="256" w:lineRule="auto"/>
        <w:tabs>
          <w:tab w:leader="none" w:pos="1615"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Participant acknowledges that a waiver by the Company of breach of any provision of this Award Agreement shall not operate or be construed as a waiver of any other provision of this Award Agreement, or of any subsequent breach by the Participant or any other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13</w:t>
      </w:r>
    </w:p>
    <w:p>
      <w:pPr>
        <w:spacing w:after="0" w:line="395" w:lineRule="exact"/>
        <w:rPr>
          <w:sz w:val="20"/>
          <w:szCs w:val="20"/>
          <w:color w:val="auto"/>
        </w:rPr>
      </w:pPr>
    </w:p>
    <w:p>
      <w:pPr>
        <w:ind w:left="300" w:right="379" w:firstLine="659"/>
        <w:spacing w:after="0" w:line="260" w:lineRule="auto"/>
        <w:tabs>
          <w:tab w:leader="none" w:pos="1615"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Insider Trading Restrictions/Market Abuse Laws</w:t>
      </w:r>
      <w:r>
        <w:rPr>
          <w:rFonts w:ascii="Times New Roman" w:cs="Times New Roman" w:eastAsia="Times New Roman" w:hAnsi="Times New Roman"/>
          <w:sz w:val="21"/>
          <w:szCs w:val="21"/>
          <w:color w:val="auto"/>
        </w:rPr>
        <w:t>. The Participant acknowledges that, depending on his or her country of residence, or broker’s country of residence, or where the Shares are listed, Participant may be subject to insider trading restrictions and/or market abuse laws, which may affect the Participant’s ability to directly or indirectly, accept, acquire, sell, or attempt to sell or otherwise dispose of Shares or rights to Shares (e.g., RSUs) under the Plan during such times as Participant is considered to have “inside information” regarding the Company (as defined by the laws or regulations in applicable jurisdictions or Participant’s country). Local insider trading laws and regulations may prohibit the cancellation or amendment of orders placed by the Participant before possessing inside information. Furthermore, the Participant understands that he or she may be prohibited from (i) disclosing the inside information to any third party, including fellow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74" w:lineRule="exact"/>
        <w:rPr>
          <w:rFonts w:ascii="Times New Roman" w:cs="Times New Roman" w:eastAsia="Times New Roman" w:hAnsi="Times New Roman"/>
          <w:sz w:val="21"/>
          <w:szCs w:val="21"/>
          <w:color w:val="auto"/>
        </w:rPr>
      </w:pPr>
    </w:p>
    <w:p>
      <w:pPr>
        <w:ind w:left="300" w:right="379" w:firstLine="640"/>
        <w:spacing w:after="0" w:line="249" w:lineRule="auto"/>
        <w:tabs>
          <w:tab w:leader="none" w:pos="159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Asset/Account Reporting</w:t>
      </w:r>
      <w:r>
        <w:rPr>
          <w:rFonts w:ascii="Times New Roman" w:cs="Times New Roman" w:eastAsia="Times New Roman" w:hAnsi="Times New Roman"/>
          <w:sz w:val="22"/>
          <w:szCs w:val="22"/>
          <w:color w:val="auto"/>
        </w:rPr>
        <w:t>. The Participant’s country of residence may have certain foreign asset and/or account reporting requirements which may affect his or her ability to acquire or hold RSUs under the Plan or cash received from participating in the Plan (including sales proceeds arising from the sale of Shares) in a brokerage or bank account outside the Participant’s country. The Participant may be required to report such amounts, assets or transactions to the tax or other authorities in his or her country. The Participant also may be required to repatriate sale proceeds or other funds received as a result of participation in the Plan to the Participant’s country through a designated broker or bank within a certain time after receipt. The Participant is responsible for ensuring compliance with such regulations and should speak with his or her personal legal advisor regarding this matter.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328" w:right="1440" w:bottom="239"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14</w:t>
      </w:r>
    </w:p>
    <w:p>
      <w:pPr>
        <w:spacing w:after="0" w:line="389" w:lineRule="exact"/>
        <w:rPr>
          <w:sz w:val="20"/>
          <w:szCs w:val="20"/>
          <w:color w:val="auto"/>
        </w:rPr>
      </w:pPr>
    </w:p>
    <w:p>
      <w:pPr>
        <w:jc w:val="center"/>
        <w:ind w:left="840" w:right="839"/>
        <w:spacing w:after="0" w:line="378" w:lineRule="auto"/>
        <w:rPr>
          <w:sz w:val="20"/>
          <w:szCs w:val="20"/>
          <w:color w:val="auto"/>
        </w:rPr>
      </w:pPr>
      <w:r>
        <w:rPr>
          <w:rFonts w:ascii="Times New Roman" w:cs="Times New Roman" w:eastAsia="Times New Roman" w:hAnsi="Times New Roman"/>
          <w:sz w:val="22"/>
          <w:szCs w:val="22"/>
          <w:color w:val="auto"/>
        </w:rPr>
        <w:t xml:space="preserve">IN WITNESS WHEREOF, the parties hereto have executed this Award Agreement.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The Carlyle Group Inc.</w:t>
      </w:r>
    </w:p>
    <w:p>
      <w:pPr>
        <w:spacing w:after="0" w:line="35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By:____________________________________</w:t>
      </w:r>
    </w:p>
    <w:p>
      <w:pPr>
        <w:spacing w:after="0" w:line="2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Title:</w:t>
      </w:r>
    </w:p>
    <w:p>
      <w:pPr>
        <w:spacing w:after="0" w:line="23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w:t>
      </w:r>
    </w:p>
    <w:p>
      <w:pPr>
        <w:sectPr>
          <w:pgSz w:w="11900" w:h="16838" w:orient="portrait"/>
          <w:cols w:equalWidth="0" w:num="1">
            <w:col w:w="9019"/>
          </w:cols>
          <w:pgMar w:left="1440" w:top="1440" w:right="1440" w:bottom="1440" w:gutter="0" w:footer="0" w:header="0"/>
        </w:sectPr>
      </w:pPr>
    </w:p>
    <w:bookmarkStart w:id="132" w:name="page133"/>
    <w:bookmarkEnd w:id="132"/>
    <w:p>
      <w:pPr>
        <w:ind w:left="540" w:right="499" w:hanging="248"/>
        <w:spacing w:after="0" w:line="239" w:lineRule="auto"/>
        <w:tabs>
          <w:tab w:leader="none" w:pos="531" w:val="left"/>
        </w:tabs>
        <w:numPr>
          <w:ilvl w:val="0"/>
          <w:numId w:val="1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678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67840"/>
                    </a:xfrm>
                    <a:prstGeom prst="rect">
                      <a:avLst/>
                    </a:prstGeom>
                    <a:noFill/>
                  </pic:spPr>
                </pic:pic>
              </a:graphicData>
            </a:graphic>
          </wp:anchor>
        </w:drawing>
        <w:t>If this Award Agreement is delivered to the Participant electronically, the Participant’s electronic acceptance of the Award Agreement (pursuant to instructions separately communicated to the Participant) shall constitute acceptance of the Award Agreement and shall be binding on the Participant and the Company in lieu of any required signatures to this Award Agreement.</w:t>
      </w:r>
    </w:p>
    <w:p>
      <w:pPr>
        <w:sectPr>
          <w:pgSz w:w="11900" w:h="16838" w:orient="portrait"/>
          <w:cols w:equalWidth="0" w:num="1">
            <w:col w:w="9019"/>
          </w:cols>
          <w:pgMar w:left="1440" w:top="688" w:right="1440" w:bottom="1440" w:gutter="0" w:footer="0" w:header="0"/>
        </w:sectPr>
      </w:pPr>
    </w:p>
    <w:bookmarkStart w:id="133" w:name="page134"/>
    <w:bookmarkEnd w:id="133"/>
    <w:p>
      <w:pPr>
        <w:jc w:val="right"/>
        <w:ind w:right="29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10.3</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Carlyle Group Inc. 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2012 Equity Incentive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Global Performance-Based Restricted Stock Unit Agreement</w:t>
      </w:r>
    </w:p>
    <w:p>
      <w:pPr>
        <w:spacing w:after="0" w:line="200" w:lineRule="exact"/>
        <w:rPr>
          <w:sz w:val="20"/>
          <w:szCs w:val="20"/>
          <w:color w:val="auto"/>
        </w:rPr>
      </w:pPr>
    </w:p>
    <w:p>
      <w:pPr>
        <w:spacing w:after="0" w:line="330" w:lineRule="exact"/>
        <w:rPr>
          <w:sz w:val="20"/>
          <w:szCs w:val="20"/>
          <w:color w:val="auto"/>
        </w:rPr>
      </w:pPr>
    </w:p>
    <w:p>
      <w:pPr>
        <w:ind w:left="400"/>
        <w:spacing w:after="0"/>
        <w:tabs>
          <w:tab w:leader="none" w:pos="4260" w:val="left"/>
        </w:tabs>
        <w:rPr>
          <w:sz w:val="20"/>
          <w:szCs w:val="20"/>
          <w:color w:val="auto"/>
        </w:rPr>
      </w:pPr>
      <w:r>
        <w:rPr>
          <w:rFonts w:ascii="Times New Roman" w:cs="Times New Roman" w:eastAsia="Times New Roman" w:hAnsi="Times New Roman"/>
          <w:sz w:val="22"/>
          <w:szCs w:val="22"/>
          <w:i w:val="1"/>
          <w:iCs w:val="1"/>
          <w:color w:val="auto"/>
        </w:rPr>
        <w:t>Participant:</w:t>
      </w:r>
      <w:r>
        <w:rPr>
          <w:sz w:val="20"/>
          <w:szCs w:val="20"/>
          <w:color w:val="auto"/>
        </w:rPr>
        <w:tab/>
      </w:r>
      <w:r>
        <w:rPr>
          <w:rFonts w:ascii="Times New Roman" w:cs="Times New Roman" w:eastAsia="Times New Roman" w:hAnsi="Times New Roman"/>
          <w:sz w:val="22"/>
          <w:szCs w:val="22"/>
          <w:i w:val="1"/>
          <w:iCs w:val="1"/>
          <w:color w:val="auto"/>
        </w:rPr>
        <w:t>Date of Grant:</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i w:val="1"/>
          <w:iCs w:val="1"/>
          <w:color w:val="auto"/>
        </w:rPr>
        <w:t>Number of PSUs:</w:t>
      </w:r>
    </w:p>
    <w:p>
      <w:pPr>
        <w:spacing w:after="0" w:line="264" w:lineRule="exact"/>
        <w:rPr>
          <w:sz w:val="20"/>
          <w:szCs w:val="20"/>
          <w:color w:val="auto"/>
        </w:rPr>
      </w:pPr>
    </w:p>
    <w:p>
      <w:pPr>
        <w:ind w:left="300" w:right="339" w:firstLine="658"/>
        <w:spacing w:after="0" w:line="247" w:lineRule="auto"/>
        <w:tabs>
          <w:tab w:leader="none" w:pos="161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PSUs</w:t>
      </w:r>
      <w:r>
        <w:rPr>
          <w:rFonts w:ascii="Times New Roman" w:cs="Times New Roman" w:eastAsia="Times New Roman" w:hAnsi="Times New Roman"/>
          <w:sz w:val="22"/>
          <w:szCs w:val="22"/>
          <w:color w:val="auto"/>
        </w:rPr>
        <w:t>. The Carlyle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the number of performance-based restricted stock units (the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listed above to the Participant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effective as of [__]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on the terms and conditions hereinafter set forth in this agreement, including any Appendix hereto, which includes any applicable country-specific provisions (collectively,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This grant is made pursuant to the terms of The Carlyle Group Inc. Amended and Restated 2012 Equity Incentive Plan (as amended, modified or supplemented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 and made a part of this Award Agreement. Each PSU represents the unfunded, unsecured right of the Participant to receive a Share on the delivery date(s) specified in Section 4 hereof.</w:t>
      </w:r>
    </w:p>
    <w:p>
      <w:pPr>
        <w:spacing w:after="0" w:line="204" w:lineRule="exact"/>
        <w:rPr>
          <w:rFonts w:ascii="Times New Roman" w:cs="Times New Roman" w:eastAsia="Times New Roman" w:hAnsi="Times New Roman"/>
          <w:sz w:val="22"/>
          <w:szCs w:val="22"/>
          <w:color w:val="auto"/>
        </w:rPr>
      </w:pPr>
    </w:p>
    <w:p>
      <w:pPr>
        <w:ind w:left="300" w:right="319" w:firstLine="658"/>
        <w:spacing w:after="0" w:line="257" w:lineRule="auto"/>
        <w:tabs>
          <w:tab w:leader="none" w:pos="1614"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The capitalized terms listed in this Section 2 shall have the meanings set forth below. Capitalized terms not otherwise defined herein (including in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shall have the same meanings as in the Plan.</w:t>
      </w:r>
    </w:p>
    <w:p>
      <w:pPr>
        <w:spacing w:after="0" w:line="172" w:lineRule="exact"/>
        <w:rPr>
          <w:rFonts w:ascii="Times New Roman" w:cs="Times New Roman" w:eastAsia="Times New Roman" w:hAnsi="Times New Roman"/>
          <w:sz w:val="22"/>
          <w:szCs w:val="22"/>
          <w:color w:val="auto"/>
        </w:rPr>
      </w:pPr>
    </w:p>
    <w:p>
      <w:pPr>
        <w:ind w:left="940" w:right="319" w:firstLine="648"/>
        <w:spacing w:after="0" w:line="259" w:lineRule="auto"/>
        <w:tabs>
          <w:tab w:leader="none" w:pos="2236"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mean the determination by the Administrator in its sole discretion that the Participant has (i) engaged in gross negligence or willful misconduct in the performance of the Participant’s duties, (ii) willfully engaged in conduct that the Participant knows or, based on facts known to the Participant, should know is materially injurious to the Company or any of its Affiliates, (iii) materially breached any material provision of the Participant’s employment agreement or offer letter with the Company or its Affiliates, (iv) breached any Restrictive Covenant Agreement or any other restrictive covenant obligation owed by the Participant to the Company or any of its Affiliates, including, but not limited to, any restrictions relating to the Participant’s non-competition, non-solicitation, non-disparagement and/or non-disclosure of confidential or proprietary information, (v) engaged in fraud or other conduct in bad faith that contributed to a financial restatement or irregularity, (vi) been convicted of, or entered a plea bargain or settlement admitting guilt for, fraud, embezzlement, or any other felony under the laws of the United States or of any state or the District of Columbia or any other country or any jurisdiction of any other country (but specifically excluding felonies involving a traffic violation), (vii) been the subject of any order, judicial or administrative, obtained or issued by the U.S. Securities and Exchange Commission (“SEC”) or similar agency or tribunal of any country, for any securities violation involving insider trading, fraud, misappropriation, dishonesty or willful misconduct (including, for example, any such order consented to by the Participant in which findings of facts or any legal conclusions establishing liability are neither admitted nor denied),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22"/>
          <w:szCs w:val="22"/>
          <w:color w:val="auto"/>
        </w:rPr>
        <w:t>2</w:t>
      </w:r>
    </w:p>
    <w:p>
      <w:pPr>
        <w:spacing w:after="0" w:line="395" w:lineRule="exact"/>
        <w:rPr>
          <w:sz w:val="20"/>
          <w:szCs w:val="20"/>
          <w:color w:val="auto"/>
        </w:rPr>
      </w:pPr>
    </w:p>
    <w:p>
      <w:pPr>
        <w:ind w:left="940" w:right="459"/>
        <w:spacing w:after="0" w:line="257" w:lineRule="auto"/>
        <w:tabs>
          <w:tab w:leader="none" w:pos="142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discussed the Company’s (or its Affiliates’) fundraising efforts, or the name of any fund vehicle that has not had a final closing of commitments, to any reporter or representative of any press or other public media.</w:t>
      </w:r>
    </w:p>
    <w:p>
      <w:pPr>
        <w:sectPr>
          <w:pgSz w:w="11900" w:h="16838" w:orient="portrait"/>
          <w:cols w:equalWidth="0" w:num="1">
            <w:col w:w="9019"/>
          </w:cols>
          <w:pgMar w:left="1440" w:top="729" w:right="1440" w:bottom="0" w:gutter="0" w:footer="0" w:header="0"/>
        </w:sectPr>
      </w:pPr>
    </w:p>
    <w:bookmarkStart w:id="134" w:name="page135"/>
    <w:bookmarkEnd w:id="134"/>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960" w:right="339" w:firstLine="614"/>
        <w:spacing w:after="0" w:line="249" w:lineRule="auto"/>
        <w:tabs>
          <w:tab w:leader="none" w:pos="2237"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Detrimental Activity</w:t>
      </w:r>
      <w:r>
        <w:rPr>
          <w:rFonts w:ascii="Times New Roman" w:cs="Times New Roman" w:eastAsia="Times New Roman" w:hAnsi="Times New Roman"/>
          <w:sz w:val="22"/>
          <w:szCs w:val="22"/>
          <w:color w:val="auto"/>
        </w:rPr>
        <w:t>” shall mean any of the following: (i) a termination of the Participant’s Services for Cause or the Participant engaging in any activity that would be grounds to terminate the Participant’s Services for Cause (whether or not any termination of the Participant’s Services occurs); or (ii) a breach of any Restrictive Covenant Agreement or any other restrictive covenant obligation owed by the Participant to the Company or any of its Affiliates, including, but not limited to, any restrictions relating to the Participant’s non-competition, non-solicitation, non-disparagement and/or non-disclosure of confidential or proprietary information.</w:t>
      </w:r>
    </w:p>
    <w:p>
      <w:pPr>
        <w:spacing w:after="0" w:line="181" w:lineRule="exact"/>
        <w:rPr>
          <w:rFonts w:ascii="Times New Roman" w:cs="Times New Roman" w:eastAsia="Times New Roman" w:hAnsi="Times New Roman"/>
          <w:sz w:val="22"/>
          <w:szCs w:val="22"/>
          <w:color w:val="auto"/>
        </w:rPr>
      </w:pPr>
    </w:p>
    <w:p>
      <w:pPr>
        <w:ind w:left="960" w:right="419" w:firstLine="614"/>
        <w:spacing w:after="0" w:line="281" w:lineRule="auto"/>
        <w:tabs>
          <w:tab w:leader="none" w:pos="2291"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Earned Tranche</w:t>
      </w:r>
      <w:r>
        <w:rPr>
          <w:rFonts w:ascii="Times New Roman" w:cs="Times New Roman" w:eastAsia="Times New Roman" w:hAnsi="Times New Roman"/>
          <w:sz w:val="21"/>
          <w:szCs w:val="21"/>
          <w:color w:val="auto"/>
        </w:rPr>
        <w:t>” shall refer to a Tranche for which the applicable Stock Price Hurdle has been achieved in accordance with the terms of this Award Agreement. All PSUs subject to an Earned Tranche are referred to herein as “</w:t>
      </w:r>
      <w:r>
        <w:rPr>
          <w:rFonts w:ascii="Times New Roman" w:cs="Times New Roman" w:eastAsia="Times New Roman" w:hAnsi="Times New Roman"/>
          <w:sz w:val="21"/>
          <w:szCs w:val="21"/>
          <w:u w:val="single" w:color="auto"/>
          <w:color w:val="auto"/>
        </w:rPr>
        <w:t>Earned PSUs</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auto"/>
        </w:rPr>
      </w:pPr>
    </w:p>
    <w:p>
      <w:pPr>
        <w:ind w:left="960" w:right="579" w:firstLine="614"/>
        <w:spacing w:after="0" w:line="257" w:lineRule="auto"/>
        <w:tabs>
          <w:tab w:leader="none" w:pos="2291"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shall mean the period commencing on, and including, the Date of Grant through and including the third anniversary of the Date of Grant.</w:t>
      </w:r>
    </w:p>
    <w:p>
      <w:pPr>
        <w:spacing w:after="0" w:line="172" w:lineRule="exact"/>
        <w:rPr>
          <w:rFonts w:ascii="Times New Roman" w:cs="Times New Roman" w:eastAsia="Times New Roman" w:hAnsi="Times New Roman"/>
          <w:sz w:val="22"/>
          <w:szCs w:val="22"/>
          <w:color w:val="auto"/>
        </w:rPr>
      </w:pPr>
    </w:p>
    <w:p>
      <w:pPr>
        <w:ind w:left="960" w:right="459" w:firstLine="614"/>
        <w:spacing w:after="0" w:line="284" w:lineRule="auto"/>
        <w:tabs>
          <w:tab w:leader="none" w:pos="2237"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Qualifying Event</w:t>
      </w:r>
      <w:r>
        <w:rPr>
          <w:rFonts w:ascii="Times New Roman" w:cs="Times New Roman" w:eastAsia="Times New Roman" w:hAnsi="Times New Roman"/>
          <w:sz w:val="22"/>
          <w:szCs w:val="22"/>
          <w:color w:val="auto"/>
        </w:rPr>
        <w:t>” shall mean, during the Participant’s Services with the Company and its Affiliates, the Participant’s death or Disability.</w:t>
      </w:r>
    </w:p>
    <w:p>
      <w:pPr>
        <w:spacing w:after="0" w:line="143" w:lineRule="exact"/>
        <w:rPr>
          <w:rFonts w:ascii="Times New Roman" w:cs="Times New Roman" w:eastAsia="Times New Roman" w:hAnsi="Times New Roman"/>
          <w:sz w:val="22"/>
          <w:szCs w:val="22"/>
          <w:color w:val="auto"/>
        </w:rPr>
      </w:pPr>
    </w:p>
    <w:p>
      <w:pPr>
        <w:ind w:left="960" w:right="299" w:firstLine="614"/>
        <w:spacing w:after="0" w:line="250" w:lineRule="auto"/>
        <w:tabs>
          <w:tab w:leader="none" w:pos="2224"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Restrictive Covenant Agreement</w:t>
      </w:r>
      <w:r>
        <w:rPr>
          <w:rFonts w:ascii="Times New Roman" w:cs="Times New Roman" w:eastAsia="Times New Roman" w:hAnsi="Times New Roman"/>
          <w:sz w:val="22"/>
          <w:szCs w:val="22"/>
          <w:color w:val="auto"/>
        </w:rPr>
        <w:t>” shall mean any agreement (including, without limitation, this Award Agreement), and any attachments or schedules thereto, entered into by and between the Participant and the Company or its Affiliates, pursuant to which the Participant has agreed, among other things, to certain restrictions relating to non-competition (if applicable), non-solicitation, non-disparagement and/or non-disclosure of confidential or proprietary information, in order to protect the business of the Company and its Affiliates.</w:t>
      </w:r>
    </w:p>
    <w:p>
      <w:pPr>
        <w:spacing w:after="0" w:line="180" w:lineRule="exact"/>
        <w:rPr>
          <w:rFonts w:ascii="Times New Roman" w:cs="Times New Roman" w:eastAsia="Times New Roman" w:hAnsi="Times New Roman"/>
          <w:sz w:val="22"/>
          <w:szCs w:val="22"/>
          <w:color w:val="auto"/>
        </w:rPr>
      </w:pPr>
    </w:p>
    <w:p>
      <w:pPr>
        <w:ind w:left="960" w:right="339" w:firstLine="614"/>
        <w:spacing w:after="0" w:line="263" w:lineRule="auto"/>
        <w:tabs>
          <w:tab w:leader="none" w:pos="2237"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Vesting Event</w:t>
      </w:r>
      <w:r>
        <w:rPr>
          <w:rFonts w:ascii="Times New Roman" w:cs="Times New Roman" w:eastAsia="Times New Roman" w:hAnsi="Times New Roman"/>
          <w:sz w:val="22"/>
          <w:szCs w:val="22"/>
          <w:color w:val="auto"/>
        </w:rPr>
        <w:t xml:space="preserve"> ” shall mean, during the Participant’s Services with the Company and its Affiliates, the termination of the Participant’s Services by the Company without Cause (and in the absence of the Participant’s Disability).</w:t>
      </w:r>
    </w:p>
    <w:p>
      <w:pPr>
        <w:spacing w:after="0" w:line="167" w:lineRule="exact"/>
        <w:rPr>
          <w:rFonts w:ascii="Times New Roman" w:cs="Times New Roman" w:eastAsia="Times New Roman" w:hAnsi="Times New Roman"/>
          <w:sz w:val="22"/>
          <w:szCs w:val="22"/>
          <w:color w:val="auto"/>
        </w:rPr>
      </w:pPr>
    </w:p>
    <w:p>
      <w:pPr>
        <w:ind w:left="1600" w:hanging="642"/>
        <w:spacing w:after="0"/>
        <w:tabs>
          <w:tab w:leader="none" w:pos="16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w:t>
      </w:r>
    </w:p>
    <w:p>
      <w:pPr>
        <w:spacing w:after="0" w:line="215" w:lineRule="exact"/>
        <w:rPr>
          <w:rFonts w:ascii="Times New Roman" w:cs="Times New Roman" w:eastAsia="Times New Roman" w:hAnsi="Times New Roman"/>
          <w:sz w:val="22"/>
          <w:szCs w:val="22"/>
          <w:color w:val="auto"/>
        </w:rPr>
      </w:pPr>
    </w:p>
    <w:p>
      <w:pPr>
        <w:ind w:left="940" w:right="439" w:firstLine="648"/>
        <w:spacing w:after="0" w:line="258" w:lineRule="auto"/>
        <w:tabs>
          <w:tab w:leader="none" w:pos="2236" w:val="left"/>
        </w:tabs>
        <w:numPr>
          <w:ilvl w:val="2"/>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Vesting – General. </w:t>
      </w:r>
      <w:r>
        <w:rPr>
          <w:rFonts w:ascii="Times New Roman" w:cs="Times New Roman" w:eastAsia="Times New Roman" w:hAnsi="Times New Roman"/>
          <w:sz w:val="22"/>
          <w:szCs w:val="22"/>
          <w:color w:val="auto"/>
        </w:rPr>
        <w:t>Subject to the Participant’s continued Services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and its Affiliates through each Applicable Vesting Date, the PSUs covered by an Earned Tranche that corresponds to the Applicable Vesting Date shall become vested as of such Applicable Vesting Date.</w:t>
      </w:r>
    </w:p>
    <w:p>
      <w:pPr>
        <w:spacing w:after="0" w:line="167" w:lineRule="exact"/>
        <w:rPr>
          <w:rFonts w:ascii="Times New Roman" w:cs="Times New Roman" w:eastAsia="Times New Roman" w:hAnsi="Times New Roman"/>
          <w:sz w:val="22"/>
          <w:szCs w:val="22"/>
          <w:color w:val="auto"/>
        </w:rPr>
      </w:pPr>
    </w:p>
    <w:p>
      <w:pPr>
        <w:ind w:left="940" w:right="519" w:firstLine="648"/>
        <w:spacing w:after="0" w:line="277" w:lineRule="auto"/>
        <w:tabs>
          <w:tab w:leader="none" w:pos="2236" w:val="left"/>
        </w:tabs>
        <w:numPr>
          <w:ilvl w:val="2"/>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Vesting – Qualifying Event. </w:t>
      </w:r>
      <w:r>
        <w:rPr>
          <w:rFonts w:ascii="Times New Roman" w:cs="Times New Roman" w:eastAsia="Times New Roman" w:hAnsi="Times New Roman"/>
          <w:sz w:val="21"/>
          <w:szCs w:val="21"/>
          <w:color w:val="auto"/>
        </w:rPr>
        <w:t>Upon the occurrence of a Qualifying Event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prior to the completion of the Performance Period, the Participant shall vest in each Tranche that became an Earned Tranche prior to the Qualifying Event but for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3</w:t>
      </w:r>
    </w:p>
    <w:p>
      <w:pPr>
        <w:spacing w:after="0" w:line="395" w:lineRule="exact"/>
        <w:rPr>
          <w:sz w:val="20"/>
          <w:szCs w:val="20"/>
          <w:color w:val="auto"/>
        </w:rPr>
      </w:pPr>
    </w:p>
    <w:p>
      <w:pPr>
        <w:ind w:left="940" w:right="479"/>
        <w:spacing w:after="0" w:line="253" w:lineRule="auto"/>
        <w:rPr>
          <w:sz w:val="20"/>
          <w:szCs w:val="20"/>
          <w:color w:val="auto"/>
        </w:rPr>
      </w:pPr>
      <w:r>
        <w:rPr>
          <w:rFonts w:ascii="Times New Roman" w:cs="Times New Roman" w:eastAsia="Times New Roman" w:hAnsi="Times New Roman"/>
          <w:sz w:val="22"/>
          <w:szCs w:val="22"/>
          <w:color w:val="auto"/>
        </w:rPr>
        <w:t>Applicable Vesting Date has not occurred prior to the Qualifying Event. Any PSUs that are outstanding as of the occurrence of the Qualifying Event and that do not become vested pursuant to this Section 3(b) shall be canceled immediately and the Participant shall automatically forfeit all rights with respect to such PSUs as of the date of such Qualifying Event.</w:t>
      </w:r>
    </w:p>
    <w:p>
      <w:pPr>
        <w:spacing w:after="0" w:line="175" w:lineRule="exact"/>
        <w:rPr>
          <w:sz w:val="20"/>
          <w:szCs w:val="20"/>
          <w:color w:val="auto"/>
        </w:rPr>
      </w:pPr>
    </w:p>
    <w:p>
      <w:pPr>
        <w:ind w:left="940" w:right="459" w:firstLine="648"/>
        <w:spacing w:after="0" w:line="266" w:lineRule="auto"/>
        <w:tabs>
          <w:tab w:leader="none" w:pos="2236"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Vesting – Special Vesting Event </w:t>
      </w:r>
      <w:r>
        <w:rPr>
          <w:rFonts w:ascii="Times New Roman" w:cs="Times New Roman" w:eastAsia="Times New Roman" w:hAnsi="Times New Roman"/>
          <w:sz w:val="21"/>
          <w:szCs w:val="21"/>
          <w:color w:val="auto"/>
        </w:rPr>
        <w:t>. Subject to the Participant’s execution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delivery of a release of claims in the form provided by the Company (and non-revocation thereof within the time period set forth therein), upon the occurrence of a Special Vesting Event prior to the completion of the Performance Period, the Participant shall vest in each Tranche that became an Earned Tranche prior to the Special Vesting Event but for which the Applicable Vesting Date has not occurred prior to the Special</w:t>
      </w:r>
    </w:p>
    <w:p>
      <w:pPr>
        <w:sectPr>
          <w:pgSz w:w="11900" w:h="16953" w:orient="portrait"/>
          <w:cols w:equalWidth="0" w:num="1">
            <w:col w:w="9019"/>
          </w:cols>
          <w:pgMar w:left="1440" w:top="220" w:right="1440" w:bottom="0" w:gutter="0" w:footer="0" w:header="0"/>
        </w:sectPr>
      </w:pPr>
    </w:p>
    <w:bookmarkStart w:id="135" w:name="page136"/>
    <w:bookmarkEnd w:id="135"/>
    <w:p>
      <w:pPr>
        <w:spacing w:after="0" w:line="30" w:lineRule="exact"/>
        <w:rPr>
          <w:sz w:val="20"/>
          <w:szCs w:val="20"/>
          <w:color w:val="auto"/>
        </w:rPr>
      </w:pPr>
    </w:p>
    <w:p>
      <w:pPr>
        <w:ind w:left="940" w:right="319"/>
        <w:spacing w:after="0" w:line="256" w:lineRule="auto"/>
        <w:rPr>
          <w:sz w:val="20"/>
          <w:szCs w:val="20"/>
          <w:color w:val="auto"/>
        </w:rPr>
      </w:pPr>
      <w:r>
        <w:rPr>
          <w:rFonts w:ascii="Times New Roman" w:cs="Times New Roman" w:eastAsia="Times New Roman" w:hAnsi="Times New Roman"/>
          <w:sz w:val="22"/>
          <w:szCs w:val="22"/>
          <w:color w:val="auto"/>
        </w:rPr>
        <w:t>Vesting Event. Any PSUs that are outstanding as of the occurrence of the Special Vesting Event and that do not become vested pursuant to this Section 3(c) shall be canceled immediately and the Participant shall automatically forfeit all rights with respect to such PSUs as of the date of such Special Vesting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-675640</wp:posOffset>
            </wp:positionV>
            <wp:extent cx="7132320" cy="105156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52" w:lineRule="exact"/>
        <w:rPr>
          <w:sz w:val="20"/>
          <w:szCs w:val="20"/>
          <w:color w:val="auto"/>
        </w:rPr>
      </w:pPr>
    </w:p>
    <w:p>
      <w:pPr>
        <w:ind w:left="940" w:right="439" w:firstLine="648"/>
        <w:spacing w:after="0" w:line="264" w:lineRule="auto"/>
        <w:tabs>
          <w:tab w:leader="none" w:pos="2236"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Vesting – Terminations. </w:t>
      </w:r>
      <w:r>
        <w:rPr>
          <w:rFonts w:ascii="Times New Roman" w:cs="Times New Roman" w:eastAsia="Times New Roman" w:hAnsi="Times New Roman"/>
          <w:sz w:val="21"/>
          <w:szCs w:val="21"/>
          <w:color w:val="auto"/>
        </w:rPr>
        <w:t>Except as otherwise set forth in Sections 3(b)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3(c), in the event the Participant’s Services with the Company and its Affiliates are terminated for any reason, any portion of the Award that has not yet vested pursuant to Sections 3(a), 3(b) or 3(c) hereof shall be canceled immediately and the Participant shall automatically forfeit all rights with respect to such portion of the Award as of the date of such termination. For purposes of this provision, the effective date of termination of the Participant’s Services will be determined in accordance with Section 9(k) hereof.</w:t>
      </w:r>
    </w:p>
    <w:p>
      <w:pPr>
        <w:spacing w:after="0" w:line="169" w:lineRule="exact"/>
        <w:rPr>
          <w:rFonts w:ascii="Times New Roman" w:cs="Times New Roman" w:eastAsia="Times New Roman" w:hAnsi="Times New Roman"/>
          <w:sz w:val="21"/>
          <w:szCs w:val="21"/>
          <w:color w:val="auto"/>
        </w:rPr>
      </w:pPr>
    </w:p>
    <w:p>
      <w:pPr>
        <w:ind w:left="1600" w:hanging="642"/>
        <w:spacing w:after="0"/>
        <w:tabs>
          <w:tab w:leader="none" w:pos="16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and Delivery Dates; Transfer Restrictions</w:t>
      </w:r>
      <w:r>
        <w:rPr>
          <w:rFonts w:ascii="Times New Roman" w:cs="Times New Roman" w:eastAsia="Times New Roman" w:hAnsi="Times New Roman"/>
          <w:sz w:val="22"/>
          <w:szCs w:val="22"/>
          <w:color w:val="auto"/>
        </w:rPr>
        <w:t xml:space="preserve"> .</w:t>
      </w:r>
    </w:p>
    <w:p>
      <w:pPr>
        <w:spacing w:after="0" w:line="229" w:lineRule="exact"/>
        <w:rPr>
          <w:rFonts w:ascii="Times New Roman" w:cs="Times New Roman" w:eastAsia="Times New Roman" w:hAnsi="Times New Roman"/>
          <w:sz w:val="22"/>
          <w:szCs w:val="22"/>
          <w:color w:val="auto"/>
        </w:rPr>
      </w:pPr>
    </w:p>
    <w:p>
      <w:pPr>
        <w:ind w:left="940" w:right="419" w:firstLine="648"/>
        <w:spacing w:after="0" w:line="253" w:lineRule="auto"/>
        <w:tabs>
          <w:tab w:leader="none" w:pos="2236"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Delivery – General. </w:t>
      </w:r>
      <w:r>
        <w:rPr>
          <w:rFonts w:ascii="Times New Roman" w:cs="Times New Roman" w:eastAsia="Times New Roman" w:hAnsi="Times New Roman"/>
          <w:sz w:val="22"/>
          <w:szCs w:val="22"/>
          <w:color w:val="auto"/>
        </w:rPr>
        <w:t>The Company shall, on or within thirty (30) days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following the Applicable Vesting Date, deliver (or cause to be delivered) to the Participant the Shares underlying the Earned PSUs that vested on the Applicable Vesting Date pursuant to Section 3(a).</w:t>
      </w:r>
    </w:p>
    <w:p>
      <w:pPr>
        <w:spacing w:after="0" w:line="175" w:lineRule="exact"/>
        <w:rPr>
          <w:rFonts w:ascii="Times New Roman" w:cs="Times New Roman" w:eastAsia="Times New Roman" w:hAnsi="Times New Roman"/>
          <w:sz w:val="22"/>
          <w:szCs w:val="22"/>
          <w:color w:val="auto"/>
        </w:rPr>
      </w:pPr>
    </w:p>
    <w:p>
      <w:pPr>
        <w:ind w:left="940" w:right="339" w:firstLine="648"/>
        <w:spacing w:after="0" w:line="274" w:lineRule="auto"/>
        <w:tabs>
          <w:tab w:leader="none" w:pos="2236"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Delivery – Qualifying Event</w:t>
      </w:r>
      <w:r>
        <w:rPr>
          <w:rFonts w:ascii="Times New Roman" w:cs="Times New Roman" w:eastAsia="Times New Roman" w:hAnsi="Times New Roman"/>
          <w:sz w:val="21"/>
          <w:szCs w:val="21"/>
          <w:color w:val="auto"/>
        </w:rPr>
        <w:t>. Upon the occurrence of a Qualifying Event,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Company shall, within thirty (30) days following the date of such event, deliver (or cause to be delivered) to the Participant (or the Participant’s estate) the Shares underlying the Earned PSUs that vested on the date of the Qualifying Event pursuant to Section 3(b).</w:t>
      </w:r>
    </w:p>
    <w:p>
      <w:pPr>
        <w:spacing w:after="0" w:line="152" w:lineRule="exact"/>
        <w:rPr>
          <w:rFonts w:ascii="Times New Roman" w:cs="Times New Roman" w:eastAsia="Times New Roman" w:hAnsi="Times New Roman"/>
          <w:sz w:val="21"/>
          <w:szCs w:val="21"/>
          <w:color w:val="auto"/>
        </w:rPr>
      </w:pPr>
    </w:p>
    <w:p>
      <w:pPr>
        <w:ind w:left="940" w:right="459" w:firstLine="648"/>
        <w:spacing w:after="0" w:line="254" w:lineRule="auto"/>
        <w:tabs>
          <w:tab w:leader="none" w:pos="2236"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 Special Vesting Event</w:t>
      </w:r>
      <w:r>
        <w:rPr>
          <w:rFonts w:ascii="Times New Roman" w:cs="Times New Roman" w:eastAsia="Times New Roman" w:hAnsi="Times New Roman"/>
          <w:sz w:val="22"/>
          <w:szCs w:val="22"/>
          <w:color w:val="auto"/>
        </w:rPr>
        <w:t>. Upon the occurrence of a Special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Vesting Event, the Company shall, on or within sixty (60) days following the date of the Special Vesting Event, deliver (or cause to be delivered) to the Participant the Shares underlying the PSUs that vested on the date of the Special Vesting Event pursuant to Section 3(c).</w:t>
      </w:r>
    </w:p>
    <w:p>
      <w:pPr>
        <w:spacing w:after="0" w:line="173" w:lineRule="exact"/>
        <w:rPr>
          <w:rFonts w:ascii="Times New Roman" w:cs="Times New Roman" w:eastAsia="Times New Roman" w:hAnsi="Times New Roman"/>
          <w:sz w:val="22"/>
          <w:szCs w:val="22"/>
          <w:color w:val="auto"/>
        </w:rPr>
      </w:pPr>
    </w:p>
    <w:p>
      <w:pPr>
        <w:ind w:left="940" w:right="619" w:firstLine="648"/>
        <w:spacing w:after="0" w:line="283" w:lineRule="auto"/>
        <w:tabs>
          <w:tab w:leader="none" w:pos="2236" w:val="left"/>
        </w:tabs>
        <w:numPr>
          <w:ilvl w:val="1"/>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Transfer Restrictions for 30% of Vested Earned PSUs </w:t>
      </w:r>
      <w:r>
        <w:rPr>
          <w:rFonts w:ascii="Times New Roman" w:cs="Times New Roman" w:eastAsia="Times New Roman" w:hAnsi="Times New Roman"/>
          <w:sz w:val="21"/>
          <w:szCs w:val="21"/>
          <w:color w:val="auto"/>
        </w:rPr>
        <w:t>. Following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delivery of Shares in respect of vested Earned PSUs in accordance with this Section 4, thirty percent (30)% of such Shares (calculated on a pre-tax basis, determined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4</w:t>
      </w:r>
    </w:p>
    <w:p>
      <w:pPr>
        <w:spacing w:after="0" w:line="395" w:lineRule="exact"/>
        <w:rPr>
          <w:sz w:val="20"/>
          <w:szCs w:val="20"/>
          <w:color w:val="auto"/>
        </w:rPr>
      </w:pPr>
    </w:p>
    <w:p>
      <w:pPr>
        <w:ind w:left="940" w:right="399"/>
        <w:spacing w:after="0" w:line="253" w:lineRule="auto"/>
        <w:rPr>
          <w:sz w:val="20"/>
          <w:szCs w:val="20"/>
          <w:color w:val="auto"/>
        </w:rPr>
      </w:pPr>
      <w:r>
        <w:rPr>
          <w:rFonts w:ascii="Times New Roman" w:cs="Times New Roman" w:eastAsia="Times New Roman" w:hAnsi="Times New Roman"/>
          <w:sz w:val="22"/>
          <w:szCs w:val="22"/>
          <w:color w:val="auto"/>
        </w:rPr>
        <w:t>regard to any withholding or sale of Shares to cover taxes thereon) must be retained by the Participant and shall not be transferable until the earliest to occur of (i) the third anniversary of the date of delivery of such Shares pursuant to Sections 4(a), 4(b), or 4(c) or (ii) the first anniversary of the date of the Participant’s termination of Services for any reason.</w:t>
      </w:r>
    </w:p>
    <w:p>
      <w:pPr>
        <w:spacing w:after="0" w:line="179" w:lineRule="exact"/>
        <w:rPr>
          <w:sz w:val="20"/>
          <w:szCs w:val="20"/>
          <w:color w:val="auto"/>
        </w:rPr>
      </w:pPr>
    </w:p>
    <w:p>
      <w:pPr>
        <w:ind w:left="300" w:right="359" w:firstLine="658"/>
        <w:spacing w:after="0" w:line="261" w:lineRule="auto"/>
        <w:tabs>
          <w:tab w:leader="none" w:pos="1614"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Clawback.</w:t>
      </w:r>
      <w:r>
        <w:rPr>
          <w:rFonts w:ascii="Times New Roman" w:cs="Times New Roman" w:eastAsia="Times New Roman" w:hAnsi="Times New Roman"/>
          <w:sz w:val="21"/>
          <w:szCs w:val="21"/>
          <w:color w:val="auto"/>
        </w:rPr>
        <w:t xml:space="preserve"> It is a condition of being granted the PSUs hereunder and receiving the underlying Shares upon satisfaction of the vesting conditions set forth herein that the Participant not engage in any Detrimental Activity. Notwithstanding anything to the contrary herein, if the Administrator determines in its sole discretion that the Participant has engaged in Detrimental Activity (i) all outstanding PSUs (whether or not vested) shall immediately terminate and be forfeited without consideration upon the date of such determination and no further Shares with respect of the Award shall be delivered to the Participant or to the Participant’s legal representative, beneficiaries or heirs, (ii) to the extent permitted under applicable law, any Shares that have previously been delivered to the Participant or the Participant’s legal representative, beneficiaries or heirs pursuant to the Award and which are still held by the Participant or the Participant’s legal representative, or beneficiaries or heirs as of the date of such determination by the Administrator shall also immediately terminate and be forfeited without consideration and (iii) the Administrator may require that the Participant forfeit any proceeds realized within the one (1) year period preceding the date of such determination on</w:t>
      </w:r>
    </w:p>
    <w:p>
      <w:pPr>
        <w:sectPr>
          <w:pgSz w:w="11900" w:h="16868" w:orient="portrait"/>
          <w:cols w:equalWidth="0" w:num="1">
            <w:col w:w="9019"/>
          </w:cols>
          <w:pgMar w:left="1440" w:top="125" w:right="1440" w:bottom="0" w:gutter="0" w:footer="0" w:header="0"/>
        </w:sectPr>
      </w:pPr>
    </w:p>
    <w:bookmarkStart w:id="136" w:name="page137"/>
    <w:bookmarkEnd w:id="136"/>
    <w:p>
      <w:pPr>
        <w:ind w:left="300" w:right="339"/>
        <w:spacing w:after="0" w:line="253" w:lineRule="auto"/>
        <w:rPr>
          <w:sz w:val="20"/>
          <w:szCs w:val="20"/>
          <w:color w:val="auto"/>
        </w:rPr>
      </w:pPr>
      <w:r>
        <w:rPr>
          <w:rFonts w:ascii="Times New Roman" w:cs="Times New Roman" w:eastAsia="Times New Roman" w:hAnsi="Times New Roman"/>
          <w:sz w:val="21"/>
          <w:szCs w:val="21"/>
          <w:color w:val="auto"/>
        </w:rPr>
        <w:t>the disposition of any Shares received in settlement of the Award, and repay such proceeds to the Company within thirty (30) days following the Company’s demand therefor. Without limiting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-279400</wp:posOffset>
            </wp:positionV>
            <wp:extent cx="7132320" cy="105156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339"/>
        <w:spacing w:after="0" w:line="252" w:lineRule="auto"/>
        <w:rPr>
          <w:sz w:val="20"/>
          <w:szCs w:val="20"/>
          <w:color w:val="auto"/>
        </w:rPr>
      </w:pPr>
      <w:r>
        <w:rPr>
          <w:rFonts w:ascii="Times New Roman" w:cs="Times New Roman" w:eastAsia="Times New Roman" w:hAnsi="Times New Roman"/>
          <w:sz w:val="22"/>
          <w:szCs w:val="22"/>
          <w:color w:val="auto"/>
        </w:rPr>
        <w:t>the foregoing, the Award and all Shares issued in respect thereof shall be subject to reduction, cancellation, forfeiture or recoupment to the extent necessary to comply with applicable law and/ or the Company’s clawback and recoupment policies as in effect from time to time.</w:t>
      </w:r>
    </w:p>
    <w:p>
      <w:pPr>
        <w:spacing w:after="0" w:line="178" w:lineRule="exact"/>
        <w:rPr>
          <w:sz w:val="20"/>
          <w:szCs w:val="20"/>
          <w:color w:val="auto"/>
        </w:rPr>
      </w:pPr>
    </w:p>
    <w:p>
      <w:pPr>
        <w:ind w:left="300" w:right="339" w:firstLine="658"/>
        <w:spacing w:after="0" w:line="263" w:lineRule="auto"/>
        <w:tabs>
          <w:tab w:leader="none" w:pos="1614"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Notwithstanding anything to the contrary herein, in the event of a Special Vesting Event that occurs within the twenty-four (24) months following a Change in Control, or after such date that definitive documentation for a sale transaction is entered into but before such transaction has been consummated, 100% of the PSUs granted hereunder which then remain outstanding shall vest (to the extent not previously vested) upon the date of such termination of Services and the Shares underlying such Earned PSUs shall be delivered in accordance with Section 4(a), subject to any required delay pursuant to Section 17 of the Plan.</w:t>
      </w:r>
    </w:p>
    <w:p>
      <w:pPr>
        <w:spacing w:after="0" w:line="172" w:lineRule="exact"/>
        <w:rPr>
          <w:rFonts w:ascii="Times New Roman" w:cs="Times New Roman" w:eastAsia="Times New Roman" w:hAnsi="Times New Roman"/>
          <w:sz w:val="21"/>
          <w:szCs w:val="21"/>
          <w:color w:val="auto"/>
        </w:rPr>
      </w:pPr>
    </w:p>
    <w:p>
      <w:pPr>
        <w:ind w:left="300" w:right="339" w:firstLine="658"/>
        <w:spacing w:after="0" w:line="263" w:lineRule="auto"/>
        <w:tabs>
          <w:tab w:leader="none" w:pos="161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Dividends or Distributions on PSUs</w:t>
      </w:r>
      <w:r>
        <w:rPr>
          <w:rFonts w:ascii="Times New Roman" w:cs="Times New Roman" w:eastAsia="Times New Roman" w:hAnsi="Times New Roman"/>
          <w:sz w:val="22"/>
          <w:szCs w:val="22"/>
          <w:color w:val="auto"/>
        </w:rPr>
        <w:t>. No dividends or other distributions shall accrue or become payable with respect to any PSUs prior to the date upon which the Shares underlying the PSUs are issued or transferred to the Participant.</w:t>
      </w:r>
    </w:p>
    <w:p>
      <w:pPr>
        <w:spacing w:after="0" w:line="167" w:lineRule="exact"/>
        <w:rPr>
          <w:rFonts w:ascii="Times New Roman" w:cs="Times New Roman" w:eastAsia="Times New Roman" w:hAnsi="Times New Roman"/>
          <w:sz w:val="22"/>
          <w:szCs w:val="22"/>
          <w:color w:val="auto"/>
        </w:rPr>
      </w:pPr>
    </w:p>
    <w:p>
      <w:pPr>
        <w:ind w:left="300" w:right="419" w:firstLine="658"/>
        <w:spacing w:after="0" w:line="257" w:lineRule="auto"/>
        <w:tabs>
          <w:tab w:leader="none" w:pos="161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Upon Certain Events</w:t>
      </w:r>
      <w:r>
        <w:rPr>
          <w:rFonts w:ascii="Times New Roman" w:cs="Times New Roman" w:eastAsia="Times New Roman" w:hAnsi="Times New Roman"/>
          <w:sz w:val="22"/>
          <w:szCs w:val="22"/>
          <w:color w:val="auto"/>
        </w:rPr>
        <w:t>. The Administrator shall make certain substitutions or adjustments to any PSUs subject to this Award Agreement pursuant to Section 9 of the Plan.</w:t>
      </w:r>
    </w:p>
    <w:p>
      <w:pPr>
        <w:spacing w:after="0" w:line="172" w:lineRule="exact"/>
        <w:rPr>
          <w:rFonts w:ascii="Times New Roman" w:cs="Times New Roman" w:eastAsia="Times New Roman" w:hAnsi="Times New Roman"/>
          <w:sz w:val="22"/>
          <w:szCs w:val="22"/>
          <w:color w:val="auto"/>
        </w:rPr>
      </w:pPr>
    </w:p>
    <w:p>
      <w:pPr>
        <w:ind w:left="300" w:right="1319" w:firstLine="658"/>
        <w:spacing w:after="0" w:line="284" w:lineRule="auto"/>
        <w:tabs>
          <w:tab w:leader="none" w:pos="161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the grant, the Participant acknowledges, understands, and agrees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5</w:t>
      </w:r>
    </w:p>
    <w:p>
      <w:pPr>
        <w:spacing w:after="0" w:line="395" w:lineRule="exact"/>
        <w:rPr>
          <w:sz w:val="20"/>
          <w:szCs w:val="20"/>
          <w:color w:val="auto"/>
        </w:rPr>
      </w:pPr>
    </w:p>
    <w:p>
      <w:pPr>
        <w:jc w:val="both"/>
        <w:ind w:left="940" w:right="579" w:firstLine="648"/>
        <w:spacing w:after="0" w:line="257" w:lineRule="auto"/>
        <w:tabs>
          <w:tab w:leader="none" w:pos="223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86" w:lineRule="exact"/>
        <w:rPr>
          <w:rFonts w:ascii="Times New Roman" w:cs="Times New Roman" w:eastAsia="Times New Roman" w:hAnsi="Times New Roman"/>
          <w:sz w:val="22"/>
          <w:szCs w:val="22"/>
          <w:color w:val="auto"/>
        </w:rPr>
      </w:pPr>
    </w:p>
    <w:p>
      <w:pPr>
        <w:jc w:val="both"/>
        <w:ind w:left="940" w:right="599" w:firstLine="648"/>
        <w:spacing w:after="0" w:line="257" w:lineRule="auto"/>
        <w:tabs>
          <w:tab w:leader="none" w:pos="223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PSUs is exceptional, voluntary and occasional and does not create any contractual or other right to receive future grants of PSUs, or benefits in lieu of PSUs, even if PSUs have been granted in the past;</w:t>
      </w:r>
    </w:p>
    <w:p>
      <w:pPr>
        <w:spacing w:after="0" w:line="172" w:lineRule="exact"/>
        <w:rPr>
          <w:rFonts w:ascii="Times New Roman" w:cs="Times New Roman" w:eastAsia="Times New Roman" w:hAnsi="Times New Roman"/>
          <w:sz w:val="22"/>
          <w:szCs w:val="22"/>
          <w:color w:val="auto"/>
        </w:rPr>
      </w:pPr>
    </w:p>
    <w:p>
      <w:pPr>
        <w:ind w:left="940" w:right="459" w:firstLine="648"/>
        <w:spacing w:after="0" w:line="271" w:lineRule="auto"/>
        <w:tabs>
          <w:tab w:leader="none" w:pos="223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PSUs or other grants, if any, will be at the sole discretion of the Company;</w:t>
      </w:r>
    </w:p>
    <w:p>
      <w:pPr>
        <w:spacing w:after="0" w:line="171" w:lineRule="exact"/>
        <w:rPr>
          <w:rFonts w:ascii="Times New Roman" w:cs="Times New Roman" w:eastAsia="Times New Roman" w:hAnsi="Times New Roman"/>
          <w:sz w:val="22"/>
          <w:szCs w:val="22"/>
          <w:color w:val="auto"/>
        </w:rPr>
      </w:pPr>
    </w:p>
    <w:p>
      <w:pPr>
        <w:ind w:left="940" w:right="579" w:firstLine="648"/>
        <w:spacing w:after="0" w:line="252" w:lineRule="auto"/>
        <w:tabs>
          <w:tab w:leader="none" w:pos="223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granting of the PSUs evidenced by this Award Agreement shall impose no obligation on the Company or any Affiliate to continue the Services of the Participant and shall not lessen or affect the Company’s or any of its Affiliate’s right to terminate the Services of such Participant;</w:t>
      </w:r>
    </w:p>
    <w:p>
      <w:pPr>
        <w:spacing w:after="0" w:line="179" w:lineRule="exact"/>
        <w:rPr>
          <w:rFonts w:ascii="Times New Roman" w:cs="Times New Roman" w:eastAsia="Times New Roman" w:hAnsi="Times New Roman"/>
          <w:sz w:val="22"/>
          <w:szCs w:val="22"/>
          <w:color w:val="auto"/>
        </w:rPr>
      </w:pPr>
    </w:p>
    <w:p>
      <w:pPr>
        <w:ind w:left="2240" w:hanging="652"/>
        <w:spacing w:after="0"/>
        <w:tabs>
          <w:tab w:leader="none" w:pos="224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voluntarily participating in the Plan;</w:t>
      </w:r>
    </w:p>
    <w:p>
      <w:pPr>
        <w:spacing w:after="0" w:line="233" w:lineRule="exact"/>
        <w:rPr>
          <w:rFonts w:ascii="Times New Roman" w:cs="Times New Roman" w:eastAsia="Times New Roman" w:hAnsi="Times New Roman"/>
          <w:sz w:val="22"/>
          <w:szCs w:val="22"/>
          <w:color w:val="auto"/>
        </w:rPr>
      </w:pPr>
    </w:p>
    <w:p>
      <w:pPr>
        <w:ind w:left="940" w:right="659" w:firstLine="648"/>
        <w:spacing w:after="0" w:line="271" w:lineRule="auto"/>
        <w:tabs>
          <w:tab w:leader="none" w:pos="223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the Shares subject to the PSUs, and the income from and value of same, are not intended to replace any pension rights or compensation;</w:t>
      </w:r>
    </w:p>
    <w:p>
      <w:pPr>
        <w:spacing w:after="0" w:line="157" w:lineRule="exact"/>
        <w:rPr>
          <w:rFonts w:ascii="Times New Roman" w:cs="Times New Roman" w:eastAsia="Times New Roman" w:hAnsi="Times New Roman"/>
          <w:sz w:val="22"/>
          <w:szCs w:val="22"/>
          <w:color w:val="auto"/>
        </w:rPr>
      </w:pPr>
    </w:p>
    <w:p>
      <w:pPr>
        <w:ind w:left="940" w:right="319" w:firstLine="648"/>
        <w:spacing w:after="0" w:line="253" w:lineRule="auto"/>
        <w:tabs>
          <w:tab w:leader="none" w:pos="223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the Shares subject to the PSUs, and the income from and value of same, are not part of normal or expected compensation for purposes of calculating any severance, resignation, termination, redundancy, dismissal, end-of-service payments, holiday pay, bonuses, long-service awards, pension or retirement or welfare benefits or similar payments;</w:t>
      </w:r>
    </w:p>
    <w:p>
      <w:pPr>
        <w:spacing w:after="0" w:line="178" w:lineRule="exact"/>
        <w:rPr>
          <w:rFonts w:ascii="Times New Roman" w:cs="Times New Roman" w:eastAsia="Times New Roman" w:hAnsi="Times New Roman"/>
          <w:sz w:val="22"/>
          <w:szCs w:val="22"/>
          <w:color w:val="auto"/>
        </w:rPr>
      </w:pPr>
    </w:p>
    <w:p>
      <w:pPr>
        <w:jc w:val="both"/>
        <w:ind w:left="940" w:right="979" w:firstLine="648"/>
        <w:spacing w:after="0" w:line="295" w:lineRule="auto"/>
        <w:tabs>
          <w:tab w:leader="none" w:pos="2236"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PSUs should in no event be considered as compensation for, or relating in any way to, past services for the Company, the Employer (as defined in</w:t>
      </w:r>
    </w:p>
    <w:p>
      <w:pPr>
        <w:sectPr>
          <w:pgSz w:w="11900" w:h="16838" w:orient="portrait"/>
          <w:cols w:equalWidth="0" w:num="1">
            <w:col w:w="9019"/>
          </w:cols>
          <w:pgMar w:left="1440" w:top="71" w:right="1440" w:bottom="0" w:gutter="0" w:footer="0" w:header="0"/>
        </w:sectPr>
      </w:pPr>
    </w:p>
    <w:bookmarkStart w:id="137" w:name="page138"/>
    <w:bookmarkEnd w:id="137"/>
    <w:p>
      <w:pPr>
        <w:spacing w:after="0" w:line="1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Section 16 of this Award Agreement) or any Affiliate or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-116840</wp:posOffset>
            </wp:positionV>
            <wp:extent cx="7132320" cy="105156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92" w:lineRule="exact"/>
        <w:rPr>
          <w:sz w:val="20"/>
          <w:szCs w:val="20"/>
          <w:color w:val="auto"/>
        </w:rPr>
      </w:pPr>
    </w:p>
    <w:p>
      <w:pPr>
        <w:ind w:left="940" w:right="859" w:firstLine="648"/>
        <w:spacing w:after="0" w:line="252" w:lineRule="auto"/>
        <w:tabs>
          <w:tab w:leader="none" w:pos="223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the PSUs and the Shares subject to the PSUs, and the income from and value of same, are not granted as consideration for, or in connection with, the Services Participant may provide as a director of an Affiliate;</w:t>
      </w:r>
    </w:p>
    <w:p>
      <w:pPr>
        <w:spacing w:after="0" w:line="179" w:lineRule="exact"/>
        <w:rPr>
          <w:rFonts w:ascii="Times New Roman" w:cs="Times New Roman" w:eastAsia="Times New Roman" w:hAnsi="Times New Roman"/>
          <w:sz w:val="22"/>
          <w:szCs w:val="22"/>
          <w:color w:val="auto"/>
        </w:rPr>
      </w:pPr>
    </w:p>
    <w:p>
      <w:pPr>
        <w:ind w:left="940" w:right="439" w:firstLine="648"/>
        <w:spacing w:after="0" w:line="284" w:lineRule="auto"/>
        <w:tabs>
          <w:tab w:leader="none" w:pos="223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Shares is unknown, indeterminable and cannot be predicted with certainty;</w:t>
      </w:r>
    </w:p>
    <w:p>
      <w:pPr>
        <w:spacing w:after="0" w:line="143" w:lineRule="exact"/>
        <w:rPr>
          <w:rFonts w:ascii="Times New Roman" w:cs="Times New Roman" w:eastAsia="Times New Roman" w:hAnsi="Times New Roman"/>
          <w:sz w:val="22"/>
          <w:szCs w:val="22"/>
          <w:color w:val="auto"/>
        </w:rPr>
      </w:pPr>
    </w:p>
    <w:p>
      <w:pPr>
        <w:ind w:left="940" w:right="319" w:firstLine="648"/>
        <w:spacing w:after="0" w:line="250" w:lineRule="auto"/>
        <w:tabs>
          <w:tab w:leader="none" w:pos="229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termination of the Participant’s Services for any reason, except as set forth in Sections 3, 4 or 6 (whether or not later to be found invalid or in breach of employment laws in the jurisdiction where the Participant is employed or the terms of the Participant’s employment agreement, if any), unless otherwise determined by the Company, the Participant’s right to vest in the PSUs under the Plan, if any, will terminate effective as of the date that the Participant is no longer actively providing Services and will not be extended by any notice period (e.g., active Services would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6</w:t>
      </w:r>
    </w:p>
    <w:p>
      <w:pPr>
        <w:spacing w:after="0" w:line="395" w:lineRule="exact"/>
        <w:rPr>
          <w:sz w:val="20"/>
          <w:szCs w:val="20"/>
          <w:color w:val="auto"/>
        </w:rPr>
      </w:pPr>
    </w:p>
    <w:p>
      <w:pPr>
        <w:ind w:left="940" w:right="319"/>
        <w:spacing w:after="0" w:line="265" w:lineRule="auto"/>
        <w:rPr>
          <w:sz w:val="20"/>
          <w:szCs w:val="20"/>
          <w:color w:val="auto"/>
        </w:rPr>
      </w:pPr>
      <w:r>
        <w:rPr>
          <w:rFonts w:ascii="Times New Roman" w:cs="Times New Roman" w:eastAsia="Times New Roman" w:hAnsi="Times New Roman"/>
          <w:sz w:val="21"/>
          <w:szCs w:val="21"/>
          <w:color w:val="auto"/>
        </w:rPr>
        <w:t>include any contractual notice period or any period of “garden leave” or similar period mandated under employment laws in the jurisdiction where the Participant is employed, or the terms of the Participant’s employment agreement, if any); the Administrator shall have the exclusive discretion to determine when the Participant is no longer actively providing Services for purposes of the PSUs grant (including whether the Participant may still be considered to be providing Services while on an approved leave of absence); and</w:t>
      </w:r>
    </w:p>
    <w:p>
      <w:pPr>
        <w:spacing w:after="0" w:line="169" w:lineRule="exact"/>
        <w:rPr>
          <w:sz w:val="20"/>
          <w:szCs w:val="20"/>
          <w:color w:val="auto"/>
        </w:rPr>
      </w:pPr>
    </w:p>
    <w:p>
      <w:pPr>
        <w:jc w:val="both"/>
        <w:ind w:left="940" w:right="999" w:firstLine="648"/>
        <w:spacing w:after="0" w:line="295" w:lineRule="auto"/>
        <w:tabs>
          <w:tab w:leader="none" w:pos="2236"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the provisions above in this Section 9, the following provisions apply if the Participant is providing Services outside the United States:</w:t>
      </w:r>
    </w:p>
    <w:p>
      <w:pPr>
        <w:spacing w:after="0" w:line="148" w:lineRule="exact"/>
        <w:rPr>
          <w:rFonts w:ascii="Times New Roman" w:cs="Times New Roman" w:eastAsia="Times New Roman" w:hAnsi="Times New Roman"/>
          <w:sz w:val="21"/>
          <w:szCs w:val="21"/>
          <w:color w:val="auto"/>
        </w:rPr>
      </w:pPr>
    </w:p>
    <w:p>
      <w:pPr>
        <w:ind w:left="1560" w:right="319" w:firstLine="982"/>
        <w:spacing w:after="0" w:line="250" w:lineRule="auto"/>
        <w:tabs>
          <w:tab w:leader="none" w:pos="3036" w:val="left"/>
        </w:tabs>
        <w:numPr>
          <w:ilvl w:val="2"/>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PSUs resulting from termination of the Participant’s Services as set forth in Section 3(d) above for any reason (whether or not later found to be invalid or in breach of employment laws in the jurisdiction where the Participant is employed or the terms of the Participant’s employment agreement, if any), and in consideration of the grant of the PSUs, the Participant agrees not to institute any claim against the Company or any Affiliate;</w:t>
      </w:r>
    </w:p>
    <w:p>
      <w:pPr>
        <w:spacing w:after="0" w:line="180" w:lineRule="exact"/>
        <w:rPr>
          <w:rFonts w:ascii="Times New Roman" w:cs="Times New Roman" w:eastAsia="Times New Roman" w:hAnsi="Times New Roman"/>
          <w:sz w:val="22"/>
          <w:szCs w:val="22"/>
          <w:color w:val="auto"/>
        </w:rPr>
      </w:pPr>
    </w:p>
    <w:p>
      <w:pPr>
        <w:ind w:left="1560" w:right="859" w:firstLine="982"/>
        <w:spacing w:after="0" w:line="271" w:lineRule="auto"/>
        <w:tabs>
          <w:tab w:leader="none" w:pos="3036" w:val="left"/>
        </w:tabs>
        <w:numPr>
          <w:ilvl w:val="2"/>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the Shares subject to the PSUs are not part of normal or expected compensation or salary for any purpose; and</w:t>
      </w:r>
    </w:p>
    <w:p>
      <w:pPr>
        <w:spacing w:after="0" w:line="157" w:lineRule="exact"/>
        <w:rPr>
          <w:rFonts w:ascii="Times New Roman" w:cs="Times New Roman" w:eastAsia="Times New Roman" w:hAnsi="Times New Roman"/>
          <w:sz w:val="22"/>
          <w:szCs w:val="22"/>
          <w:color w:val="auto"/>
        </w:rPr>
      </w:pPr>
    </w:p>
    <w:p>
      <w:pPr>
        <w:ind w:left="1560" w:right="399" w:firstLine="982"/>
        <w:spacing w:after="0" w:line="253" w:lineRule="auto"/>
        <w:tabs>
          <w:tab w:leader="none" w:pos="3036" w:val="left"/>
        </w:tabs>
        <w:numPr>
          <w:ilvl w:val="2"/>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Affiliate shall be liable for any foreign exchange rate fluctuation between the Participant’s local currency and the United States Dollar that may affect the value of the PSUs or of any amounts due to the Participant pursuant to the settlement of the PSUs or the subsequent sale of any Shares acquired upon settlement.</w:t>
      </w:r>
    </w:p>
    <w:p>
      <w:pPr>
        <w:spacing w:after="0" w:line="178" w:lineRule="exact"/>
        <w:rPr>
          <w:rFonts w:ascii="Times New Roman" w:cs="Times New Roman" w:eastAsia="Times New Roman" w:hAnsi="Times New Roman"/>
          <w:sz w:val="22"/>
          <w:szCs w:val="22"/>
          <w:color w:val="auto"/>
        </w:rPr>
      </w:pPr>
    </w:p>
    <w:p>
      <w:pPr>
        <w:ind w:left="300" w:right="559" w:firstLine="658"/>
        <w:spacing w:after="0" w:line="268" w:lineRule="auto"/>
        <w:tabs>
          <w:tab w:leader="none" w:pos="1614"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Advice Regarding Grant.</w:t>
      </w:r>
      <w:r>
        <w:rPr>
          <w:rFonts w:ascii="Times New Roman" w:cs="Times New Roman" w:eastAsia="Times New Roman" w:hAnsi="Times New Roman"/>
          <w:sz w:val="21"/>
          <w:szCs w:val="21"/>
          <w:color w:val="auto"/>
        </w:rPr>
        <w:t xml:space="preserve"> The Company is not providing any tax, legal or financial advice, nor is the Company making any recommendations regarding the Participant’s participation in the Plan, or the Participant’s acquisition or sale of the underlying Shares. The Participant should consult with his or her own personal tax, legal and financial advisors regarding his or her participation in the Plan before taking any action related to the Plan.</w:t>
      </w:r>
    </w:p>
    <w:p>
      <w:pPr>
        <w:spacing w:after="0" w:line="157" w:lineRule="exact"/>
        <w:rPr>
          <w:rFonts w:ascii="Times New Roman" w:cs="Times New Roman" w:eastAsia="Times New Roman" w:hAnsi="Times New Roman"/>
          <w:sz w:val="21"/>
          <w:szCs w:val="21"/>
          <w:color w:val="auto"/>
        </w:rPr>
      </w:pPr>
    </w:p>
    <w:p>
      <w:pPr>
        <w:ind w:left="300" w:right="539" w:firstLine="658"/>
        <w:spacing w:after="0" w:line="254" w:lineRule="auto"/>
        <w:tabs>
          <w:tab w:leader="none" w:pos="1614"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Data Privacy Information and Consent</w:t>
      </w:r>
      <w:r>
        <w:rPr>
          <w:rFonts w:ascii="Times New Roman" w:cs="Times New Roman" w:eastAsia="Times New Roman" w:hAnsi="Times New Roman"/>
          <w:sz w:val="22"/>
          <w:szCs w:val="22"/>
          <w:b w:val="1"/>
          <w:bCs w:val="1"/>
          <w:i w:val="1"/>
          <w:iCs w:val="1"/>
          <w:color w:val="auto"/>
        </w:rPr>
        <w:t>. The Company is located at 1001 Pennsylvania Avenue, NW, Washington, DC 20004 U.S.A. and grants employees of the Company and its Affiliates PSUs, at the Company’s sole discretion. If the Participant would like to participate in the Plan, please review the following information about the Company’s data processing practices and declare the Participant’s consent.</w:t>
      </w:r>
    </w:p>
    <w:p>
      <w:pPr>
        <w:sectPr>
          <w:pgSz w:w="11900" w:h="16981" w:orient="portrait"/>
          <w:cols w:equalWidth="0" w:num="1">
            <w:col w:w="9019"/>
          </w:cols>
          <w:pgMar w:left="1440" w:top="71" w:right="1440" w:bottom="0" w:gutter="0" w:footer="0" w:header="0"/>
        </w:sectPr>
      </w:pPr>
    </w:p>
    <w:bookmarkStart w:id="138" w:name="page139"/>
    <w:bookmarkEnd w:id="138"/>
    <w:p>
      <w:pPr>
        <w:ind w:left="940" w:right="319" w:firstLine="648"/>
        <w:spacing w:after="0" w:line="264" w:lineRule="auto"/>
        <w:tabs>
          <w:tab w:leader="none" w:pos="2236" w:val="left"/>
        </w:tabs>
        <w:numPr>
          <w:ilvl w:val="0"/>
          <w:numId w:val="152"/>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Data Collection and Usage</w:t>
      </w:r>
      <w:r>
        <w:rPr>
          <w:rFonts w:ascii="Times New Roman" w:cs="Times New Roman" w:eastAsia="Times New Roman" w:hAnsi="Times New Roman"/>
          <w:sz w:val="21"/>
          <w:szCs w:val="21"/>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or directorships held in the Company, and details of all PSUs, canceled, vested, or outstanding in the Participant’s favor, which the Company receives from the Participant or the Employer. If the Company offers the Participant a grant of PSUs under the Plan, then the Company will collect the Participant’s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7</w:t>
      </w:r>
    </w:p>
    <w:p>
      <w:pPr>
        <w:spacing w:after="0" w:line="389" w:lineRule="exact"/>
        <w:rPr>
          <w:sz w:val="20"/>
          <w:szCs w:val="20"/>
          <w:color w:val="auto"/>
        </w:rPr>
      </w:pPr>
    </w:p>
    <w:p>
      <w:pPr>
        <w:ind w:left="940" w:right="339"/>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data for purposes of allocating Shares and implementing, administering and managing the Plan. The Company’s legal basis for the processing of the Participant’s personal data would be his or her consent.</w:t>
      </w:r>
    </w:p>
    <w:p>
      <w:pPr>
        <w:spacing w:after="0" w:line="163" w:lineRule="exact"/>
        <w:rPr>
          <w:sz w:val="20"/>
          <w:szCs w:val="20"/>
          <w:color w:val="auto"/>
        </w:rPr>
      </w:pPr>
    </w:p>
    <w:p>
      <w:pPr>
        <w:ind w:left="940" w:right="319" w:firstLine="648"/>
        <w:spacing w:after="0" w:line="250" w:lineRule="auto"/>
        <w:tabs>
          <w:tab w:leader="none" w:pos="2236" w:val="left"/>
        </w:tabs>
        <w:numPr>
          <w:ilvl w:val="1"/>
          <w:numId w:val="15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Stock Plan Administration Service Providers</w:t>
      </w:r>
      <w:r>
        <w:rPr>
          <w:rFonts w:ascii="Times New Roman" w:cs="Times New Roman" w:eastAsia="Times New Roman" w:hAnsi="Times New Roman"/>
          <w:sz w:val="22"/>
          <w:szCs w:val="22"/>
          <w:b w:val="1"/>
          <w:bCs w:val="1"/>
          <w:i w:val="1"/>
          <w:iCs w:val="1"/>
          <w:color w:val="auto"/>
        </w:rPr>
        <w:t>: The Company transfers participant data to Morgan Stanley,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The Participant will be asked to agree on separate terms and data processing practices with the service provider, which is a condition to the Participant’s ability to participate in the Plan.</w:t>
      </w:r>
    </w:p>
    <w:p>
      <w:pPr>
        <w:spacing w:after="0" w:line="179" w:lineRule="exact"/>
        <w:rPr>
          <w:rFonts w:ascii="Times New Roman" w:cs="Times New Roman" w:eastAsia="Times New Roman" w:hAnsi="Times New Roman"/>
          <w:sz w:val="22"/>
          <w:szCs w:val="22"/>
          <w:b w:val="1"/>
          <w:bCs w:val="1"/>
          <w:i w:val="1"/>
          <w:iCs w:val="1"/>
          <w:color w:val="auto"/>
        </w:rPr>
      </w:pPr>
    </w:p>
    <w:p>
      <w:pPr>
        <w:ind w:left="940" w:right="499" w:firstLine="648"/>
        <w:spacing w:after="0" w:line="254" w:lineRule="auto"/>
        <w:tabs>
          <w:tab w:leader="none" w:pos="2236" w:val="left"/>
        </w:tabs>
        <w:numPr>
          <w:ilvl w:val="1"/>
          <w:numId w:val="15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International Data Transfers</w:t>
      </w:r>
      <w:r>
        <w:rPr>
          <w:rFonts w:ascii="Times New Roman" w:cs="Times New Roman" w:eastAsia="Times New Roman" w:hAnsi="Times New Roman"/>
          <w:sz w:val="22"/>
          <w:szCs w:val="22"/>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The Company’s legal basis for the transfer of the Participant’s personal data is his or her consent.</w:t>
      </w:r>
    </w:p>
    <w:p>
      <w:pPr>
        <w:spacing w:after="0" w:line="173" w:lineRule="exact"/>
        <w:rPr>
          <w:rFonts w:ascii="Times New Roman" w:cs="Times New Roman" w:eastAsia="Times New Roman" w:hAnsi="Times New Roman"/>
          <w:sz w:val="22"/>
          <w:szCs w:val="22"/>
          <w:b w:val="1"/>
          <w:bCs w:val="1"/>
          <w:i w:val="1"/>
          <w:iCs w:val="1"/>
          <w:color w:val="auto"/>
        </w:rPr>
      </w:pPr>
    </w:p>
    <w:p>
      <w:pPr>
        <w:ind w:left="940" w:right="439" w:firstLine="648"/>
        <w:spacing w:after="0" w:line="258" w:lineRule="auto"/>
        <w:tabs>
          <w:tab w:leader="none" w:pos="2236" w:val="left"/>
        </w:tabs>
        <w:numPr>
          <w:ilvl w:val="1"/>
          <w:numId w:val="15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Data Retention</w:t>
      </w:r>
      <w:r>
        <w:rPr>
          <w:rFonts w:ascii="Times New Roman" w:cs="Times New Roman" w:eastAsia="Times New Roman" w:hAnsi="Times New Roman"/>
          <w:sz w:val="22"/>
          <w:szCs w:val="22"/>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and security laws.</w:t>
      </w:r>
    </w:p>
    <w:p>
      <w:pPr>
        <w:spacing w:after="0" w:line="167" w:lineRule="exact"/>
        <w:rPr>
          <w:rFonts w:ascii="Times New Roman" w:cs="Times New Roman" w:eastAsia="Times New Roman" w:hAnsi="Times New Roman"/>
          <w:sz w:val="22"/>
          <w:szCs w:val="22"/>
          <w:b w:val="1"/>
          <w:bCs w:val="1"/>
          <w:i w:val="1"/>
          <w:iCs w:val="1"/>
          <w:color w:val="auto"/>
        </w:rPr>
      </w:pPr>
    </w:p>
    <w:p>
      <w:pPr>
        <w:ind w:left="940" w:right="459" w:firstLine="648"/>
        <w:spacing w:after="0" w:line="251" w:lineRule="auto"/>
        <w:tabs>
          <w:tab w:leader="none" w:pos="2236" w:val="left"/>
        </w:tabs>
        <w:numPr>
          <w:ilvl w:val="1"/>
          <w:numId w:val="15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u w:val="single" w:color="auto"/>
          <w:color w:val="auto"/>
        </w:rPr>
        <w:t>Voluntariness and Consequences of Consent Denial or Withdrawal</w:t>
      </w:r>
      <w:r>
        <w:rPr>
          <w:rFonts w:ascii="Times New Roman" w:cs="Times New Roman" w:eastAsia="Times New Roman" w:hAnsi="Times New Roman"/>
          <w:sz w:val="22"/>
          <w:szCs w:val="22"/>
          <w:b w:val="1"/>
          <w:bCs w:val="1"/>
          <w:i w:val="1"/>
          <w:iCs w:val="1"/>
          <w:color w:val="auto"/>
        </w:rPr>
        <w:t xml:space="preserve"> :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as an employee or his or her career; the Participant would merely forfeit the opportunities associated with the Plan.</w:t>
      </w:r>
    </w:p>
    <w:p>
      <w:pPr>
        <w:spacing w:after="0" w:line="172" w:lineRule="exact"/>
        <w:rPr>
          <w:rFonts w:ascii="Times New Roman" w:cs="Times New Roman" w:eastAsia="Times New Roman" w:hAnsi="Times New Roman"/>
          <w:sz w:val="22"/>
          <w:szCs w:val="22"/>
          <w:b w:val="1"/>
          <w:bCs w:val="1"/>
          <w:i w:val="1"/>
          <w:iCs w:val="1"/>
          <w:color w:val="auto"/>
        </w:rPr>
      </w:pPr>
    </w:p>
    <w:p>
      <w:pPr>
        <w:ind w:left="940" w:right="319" w:firstLine="648"/>
        <w:spacing w:after="0" w:line="265" w:lineRule="auto"/>
        <w:tabs>
          <w:tab w:leader="none" w:pos="2236" w:val="left"/>
        </w:tabs>
        <w:numPr>
          <w:ilvl w:val="1"/>
          <w:numId w:val="15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u w:val="single" w:color="auto"/>
          <w:color w:val="auto"/>
        </w:rPr>
        <w:t>Data Subject Rights</w:t>
      </w:r>
      <w:r>
        <w:rPr>
          <w:rFonts w:ascii="Times New Roman" w:cs="Times New Roman" w:eastAsia="Times New Roman" w:hAnsi="Times New Roman"/>
          <w:sz w:val="21"/>
          <w:szCs w:val="21"/>
          <w:b w:val="1"/>
          <w:bCs w:val="1"/>
          <w:i w:val="1"/>
          <w:iCs w:val="1"/>
          <w:color w:val="auto"/>
        </w:rPr>
        <w:t>: The Participant has a number of rights under data privacy laws in his or her country. Depending on where the Participant is based, the Participant’s rights may include the right to (i) request access or copies of personal data of the Company processes, (ii) rectification of incorrect data, (iii) deletion of data,</w:t>
      </w:r>
    </w:p>
    <w:p>
      <w:pPr>
        <w:spacing w:after="0" w:line="2" w:lineRule="exact"/>
        <w:rPr>
          <w:rFonts w:ascii="Times New Roman" w:cs="Times New Roman" w:eastAsia="Times New Roman" w:hAnsi="Times New Roman"/>
          <w:sz w:val="21"/>
          <w:szCs w:val="21"/>
          <w:b w:val="1"/>
          <w:bCs w:val="1"/>
          <w:i w:val="1"/>
          <w:iCs w:val="1"/>
          <w:color w:val="auto"/>
        </w:rPr>
      </w:pPr>
    </w:p>
    <w:p>
      <w:pPr>
        <w:ind w:left="940" w:right="639"/>
        <w:spacing w:after="0" w:line="246" w:lineRule="auto"/>
        <w:tabs>
          <w:tab w:leader="none" w:pos="1294" w:val="left"/>
        </w:tabs>
        <w:numPr>
          <w:ilvl w:val="0"/>
          <w:numId w:val="15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restrictions on processing, (v) portability of data, (vi) lodge complaints with competent authorities in the Participant’s country, and/or (vii) a list with the names and address of any potential recipients of the Participant’s data. To receive clarification regarding the Participant’s rights or to exercise the Participant’s rights please contact the Company at The Carlyle Group Inc., 1001 Pennsylvania Avenue, NW, Washington, DC 20004 U.S.A., Attention: Equity Management.</w:t>
      </w:r>
    </w:p>
    <w:p>
      <w:pPr>
        <w:sectPr>
          <w:pgSz w:w="11900" w:h="16838" w:orient="portrait"/>
          <w:cols w:equalWidth="0" w:num="1">
            <w:col w:w="9019"/>
          </w:cols>
          <w:pgMar w:left="1440" w:top="376" w:right="1440" w:bottom="326"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8</w:t>
      </w:r>
    </w:p>
    <w:p>
      <w:pPr>
        <w:spacing w:after="0" w:line="389" w:lineRule="exact"/>
        <w:rPr>
          <w:sz w:val="20"/>
          <w:szCs w:val="20"/>
          <w:color w:val="auto"/>
        </w:rPr>
      </w:pPr>
    </w:p>
    <w:p>
      <w:pPr>
        <w:ind w:left="300" w:right="499"/>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If the Participant agrees with the data processing practices as described in this notice, please declare the Participant’s consent by clicking the “Accept Award” button on the Morgan Stanley award acceptance page or signing below.</w:t>
      </w:r>
    </w:p>
    <w:p>
      <w:pPr>
        <w:spacing w:after="0" w:line="183" w:lineRule="exact"/>
        <w:rPr>
          <w:sz w:val="20"/>
          <w:szCs w:val="20"/>
          <w:color w:val="auto"/>
        </w:rPr>
      </w:pPr>
    </w:p>
    <w:p>
      <w:pPr>
        <w:ind w:left="300" w:right="499" w:firstLine="658"/>
        <w:spacing w:after="0" w:line="257" w:lineRule="auto"/>
        <w:tabs>
          <w:tab w:leader="none" w:pos="161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of a Holder of Shares</w:t>
      </w:r>
      <w:r>
        <w:rPr>
          <w:rFonts w:ascii="Times New Roman" w:cs="Times New Roman" w:eastAsia="Times New Roman" w:hAnsi="Times New Roman"/>
          <w:sz w:val="22"/>
          <w:szCs w:val="22"/>
          <w:color w:val="auto"/>
        </w:rPr>
        <w:t>. Except as otherwise provided herein, the Participant shall not have any rights as a holder of Shares until such Shares have been issued or transferred to the Participant.</w:t>
      </w:r>
    </w:p>
    <w:p>
      <w:pPr>
        <w:spacing w:after="0" w:line="172" w:lineRule="exact"/>
        <w:rPr>
          <w:rFonts w:ascii="Times New Roman" w:cs="Times New Roman" w:eastAsia="Times New Roman" w:hAnsi="Times New Roman"/>
          <w:sz w:val="22"/>
          <w:szCs w:val="22"/>
          <w:color w:val="auto"/>
        </w:rPr>
      </w:pPr>
    </w:p>
    <w:p>
      <w:pPr>
        <w:ind w:left="300" w:right="419" w:firstLine="658"/>
        <w:spacing w:after="0" w:line="248" w:lineRule="auto"/>
        <w:tabs>
          <w:tab w:leader="none" w:pos="161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Any Shares issued or transferred to the Participant or to the Participant’s beneficiary pursuant to Section 4 of this Award Agreement (including, without limitation, following the Participant’s death or Disability) shall be subject to such stop transfer orders and other restrictions as the Administrator may deem advisable under the Plan or the rules, regulations, and other requirements of the SEC, any stock exchange upon which such Shares are listed and any applicable U.S. or non-U.S. federal, state or local laws, and the Administrator may cause a notation or notations to be put entered into the books and records of the Company to make appropriate reference to such restrictions. Without limiting the generality of the forgoing, a Participant’s ability to sell or transfer the Shares shall be subject to such trading policies or limitations as the Administrator may, in its sole discretion, impose from time to time on current or former senior professionals, employees, consultants, directors, members, partners or other service providers of the Company or of any of its Affiliates.</w:t>
      </w:r>
    </w:p>
    <w:p>
      <w:pPr>
        <w:spacing w:after="0" w:line="197" w:lineRule="exact"/>
        <w:rPr>
          <w:rFonts w:ascii="Times New Roman" w:cs="Times New Roman" w:eastAsia="Times New Roman" w:hAnsi="Times New Roman"/>
          <w:sz w:val="22"/>
          <w:szCs w:val="22"/>
          <w:color w:val="auto"/>
        </w:rPr>
      </w:pPr>
    </w:p>
    <w:p>
      <w:pPr>
        <w:ind w:left="300" w:right="459" w:firstLine="658"/>
        <w:spacing w:after="0" w:line="251" w:lineRule="auto"/>
        <w:tabs>
          <w:tab w:leader="none" w:pos="161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Unless otherwise determined or approved by the Administrator, no PSUs may be assigned, alienated, pledged, attached, sold or otherwise transferred or encumbered by the Participant other than by will or by the laws of descent and distribution, and any purported assignment, alienation, pledge, attachment, sale, transfer or encumbrance not permitted by this Section 14 shall be void and unenforceable against the Company or any Affiliate.</w:t>
      </w:r>
    </w:p>
    <w:p>
      <w:pPr>
        <w:spacing w:after="0" w:line="181" w:lineRule="exact"/>
        <w:rPr>
          <w:rFonts w:ascii="Times New Roman" w:cs="Times New Roman" w:eastAsia="Times New Roman" w:hAnsi="Times New Roman"/>
          <w:sz w:val="22"/>
          <w:szCs w:val="22"/>
          <w:color w:val="auto"/>
        </w:rPr>
      </w:pPr>
    </w:p>
    <w:p>
      <w:pPr>
        <w:ind w:left="300" w:right="359" w:firstLine="658"/>
        <w:spacing w:after="0" w:line="251" w:lineRule="auto"/>
        <w:tabs>
          <w:tab w:leader="none" w:pos="161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claims, demands and other communications hereunder shall be in writing and shall be given (and shall be deemed to have been duly given upon receipt) by delivery in person, by courier service, by fax, or by registered or certified mail (postage prepaid, return receipt requested) to the respective parties at the following addresses (or at such other address for a party as shall be specified in a notice given in accordance with this Section 15):</w:t>
      </w:r>
    </w:p>
    <w:p>
      <w:pPr>
        <w:spacing w:after="0" w:line="181" w:lineRule="exact"/>
        <w:rPr>
          <w:rFonts w:ascii="Times New Roman" w:cs="Times New Roman" w:eastAsia="Times New Roman" w:hAnsi="Times New Roman"/>
          <w:sz w:val="22"/>
          <w:szCs w:val="22"/>
          <w:color w:val="auto"/>
        </w:rPr>
      </w:pPr>
    </w:p>
    <w:p>
      <w:pPr>
        <w:ind w:left="1940" w:hanging="352"/>
        <w:spacing w:after="0"/>
        <w:tabs>
          <w:tab w:leader="none" w:pos="1940"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to:</w:t>
      </w:r>
    </w:p>
    <w:p>
      <w:pPr>
        <w:spacing w:after="0" w:line="22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The Carlyle Group Inc.</w:t>
      </w:r>
    </w:p>
    <w:p>
      <w:pPr>
        <w:spacing w:after="0" w:line="2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1001 Pennsylvania Avenue, NW</w:t>
      </w:r>
    </w:p>
    <w:p>
      <w:pPr>
        <w:spacing w:after="0" w:line="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Washington, DC 20004</w:t>
      </w:r>
    </w:p>
    <w:p>
      <w:pPr>
        <w:spacing w:after="0" w:line="1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Fax: (202) 315-3678</w:t>
      </w:r>
    </w:p>
    <w:p>
      <w:pPr>
        <w:spacing w:after="0" w:line="236" w:lineRule="exact"/>
        <w:rPr>
          <w:sz w:val="20"/>
          <w:szCs w:val="20"/>
          <w:color w:val="auto"/>
        </w:rPr>
      </w:pPr>
    </w:p>
    <w:p>
      <w:pPr>
        <w:ind w:left="1580" w:right="1759" w:firstLine="8"/>
        <w:spacing w:after="0" w:line="284" w:lineRule="auto"/>
        <w:tabs>
          <w:tab w:leader="none" w:pos="194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Participant, to the address appearing in the personnel records of the Company or any Affiliate.</w:t>
      </w:r>
    </w:p>
    <w:p>
      <w:pPr>
        <w:sectPr>
          <w:pgSz w:w="11900" w:h="16838" w:orient="portrait"/>
          <w:cols w:equalWidth="0" w:num="1">
            <w:col w:w="9019"/>
          </w:cols>
          <w:pgMar w:left="1440" w:top="1440" w:right="1440" w:bottom="1440" w:gutter="0" w:footer="0" w:header="0"/>
        </w:sectPr>
      </w:pPr>
    </w:p>
    <w:bookmarkStart w:id="140" w:name="page141"/>
    <w:bookmarkEnd w:id="140"/>
    <w:p>
      <w:pPr>
        <w:jc w:val="right"/>
        <w:ind w:right="29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-116840</wp:posOffset>
            </wp:positionV>
            <wp:extent cx="7132320" cy="105156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335" w:lineRule="exact"/>
        <w:rPr>
          <w:sz w:val="20"/>
          <w:szCs w:val="20"/>
          <w:color w:val="auto"/>
        </w:rPr>
      </w:pPr>
    </w:p>
    <w:p>
      <w:pPr>
        <w:ind w:left="300" w:right="359" w:firstLine="658"/>
        <w:spacing w:after="0" w:line="258" w:lineRule="auto"/>
        <w:tabs>
          <w:tab w:leader="none" w:pos="1614"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Participant acknowledges that he or she may be required to pay to the Company or, if different, an Affiliate that employs the Participant (the “</w:t>
      </w:r>
      <w:r>
        <w:rPr>
          <w:rFonts w:ascii="Times New Roman" w:cs="Times New Roman" w:eastAsia="Times New Roman" w:hAnsi="Times New Roman"/>
          <w:sz w:val="21"/>
          <w:szCs w:val="21"/>
          <w:u w:val="single" w:color="auto"/>
          <w:color w:val="auto"/>
        </w:rPr>
        <w:t>Employer</w:t>
      </w:r>
      <w:r>
        <w:rPr>
          <w:rFonts w:ascii="Times New Roman" w:cs="Times New Roman" w:eastAsia="Times New Roman" w:hAnsi="Times New Roman"/>
          <w:sz w:val="21"/>
          <w:szCs w:val="21"/>
          <w:color w:val="auto"/>
        </w:rPr>
        <w:t>”), and that the Company, the Employer, or any Affiliate shall have the right and are hereby authorized to withhold from any compensation or other amount owing to the Participant, applicable income tax, social insurance, payroll tax, fringe benefits tax, payment on account or other tax-related items (including taxes that are imposed on the Company or the Employer as a result of the Participant’s participation in the Plan but are deemed by the Company or the Employer to be an appropriate charge to the Participant) (collectively, “</w:t>
      </w:r>
      <w:r>
        <w:rPr>
          <w:rFonts w:ascii="Times New Roman" w:cs="Times New Roman" w:eastAsia="Times New Roman" w:hAnsi="Times New Roman"/>
          <w:sz w:val="21"/>
          <w:szCs w:val="21"/>
          <w:u w:val="single" w:color="auto"/>
          <w:color w:val="auto"/>
        </w:rPr>
        <w:t>Tax-Related Items</w:t>
      </w:r>
      <w:r>
        <w:rPr>
          <w:rFonts w:ascii="Times New Roman" w:cs="Times New Roman" w:eastAsia="Times New Roman" w:hAnsi="Times New Roman"/>
          <w:sz w:val="21"/>
          <w:szCs w:val="21"/>
          <w:color w:val="auto"/>
        </w:rPr>
        <w:t>”), with respect to any issuance, transfer, or other taxable event under this Award Agreement or under the Plan and to take such action as may be necessary in the opinion of the Company to satisfy all obligations for the payment of such Tax-Related Items. The Participant further acknowledges that the Company and/or the Employer (i) make no representations or undertakings regarding the treatment of any Tax-Related Items in connection with any aspect of the PSUs, including, but not limited to the grant or vesting of the PSUs and the subsequent sale of Shares acquired upon settlement of the vested Earned PSUs; and (ii) do not commit to and are under no obligation to structure the terms of the grant or any aspect of the PSUs to reduce or eliminate the Participant’s liability for Tax-Related Items or achieve a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 Without limiting the foregoing, the Administrator may, from time to time, permit the Participant to make arrangements prior to the Applicable Vesting Date described herein to pay the applicable Tax-Related Items in a manner prescribed by the Administrator prior to the Applicable Vesting Date; provided that, unless otherwise determined by the Administrator, any such payment or estimate must be received by the Company prior to the Applicable Vesting Date. Additionally, the Participant authorizes the Company and/or the Employer to satisfy the obligations with regard to all Tax-Related Items by (i) withholding from proceeds of the sale of Shares acquired upon settlement of the vested Earned PSUs either through a voluntary sale or through a mandatory sale arranged by the Company (on the Participant’s behalf pursuant to this authorization) or (ii) using a net settlement method whereby the number of Shares that would otherwise be delivered to the Participant upon the settlement of vested Earned PSUs shall be reduced by a number of Shares having a fair market value necessary to satisfy such obligations. Depending on the withholding method, the Company and/or the Employer may withhold or account for the Tax-Related Items by considering minimum statutory withholding amounts or other applicable withholding rates in the Participant’s jurisdiction(s), including maximum applicable rates. In the event of over-withholding, the Participant may receive a refund of any over-withheld amount in cash through the Employer’s normal payroll process (with no entitlement to the equivalent in Shares), or if not refunded, the Participant may seek a refund from the applicable tax authorities. In the event of under-withholding, the Participant may be required to pay additional Tax-Related Items directly to the applicable tax authorities or to the Company and/or the Employer. The Participant acknowledges that, regardless of any action taken by the Company, the Employer, or any Affiliate the ultimate liability for all Tax-Related Items, is and remains the Participant’s responsibility and may exceed the amount, if any, actually withheld by the Company or the Employer. The Company may refuse to issue or deliver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10</w:t>
      </w:r>
    </w:p>
    <w:p>
      <w:pPr>
        <w:spacing w:after="0" w:line="395" w:lineRule="exact"/>
        <w:rPr>
          <w:sz w:val="20"/>
          <w:szCs w:val="20"/>
          <w:color w:val="auto"/>
        </w:rPr>
      </w:pPr>
    </w:p>
    <w:p>
      <w:pPr>
        <w:ind w:left="300" w:right="519"/>
        <w:spacing w:after="0" w:line="271" w:lineRule="auto"/>
        <w:rPr>
          <w:sz w:val="20"/>
          <w:szCs w:val="20"/>
          <w:color w:val="auto"/>
        </w:rPr>
      </w:pPr>
      <w:r>
        <w:rPr>
          <w:rFonts w:ascii="Times New Roman" w:cs="Times New Roman" w:eastAsia="Times New Roman" w:hAnsi="Times New Roman"/>
          <w:sz w:val="22"/>
          <w:szCs w:val="22"/>
          <w:color w:val="auto"/>
        </w:rPr>
        <w:t>Shares or the proceeds from the sale of Shares, if the Participant fails to comply with his or her obligations in connection with the Tax-Related Items.</w:t>
      </w:r>
    </w:p>
    <w:p>
      <w:pPr>
        <w:spacing w:after="0" w:line="1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[CHIEF EXECUTIVE OFFICER ONLY:</w:t>
      </w:r>
    </w:p>
    <w:p>
      <w:pPr>
        <w:spacing w:after="0" w:line="233" w:lineRule="exact"/>
        <w:rPr>
          <w:sz w:val="20"/>
          <w:szCs w:val="20"/>
          <w:color w:val="auto"/>
        </w:rPr>
      </w:pPr>
    </w:p>
    <w:p>
      <w:pPr>
        <w:ind w:left="1600" w:hanging="642"/>
        <w:spacing w:after="0"/>
        <w:tabs>
          <w:tab w:leader="none" w:pos="1600"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 Venue</w:t>
      </w:r>
      <w:r>
        <w:rPr>
          <w:rFonts w:ascii="Times New Roman" w:cs="Times New Roman" w:eastAsia="Times New Roman" w:hAnsi="Times New Roman"/>
          <w:sz w:val="21"/>
          <w:szCs w:val="21"/>
          <w:color w:val="auto"/>
        </w:rPr>
        <w:t xml:space="preserve"> . Section 15 (Governing Law) and Section 17 (Arbitration)</w:t>
      </w:r>
    </w:p>
    <w:p>
      <w:pPr>
        <w:sectPr>
          <w:pgSz w:w="11900" w:h="16838" w:orient="portrait"/>
          <w:cols w:equalWidth="0" w:num="1">
            <w:col w:w="9019"/>
          </w:cols>
          <w:pgMar w:left="1440" w:top="71" w:right="1440" w:bottom="0" w:gutter="0" w:footer="0" w:header="0"/>
        </w:sectPr>
      </w:pPr>
    </w:p>
    <w:bookmarkStart w:id="141" w:name="page142"/>
    <w:bookmarkEnd w:id="141"/>
    <w:p>
      <w:pPr>
        <w:ind w:left="300" w:right="339"/>
        <w:spacing w:after="0" w:line="226" w:lineRule="auto"/>
        <w:rPr>
          <w:sz w:val="20"/>
          <w:szCs w:val="20"/>
          <w:color w:val="auto"/>
        </w:rPr>
      </w:pPr>
      <w:r>
        <w:rPr>
          <w:rFonts w:ascii="Times New Roman" w:cs="Times New Roman" w:eastAsia="Times New Roman" w:hAnsi="Times New Roman"/>
          <w:sz w:val="21"/>
          <w:szCs w:val="21"/>
          <w:color w:val="auto"/>
        </w:rPr>
        <w:t>of the Employment Agreement by and between the Participant and The Carlyle Group Employee Co., L.L.C. dated February 5, 2023 (the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are hereby incorporated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-245110</wp:posOffset>
            </wp:positionV>
            <wp:extent cx="7132320" cy="105156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21"/>
          <w:szCs w:val="21"/>
          <w:color w:val="auto"/>
        </w:rPr>
        <w:t xml:space="preserve">reference herein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xml:space="preserve"> and shall apply to this Award Agreement as if set forth herein.</w:t>
      </w:r>
    </w:p>
    <w:p>
      <w:pPr>
        <w:spacing w:after="0" w:line="207" w:lineRule="exact"/>
        <w:rPr>
          <w:sz w:val="20"/>
          <w:szCs w:val="20"/>
          <w:color w:val="auto"/>
        </w:rPr>
      </w:pPr>
    </w:p>
    <w:p>
      <w:pPr>
        <w:ind w:left="1580" w:hanging="640"/>
        <w:spacing w:after="0"/>
        <w:tabs>
          <w:tab w:leader="none" w:pos="158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PARTICIPANTS:</w:t>
      </w:r>
    </w:p>
    <w:p>
      <w:pPr>
        <w:spacing w:after="0" w:line="219" w:lineRule="exact"/>
        <w:rPr>
          <w:rFonts w:ascii="Times New Roman" w:cs="Times New Roman" w:eastAsia="Times New Roman" w:hAnsi="Times New Roman"/>
          <w:sz w:val="22"/>
          <w:szCs w:val="22"/>
          <w:color w:val="auto"/>
        </w:rPr>
      </w:pPr>
    </w:p>
    <w:p>
      <w:pPr>
        <w:ind w:left="300" w:right="339" w:firstLine="658"/>
        <w:spacing w:after="0" w:line="260" w:lineRule="auto"/>
        <w:tabs>
          <w:tab w:leader="none" w:pos="1614"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 Venue</w:t>
      </w:r>
      <w:r>
        <w:rPr>
          <w:rFonts w:ascii="Times New Roman" w:cs="Times New Roman" w:eastAsia="Times New Roman" w:hAnsi="Times New Roman"/>
          <w:sz w:val="21"/>
          <w:szCs w:val="21"/>
          <w:color w:val="auto"/>
        </w:rPr>
        <w:t xml:space="preserve"> . The interpretation, performance and enforcement of this Award Agreement shall be governed by the law of the State of New York without regard to its conflict of law provisions. Any and all disputes, controversies or issues arising out of, concerning or relating to this Award, this Award Agreement or the relationship between the parties evidenced by the Award Agreement, including, without limitation, disputes, controversies or issues arising out of, concerning or relating to the construction, interpretation, breach or enforcement of this Award Agreement, shall be brought exclusively in the courts in the State of New York, City and County of New York, including the Federal Courts located therein (should Federal jurisdiction exist). Each of the parties hereby expressly represents and agrees that it/he/ she is subject to the personal jurisdiction of said courts, irrevocably consents to the personal jurisdiction of such courts; and waives to the fullest extent permitted by law any objection which it/he/she may now or hereafter have that the laying of the venue of any legal lawsuit or proceeding related to such dispute, controversy or issue that is brought in any such court is improper or that such lawsuit or proceeding has been brought in an inconvenient forum.</w:t>
      </w:r>
    </w:p>
    <w:p>
      <w:pPr>
        <w:spacing w:after="0" w:line="185" w:lineRule="exact"/>
        <w:rPr>
          <w:sz w:val="20"/>
          <w:szCs w:val="20"/>
          <w:color w:val="auto"/>
        </w:rPr>
      </w:pPr>
    </w:p>
    <w:p>
      <w:pPr>
        <w:ind w:left="300" w:right="459" w:firstLine="640"/>
        <w:spacing w:after="0" w:line="262" w:lineRule="auto"/>
        <w:tabs>
          <w:tab w:leader="none" w:pos="1596"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RIGHT TO JURY TRIAL</w:t>
      </w:r>
      <w:r>
        <w:rPr>
          <w:rFonts w:ascii="Times New Roman" w:cs="Times New Roman" w:eastAsia="Times New Roman" w:hAnsi="Times New Roman"/>
          <w:sz w:val="21"/>
          <w:szCs w:val="21"/>
          <w:color w:val="auto"/>
        </w:rPr>
        <w:t xml:space="preserve"> . AS SPECIFICALLY BARGAINED FOR INDUCEMENT FOR EACH OF THE PARTIES HERETO TO ENTER INTO THIS AWARD AGREEMENT (AFTER HAVING THE OPPORTUNITY TO CONSULT WITH COUNSEL OF ITS/HIS/HER CHOICE), EACH PARTY EXPRESSLY WAIVES THE RIGHT TO TRIAL BY JURY IN ANY LAWSUIT OR PROCEEDING ARISING OUT OF, CONCERNING OR RELATING TO THIS AWARD, THIS AWARD AGREEMENT, THE RELATIONSHIP BETWEEN THE PARTIES EVIDENCED BY THIS AWARD AGREEMENT AND/OR THE MATTERS CONTEMPLATED THEREBY.]</w:t>
      </w:r>
    </w:p>
    <w:p>
      <w:pPr>
        <w:spacing w:after="0" w:line="172" w:lineRule="exact"/>
        <w:rPr>
          <w:rFonts w:ascii="Times New Roman" w:cs="Times New Roman" w:eastAsia="Times New Roman" w:hAnsi="Times New Roman"/>
          <w:sz w:val="21"/>
          <w:szCs w:val="21"/>
          <w:color w:val="auto"/>
        </w:rPr>
      </w:pPr>
    </w:p>
    <w:p>
      <w:pPr>
        <w:ind w:left="300" w:right="319" w:firstLine="640"/>
        <w:spacing w:after="0" w:line="253" w:lineRule="auto"/>
        <w:tabs>
          <w:tab w:leader="none" w:pos="159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Subject to Plan</w:t>
      </w:r>
      <w:r>
        <w:rPr>
          <w:rFonts w:ascii="Times New Roman" w:cs="Times New Roman" w:eastAsia="Times New Roman" w:hAnsi="Times New Roman"/>
          <w:sz w:val="22"/>
          <w:szCs w:val="22"/>
          <w:color w:val="auto"/>
        </w:rPr>
        <w:t>. By entering into this Award Agreement, the Participant agrees and acknowledges that the Participant has received and read a copy of the Plan. All PSUs and Shares issued or transferred with respect thereof are subject to the Plan. In the event of a conflict between any term or provision contained herein and a term or provision of the Plan, the applicable terms and provisions of the Plan will govern and prevail.</w:t>
      </w:r>
    </w:p>
    <w:p>
      <w:pPr>
        <w:spacing w:after="0" w:line="178" w:lineRule="exact"/>
        <w:rPr>
          <w:rFonts w:ascii="Times New Roman" w:cs="Times New Roman" w:eastAsia="Times New Roman" w:hAnsi="Times New Roman"/>
          <w:sz w:val="22"/>
          <w:szCs w:val="22"/>
          <w:color w:val="auto"/>
        </w:rPr>
      </w:pPr>
    </w:p>
    <w:p>
      <w:pPr>
        <w:ind w:left="300" w:right="599" w:firstLine="658"/>
        <w:spacing w:after="0" w:line="295" w:lineRule="auto"/>
        <w:tabs>
          <w:tab w:leader="none" w:pos="1614"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Award Agreement contains the entire understanding between the parties with respect to the PSUs granted hereunder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22"/>
          <w:szCs w:val="22"/>
          <w:color w:val="auto"/>
        </w:rPr>
        <w:t>11</w:t>
      </w:r>
    </w:p>
    <w:p>
      <w:pPr>
        <w:spacing w:after="0" w:line="395" w:lineRule="exact"/>
        <w:rPr>
          <w:sz w:val="20"/>
          <w:szCs w:val="20"/>
          <w:color w:val="auto"/>
        </w:rPr>
      </w:pPr>
    </w:p>
    <w:p>
      <w:pPr>
        <w:ind w:left="300" w:right="339"/>
        <w:spacing w:after="0" w:line="250" w:lineRule="auto"/>
        <w:rPr>
          <w:sz w:val="20"/>
          <w:szCs w:val="20"/>
          <w:color w:val="auto"/>
        </w:rPr>
      </w:pPr>
      <w:r>
        <w:rPr>
          <w:rFonts w:ascii="Times New Roman" w:cs="Times New Roman" w:eastAsia="Times New Roman" w:hAnsi="Times New Roman"/>
          <w:sz w:val="22"/>
          <w:szCs w:val="22"/>
          <w:color w:val="auto"/>
        </w:rPr>
        <w:t xml:space="preserve">the vesting and delivery schedules and other terms described herein and in each Appendix attached hereto), and hereby replaces and supersedes any prior communication and arrangements between the Participant and the Company or any of its Affiliates with respect to the matters set forth herein and any other pre-existing economic or other arrangements between the Participant and the Company or any of its Affiliates, </w:t>
      </w:r>
      <w:r>
        <w:rPr>
          <w:rFonts w:ascii="Times New Roman" w:cs="Times New Roman" w:eastAsia="Times New Roman" w:hAnsi="Times New Roman"/>
          <w:sz w:val="22"/>
          <w:szCs w:val="22"/>
          <w:u w:val="single" w:color="auto"/>
          <w:color w:val="auto"/>
        </w:rPr>
        <w:t>unless</w:t>
      </w:r>
      <w:r>
        <w:rPr>
          <w:rFonts w:ascii="Times New Roman" w:cs="Times New Roman" w:eastAsia="Times New Roman" w:hAnsi="Times New Roman"/>
          <w:sz w:val="22"/>
          <w:szCs w:val="22"/>
          <w:color w:val="auto"/>
        </w:rPr>
        <w:t xml:space="preserve"> otherwise explicitly provided for in any other agreement that the Participant has entered into with the Company or any of its Affiliates and that is set forth on Schedule A hereto. Unless set forth on Schedule A hereto, no such other agreement entered into prior to the Date of Grant shall have any effect on the terms of this Award Agreement.</w:t>
      </w:r>
    </w:p>
    <w:p>
      <w:pPr>
        <w:spacing w:after="0" w:line="180" w:lineRule="exact"/>
        <w:rPr>
          <w:sz w:val="20"/>
          <w:szCs w:val="20"/>
          <w:color w:val="auto"/>
        </w:rPr>
      </w:pPr>
    </w:p>
    <w:p>
      <w:pPr>
        <w:ind w:left="300" w:right="399" w:firstLine="658"/>
        <w:spacing w:after="0" w:line="268" w:lineRule="auto"/>
        <w:tabs>
          <w:tab w:leader="none" w:pos="1614"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Modifications</w:t>
      </w:r>
      <w:r>
        <w:rPr>
          <w:rFonts w:ascii="Times New Roman" w:cs="Times New Roman" w:eastAsia="Times New Roman" w:hAnsi="Times New Roman"/>
          <w:sz w:val="21"/>
          <w:szCs w:val="21"/>
          <w:color w:val="auto"/>
        </w:rPr>
        <w:t>. Notwithstanding any provision of this Award Agreement to the contrary, the Company reserves the right to modify the terms and conditions of this Award Agreement, including, without limitation, the timing or circumstances of the issuance or transfer of Shares to the Participant hereunder, to the extent such modification is determined by the</w:t>
      </w:r>
    </w:p>
    <w:p>
      <w:pPr>
        <w:sectPr>
          <w:pgSz w:w="11900" w:h="16838" w:orient="portrait"/>
          <w:cols w:equalWidth="0" w:num="1">
            <w:col w:w="9019"/>
          </w:cols>
          <w:pgMar w:left="1440" w:top="71" w:right="1440" w:bottom="0" w:gutter="0" w:footer="0" w:header="0"/>
        </w:sectPr>
      </w:pPr>
    </w:p>
    <w:bookmarkStart w:id="142" w:name="page143"/>
    <w:bookmarkEnd w:id="142"/>
    <w:p>
      <w:pPr>
        <w:spacing w:after="0" w:line="36" w:lineRule="exact"/>
        <w:rPr>
          <w:sz w:val="20"/>
          <w:szCs w:val="20"/>
          <w:color w:val="auto"/>
        </w:rPr>
      </w:pPr>
    </w:p>
    <w:p>
      <w:pPr>
        <w:ind w:left="300" w:right="559"/>
        <w:spacing w:after="0" w:line="207" w:lineRule="auto"/>
        <w:rPr>
          <w:sz w:val="20"/>
          <w:szCs w:val="20"/>
          <w:color w:val="auto"/>
        </w:rPr>
      </w:pPr>
      <w:r>
        <w:rPr>
          <w:rFonts w:ascii="Times New Roman" w:cs="Times New Roman" w:eastAsia="Times New Roman" w:hAnsi="Times New Roman"/>
          <w:sz w:val="21"/>
          <w:szCs w:val="21"/>
          <w:color w:val="auto"/>
        </w:rPr>
        <w:t>Company to be necessary to comply with applicable law or preserve the intended deferral of income recognition with respect to the PSUs until the issuance or transfer of Shares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-220980</wp:posOffset>
            </wp:positionV>
            <wp:extent cx="7132320" cy="105156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71" w:lineRule="exact"/>
        <w:rPr>
          <w:sz w:val="20"/>
          <w:szCs w:val="20"/>
          <w:color w:val="auto"/>
        </w:rPr>
      </w:pPr>
    </w:p>
    <w:p>
      <w:pPr>
        <w:ind w:left="300" w:right="459" w:firstLine="658"/>
        <w:spacing w:after="0" w:line="253" w:lineRule="auto"/>
        <w:tabs>
          <w:tab w:leader="none" w:pos="161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Signature in Counterparts; Electronic Acceptance</w:t>
      </w:r>
      <w:r>
        <w:rPr>
          <w:rFonts w:ascii="Times New Roman" w:cs="Times New Roman" w:eastAsia="Times New Roman" w:hAnsi="Times New Roman"/>
          <w:sz w:val="22"/>
          <w:szCs w:val="22"/>
          <w:color w:val="auto"/>
        </w:rPr>
        <w:t>. This Award Agreement may be signed in counterparts, each of which shall be an original, with the same effect as if the signatures thereto and hereto were upon the same instrument. Alternatively, this Award Agreement may be granted to and accepted by the Participant electronically (including, without limitation, via DocuSign or through the Morgan Stanley website).</w:t>
      </w:r>
    </w:p>
    <w:p>
      <w:pPr>
        <w:spacing w:after="0" w:line="178" w:lineRule="exact"/>
        <w:rPr>
          <w:rFonts w:ascii="Times New Roman" w:cs="Times New Roman" w:eastAsia="Times New Roman" w:hAnsi="Times New Roman"/>
          <w:sz w:val="22"/>
          <w:szCs w:val="22"/>
          <w:color w:val="auto"/>
        </w:rPr>
      </w:pPr>
    </w:p>
    <w:p>
      <w:pPr>
        <w:ind w:left="300" w:right="419" w:firstLine="658"/>
        <w:spacing w:after="0" w:line="253" w:lineRule="auto"/>
        <w:tabs>
          <w:tab w:leader="none" w:pos="161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8" w:lineRule="exact"/>
        <w:rPr>
          <w:rFonts w:ascii="Times New Roman" w:cs="Times New Roman" w:eastAsia="Times New Roman" w:hAnsi="Times New Roman"/>
          <w:sz w:val="22"/>
          <w:szCs w:val="22"/>
          <w:color w:val="auto"/>
        </w:rPr>
      </w:pPr>
    </w:p>
    <w:p>
      <w:pPr>
        <w:ind w:left="300" w:right="299" w:firstLine="658"/>
        <w:spacing w:after="0" w:line="248" w:lineRule="auto"/>
        <w:tabs>
          <w:tab w:leader="none" w:pos="161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Notwithstanding any other provision of this Award Agreement, unless there is an available exemption from any registration, qualification or other legal requirement applicable to the Shares, the Company shall not be required to deliver any Shares issuable upon settlement of the PSUs prior to the completion of any registration or qualification of the Shares under any local, state, federal or foreign securities or exchange control law or under rulings or regulations of the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Participant understands that the Company is under no obligation to register or qualify the Shares with the SEC or any state or foreign securities commission or to seek approval or clearance from any governmental authority for the issuance or sale of the Shares. Further, the Participant agrees that the Company shall have unilateral authority to amend the Plan and the Award Agreement without the Participant’s consent to the extent necessary to comply with securities or other laws applicable to issuance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12</w:t>
      </w:r>
    </w:p>
    <w:p>
      <w:pPr>
        <w:spacing w:after="0" w:line="395" w:lineRule="exact"/>
        <w:rPr>
          <w:sz w:val="20"/>
          <w:szCs w:val="20"/>
          <w:color w:val="auto"/>
        </w:rPr>
      </w:pPr>
    </w:p>
    <w:p>
      <w:pPr>
        <w:ind w:left="300" w:right="319" w:firstLine="658"/>
        <w:spacing w:after="0" w:line="250" w:lineRule="auto"/>
        <w:tabs>
          <w:tab w:leader="none" w:pos="161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The Participant acknowledges that he or she is sufficiently proficient in English, or has consulted with an advisor who is sufficiently proficient in English, so as to allow the Participant to understand the terms and conditions of this Award Agreement. Furthermore, if the Participant has received this Award Agreement or any other document related to the Plan translated into a language other than English and if the meaning of the translated version is different than the English version, the English version will control, unless otherwise required by applicable law.</w:t>
      </w:r>
    </w:p>
    <w:p>
      <w:pPr>
        <w:spacing w:after="0" w:line="180" w:lineRule="exact"/>
        <w:rPr>
          <w:rFonts w:ascii="Times New Roman" w:cs="Times New Roman" w:eastAsia="Times New Roman" w:hAnsi="Times New Roman"/>
          <w:sz w:val="22"/>
          <w:szCs w:val="22"/>
          <w:color w:val="auto"/>
        </w:rPr>
      </w:pPr>
    </w:p>
    <w:p>
      <w:pPr>
        <w:jc w:val="both"/>
        <w:ind w:left="300" w:right="579" w:firstLine="658"/>
        <w:spacing w:after="0" w:line="263" w:lineRule="auto"/>
        <w:tabs>
          <w:tab w:leader="none" w:pos="161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Award Agreement are severable and if any one or more provisions are determined to be illegal or otherwise unenforceable, in whole or in part, the remaining provisions shall nevertheless be binding and enforceable.</w:t>
      </w:r>
    </w:p>
    <w:p>
      <w:pPr>
        <w:spacing w:after="0" w:line="167" w:lineRule="exact"/>
        <w:rPr>
          <w:rFonts w:ascii="Times New Roman" w:cs="Times New Roman" w:eastAsia="Times New Roman" w:hAnsi="Times New Roman"/>
          <w:sz w:val="22"/>
          <w:szCs w:val="22"/>
          <w:color w:val="auto"/>
        </w:rPr>
      </w:pPr>
    </w:p>
    <w:p>
      <w:pPr>
        <w:ind w:left="300" w:right="399" w:firstLine="658"/>
        <w:spacing w:after="0" w:line="250" w:lineRule="auto"/>
        <w:tabs>
          <w:tab w:leader="none" w:pos="161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Appendix</w:t>
      </w:r>
      <w:r>
        <w:rPr>
          <w:rFonts w:ascii="Times New Roman" w:cs="Times New Roman" w:eastAsia="Times New Roman" w:hAnsi="Times New Roman"/>
          <w:sz w:val="22"/>
          <w:szCs w:val="22"/>
          <w:color w:val="auto"/>
        </w:rPr>
        <w:t>. Notwithstanding any provisions in this Award Agreement, the PSUs granted herein shall be subject to any additional terms and conditions set forth in each Appendix to this Award Agreement for the Participant’s country. Moreover, if the Participant relocates to another country, any additional terms and conditions for such country will apply to the Participant, to the extent the Company determines that the application of such terms and conditions is necessary or advisable for legal or administrative reasons. Each Appendix hereto constitutes part of this Award Agreement.</w:t>
      </w:r>
    </w:p>
    <w:p>
      <w:pPr>
        <w:spacing w:after="0" w:line="180" w:lineRule="exact"/>
        <w:rPr>
          <w:rFonts w:ascii="Times New Roman" w:cs="Times New Roman" w:eastAsia="Times New Roman" w:hAnsi="Times New Roman"/>
          <w:sz w:val="22"/>
          <w:szCs w:val="22"/>
          <w:color w:val="auto"/>
        </w:rPr>
      </w:pPr>
    </w:p>
    <w:p>
      <w:pPr>
        <w:ind w:left="300" w:right="439" w:firstLine="658"/>
        <w:spacing w:after="0" w:line="281" w:lineRule="auto"/>
        <w:tabs>
          <w:tab w:leader="none" w:pos="1614"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Imposition of Other Requirements</w:t>
      </w:r>
      <w:r>
        <w:rPr>
          <w:rFonts w:ascii="Times New Roman" w:cs="Times New Roman" w:eastAsia="Times New Roman" w:hAnsi="Times New Roman"/>
          <w:sz w:val="21"/>
          <w:szCs w:val="21"/>
          <w:color w:val="auto"/>
        </w:rPr>
        <w:t>. The Company reserves the right to impose other requirements on the Participant’s participation in the Plan, on the PSUs and on any Shares acquired under the Plan, to the extent the Company determines it is necessary or advisable for</w:t>
      </w:r>
    </w:p>
    <w:p>
      <w:pPr>
        <w:sectPr>
          <w:pgSz w:w="11900" w:h="16875" w:orient="portrait"/>
          <w:cols w:equalWidth="0" w:num="1">
            <w:col w:w="9019"/>
          </w:cols>
          <w:pgMar w:left="1440" w:top="71" w:right="1440" w:bottom="0" w:gutter="0" w:footer="0" w:header="0"/>
        </w:sectPr>
      </w:pPr>
    </w:p>
    <w:bookmarkStart w:id="143" w:name="page144"/>
    <w:bookmarkEnd w:id="143"/>
    <w:p>
      <w:pPr>
        <w:ind w:left="300" w:right="499"/>
        <w:spacing w:after="0" w:line="236" w:lineRule="auto"/>
        <w:rPr>
          <w:sz w:val="20"/>
          <w:szCs w:val="20"/>
          <w:color w:val="auto"/>
        </w:rPr>
      </w:pPr>
      <w:r>
        <w:rPr>
          <w:rFonts w:ascii="Times New Roman" w:cs="Times New Roman" w:eastAsia="Times New Roman" w:hAnsi="Times New Roman"/>
          <w:sz w:val="22"/>
          <w:szCs w:val="22"/>
          <w:color w:val="auto"/>
        </w:rPr>
        <w:t>legal or administrative reasons, and to require the Participant to sign any additional agreements or undertakings that may be necessary to accomplish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-272415</wp:posOffset>
            </wp:positionV>
            <wp:extent cx="7132320" cy="105156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71" w:lineRule="exact"/>
        <w:rPr>
          <w:sz w:val="20"/>
          <w:szCs w:val="20"/>
          <w:color w:val="auto"/>
        </w:rPr>
      </w:pPr>
    </w:p>
    <w:p>
      <w:pPr>
        <w:ind w:left="300" w:right="459" w:firstLine="658"/>
        <w:spacing w:after="0" w:line="256" w:lineRule="auto"/>
        <w:tabs>
          <w:tab w:leader="none" w:pos="1614"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Participant acknowledges that a waiver by the Company of breach of any provision of this Award Agreement shall not operate or be construed as a waiver of any other provision of this Award Agreement, or of any subsequent breach by the Participant or any other participant.</w:t>
      </w:r>
    </w:p>
    <w:p>
      <w:pPr>
        <w:spacing w:after="0" w:line="176" w:lineRule="exact"/>
        <w:rPr>
          <w:rFonts w:ascii="Times New Roman" w:cs="Times New Roman" w:eastAsia="Times New Roman" w:hAnsi="Times New Roman"/>
          <w:sz w:val="22"/>
          <w:szCs w:val="22"/>
          <w:color w:val="auto"/>
        </w:rPr>
      </w:pPr>
    </w:p>
    <w:p>
      <w:pPr>
        <w:ind w:left="300" w:right="319" w:firstLine="658"/>
        <w:spacing w:after="0" w:line="261" w:lineRule="auto"/>
        <w:tabs>
          <w:tab w:leader="none" w:pos="1614"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Insider Trading Restrictions/Market Abuse Laws</w:t>
      </w:r>
      <w:r>
        <w:rPr>
          <w:rFonts w:ascii="Times New Roman" w:cs="Times New Roman" w:eastAsia="Times New Roman" w:hAnsi="Times New Roman"/>
          <w:sz w:val="21"/>
          <w:szCs w:val="21"/>
          <w:color w:val="auto"/>
        </w:rPr>
        <w:t>. The Participant acknowledges that, depending on his or her country of residence, or broker’s country of residence, or where the Shares are listed, Participant may be subject to insider trading restrictions and/or market abuse laws, which may affect the Participant’s ability to directly or indirectly, accept, acquire, sell, or attempt to sell or otherwise dispose of Shares or rights to Shares (e.g., PSUs) under the Plan during such times as Participant is considered to have “inside information” regarding the Company (as defined by the laws or regulations in applicable jurisdictions or Participant’s country). Local insider trading laws and regulations may prohibit the cancellation or amendment of orders placed by the Participant before possessing inside information. Furthermore, the Participant understands that he or she may be prohibited from (i) disclosing the inside information to any third party, including fellow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13</w:t>
      </w:r>
    </w:p>
    <w:p>
      <w:pPr>
        <w:spacing w:after="0" w:line="395" w:lineRule="exact"/>
        <w:rPr>
          <w:sz w:val="20"/>
          <w:szCs w:val="20"/>
          <w:color w:val="auto"/>
        </w:rPr>
      </w:pPr>
    </w:p>
    <w:p>
      <w:pPr>
        <w:ind w:left="300" w:right="559"/>
        <w:spacing w:after="0" w:line="271" w:lineRule="auto"/>
        <w:rPr>
          <w:sz w:val="20"/>
          <w:szCs w:val="20"/>
          <w:color w:val="auto"/>
        </w:rPr>
      </w:pPr>
      <w:r>
        <w:rPr>
          <w:rFonts w:ascii="Times New Roman" w:cs="Times New Roman" w:eastAsia="Times New Roman" w:hAnsi="Times New Roman"/>
          <w:sz w:val="22"/>
          <w:szCs w:val="22"/>
          <w:color w:val="auto"/>
        </w:rPr>
        <w:t>acknowledges that it is his or her responsibility to comply with any applicable restrictions, and the Participant should speak to his or her personal advisor on this matter.</w:t>
      </w:r>
    </w:p>
    <w:p>
      <w:pPr>
        <w:spacing w:after="0" w:line="158" w:lineRule="exact"/>
        <w:rPr>
          <w:sz w:val="20"/>
          <w:szCs w:val="20"/>
          <w:color w:val="auto"/>
        </w:rPr>
      </w:pPr>
    </w:p>
    <w:p>
      <w:pPr>
        <w:ind w:left="300" w:right="359" w:firstLine="640"/>
        <w:spacing w:after="0" w:line="249" w:lineRule="auto"/>
        <w:tabs>
          <w:tab w:leader="none" w:pos="1596"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Asset/Account Reporting</w:t>
      </w:r>
      <w:r>
        <w:rPr>
          <w:rFonts w:ascii="Times New Roman" w:cs="Times New Roman" w:eastAsia="Times New Roman" w:hAnsi="Times New Roman"/>
          <w:sz w:val="22"/>
          <w:szCs w:val="22"/>
          <w:color w:val="auto"/>
        </w:rPr>
        <w:t>. The Participant’s country of residence may have certain foreign asset and/or account reporting requirements which may affect his or her ability to acquire or hold PSUs under the Plan or cash received from participating in the Plan (including sales proceeds arising from the sale of Shares) in a brokerage or bank account outside the Participant’s country. The Participant may be required to report such amounts, assets or transactions to the tax or other authorities in his or her country. The Participant also may be required to repatriate sale proceeds or other funds received as a result of participation in the Plan to the Participant’s country through a designated broker or bank within a certain time after receipt. The Participant is responsible for ensuring compliance with such regulations and should speak with his or her personal legal advisor regarding this matter.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71" w:right="1440" w:bottom="1440" w:gutter="0" w:footer="0" w:header="0"/>
        </w:sectPr>
      </w:pPr>
    </w:p>
    <w:bookmarkStart w:id="144" w:name="page145"/>
    <w:bookmarkEnd w:id="1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Award Agreement.</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THE CARLYLE GROUP INC.</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____________________________________</w:t>
      </w:r>
    </w:p>
    <w:p>
      <w:pPr>
        <w:spacing w:after="0" w:line="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spacing w:after="0" w:line="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Name:</w:t>
      </w:r>
    </w:p>
    <w:p>
      <w:pPr>
        <w:sectPr>
          <w:pgSz w:w="11900" w:h="16838" w:orient="portrait"/>
          <w:cols w:equalWidth="0" w:num="1">
            <w:col w:w="9019"/>
          </w:cols>
          <w:pgMar w:left="1440" w:top="1440" w:right="1440" w:bottom="1440" w:gutter="0" w:footer="0" w:header="0"/>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i w:val="1"/>
          <w:iCs w:val="1"/>
          <w:color w:val="auto"/>
        </w:rPr>
        <w:t>[Signature Page to PSU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15</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AND VESTING TERMS</w:t>
      </w:r>
    </w:p>
    <w:p>
      <w:pPr>
        <w:spacing w:after="0" w:line="224" w:lineRule="exact"/>
        <w:rPr>
          <w:sz w:val="20"/>
          <w:szCs w:val="20"/>
          <w:color w:val="auto"/>
        </w:rPr>
      </w:pPr>
    </w:p>
    <w:p>
      <w:pPr>
        <w:ind w:left="300" w:right="539"/>
        <w:spacing w:after="0" w:line="284" w:lineRule="auto"/>
        <w:rPr>
          <w:sz w:val="20"/>
          <w:szCs w:val="20"/>
          <w:color w:val="auto"/>
        </w:rPr>
      </w:pPr>
      <w:r>
        <w:rPr>
          <w:rFonts w:ascii="Times New Roman" w:cs="Times New Roman" w:eastAsia="Times New Roman" w:hAnsi="Times New Roman"/>
          <w:sz w:val="22"/>
          <w:szCs w:val="22"/>
          <w:color w:val="auto"/>
        </w:rPr>
        <w:t xml:space="preserve">The PSUs granted pursuant to this Award Agreement shall be eligible to become earned and to vest pursuant to the terms described in this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Determination of Earned PSUs</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i w:val="1"/>
          <w:iCs w:val="1"/>
          <w:color w:val="auto"/>
        </w:rPr>
        <w:t>Framework</w:t>
      </w:r>
    </w:p>
    <w:p>
      <w:pPr>
        <w:spacing w:after="0" w:line="224" w:lineRule="exact"/>
        <w:rPr>
          <w:sz w:val="20"/>
          <w:szCs w:val="20"/>
          <w:color w:val="auto"/>
        </w:rPr>
      </w:pPr>
    </w:p>
    <w:p>
      <w:pPr>
        <w:ind w:left="300" w:right="479"/>
        <w:spacing w:after="0" w:line="263" w:lineRule="auto"/>
        <w:rPr>
          <w:sz w:val="20"/>
          <w:szCs w:val="20"/>
          <w:color w:val="auto"/>
        </w:rPr>
      </w:pPr>
      <w:r>
        <w:rPr>
          <w:rFonts w:ascii="Times New Roman" w:cs="Times New Roman" w:eastAsia="Times New Roman" w:hAnsi="Times New Roman"/>
          <w:sz w:val="22"/>
          <w:szCs w:val="22"/>
          <w:color w:val="auto"/>
        </w:rPr>
        <w:t>The PSUs shall be eligible to be earned, subject to the terms of the Award Agreement, based on the achievement of the performance conditions described below. The Award shall be divided into five Tranches as follows:</w:t>
      </w:r>
    </w:p>
    <w:p>
      <w:pPr>
        <w:spacing w:after="0" w:line="163" w:lineRule="exact"/>
        <w:rPr>
          <w:sz w:val="20"/>
          <w:szCs w:val="20"/>
          <w:color w:val="auto"/>
        </w:rPr>
      </w:pPr>
    </w:p>
    <w:p>
      <w:pPr>
        <w:ind w:left="300" w:right="39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Tranche</w:t>
      </w:r>
      <w:r>
        <w:rPr>
          <w:rFonts w:ascii="Times New Roman" w:cs="Times New Roman" w:eastAsia="Times New Roman" w:hAnsi="Times New Roman"/>
          <w:sz w:val="22"/>
          <w:szCs w:val="22"/>
          <w:color w:val="auto"/>
        </w:rPr>
        <w:t>” means one-third (1/3) of the total number of PSUs subject to the Award, which PSUs shall be earned upon achievement of the First Stock Price Hurdle.</w:t>
      </w:r>
    </w:p>
    <w:p>
      <w:pPr>
        <w:spacing w:after="0" w:line="149" w:lineRule="exact"/>
        <w:rPr>
          <w:sz w:val="20"/>
          <w:szCs w:val="20"/>
          <w:color w:val="auto"/>
        </w:rPr>
      </w:pPr>
    </w:p>
    <w:p>
      <w:pPr>
        <w:ind w:left="300" w:right="75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Second Tranche</w:t>
      </w:r>
      <w:r>
        <w:rPr>
          <w:rFonts w:ascii="Times New Roman" w:cs="Times New Roman" w:eastAsia="Times New Roman" w:hAnsi="Times New Roman"/>
          <w:sz w:val="22"/>
          <w:szCs w:val="22"/>
          <w:color w:val="auto"/>
        </w:rPr>
        <w:t xml:space="preserve"> ” means one-third (1/3) of the total number of PSUs subject to the Award, which PSUs shall be earned upon achievement of the Second Stock Price Hurdle.</w:t>
      </w:r>
    </w:p>
    <w:p>
      <w:pPr>
        <w:spacing w:after="0" w:line="163" w:lineRule="exact"/>
        <w:rPr>
          <w:sz w:val="20"/>
          <w:szCs w:val="20"/>
          <w:color w:val="auto"/>
        </w:rPr>
      </w:pPr>
    </w:p>
    <w:p>
      <w:pPr>
        <w:ind w:left="300" w:right="87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Tranche</w:t>
      </w:r>
      <w:r>
        <w:rPr>
          <w:rFonts w:ascii="Times New Roman" w:cs="Times New Roman" w:eastAsia="Times New Roman" w:hAnsi="Times New Roman"/>
          <w:sz w:val="22"/>
          <w:szCs w:val="22"/>
          <w:color w:val="auto"/>
        </w:rPr>
        <w:t>” means one-third (1/3) of the total number of PSUs subject to the Award, which PSUs shall be earned upon achievement of the Third Stock Price Hurdle.</w:t>
      </w:r>
    </w:p>
    <w:p>
      <w:pPr>
        <w:spacing w:after="0" w:line="153" w:lineRule="exact"/>
        <w:rPr>
          <w:sz w:val="20"/>
          <w:szCs w:val="20"/>
          <w:color w:val="auto"/>
        </w:rPr>
      </w:pPr>
    </w:p>
    <w:p>
      <w:pPr>
        <w:jc w:val="both"/>
        <w:ind w:left="300" w:right="439"/>
        <w:spacing w:after="0" w:line="257" w:lineRule="auto"/>
        <w:rPr>
          <w:sz w:val="20"/>
          <w:szCs w:val="20"/>
          <w:color w:val="auto"/>
        </w:rPr>
      </w:pPr>
      <w:r>
        <w:rPr>
          <w:rFonts w:ascii="Times New Roman" w:cs="Times New Roman" w:eastAsia="Times New Roman" w:hAnsi="Times New Roman"/>
          <w:sz w:val="22"/>
          <w:szCs w:val="22"/>
          <w:color w:val="auto"/>
        </w:rPr>
        <w:t>Each of the First Tranche, the Second Tranche, and the Third Tranche, shall be earned upon the attainment of an Average Closing Stock Price equal to the corresponding Stock Price Hurdle set forth below.</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i w:val="1"/>
          <w:iCs w:val="1"/>
          <w:color w:val="auto"/>
        </w:rPr>
        <w:t>Stock Price Hurdles</w:t>
      </w:r>
    </w:p>
    <w:p>
      <w:pPr>
        <w:spacing w:after="0" w:line="268" w:lineRule="exact"/>
        <w:rPr>
          <w:sz w:val="20"/>
          <w:szCs w:val="20"/>
          <w:color w:val="auto"/>
        </w:rPr>
      </w:pPr>
    </w:p>
    <w:tbl>
      <w:tblPr>
        <w:tblLayout w:type="fixed"/>
        <w:tblInd w:w="1750" w:type="dxa"/>
        <w:tblCellMar>
          <w:top w:w="0" w:type="dxa"/>
          <w:left w:w="0" w:type="dxa"/>
          <w:bottom w:w="0" w:type="dxa"/>
          <w:right w:w="0" w:type="dxa"/>
        </w:tblCellMar>
      </w:tblPr>
      <w:tr>
        <w:trPr>
          <w:trHeight w:val="206"/>
        </w:trPr>
        <w:tc>
          <w:tcPr>
            <w:tcW w:w="1000" w:type="dxa"/>
            <w:vAlign w:val="bottom"/>
            <w:tcBorders>
              <w:top w:val="single" w:sz="8" w:color="auto"/>
              <w:left w:val="single" w:sz="8" w:color="auto"/>
            </w:tcBorders>
            <w:shd w:val="clear" w:color="auto" w:fill="D9D9D9"/>
          </w:tcPr>
          <w:p>
            <w:pPr>
              <w:spacing w:after="0"/>
              <w:rPr>
                <w:sz w:val="17"/>
                <w:szCs w:val="17"/>
                <w:color w:val="auto"/>
              </w:rPr>
            </w:pPr>
          </w:p>
        </w:tc>
        <w:tc>
          <w:tcPr>
            <w:tcW w:w="1780" w:type="dxa"/>
            <w:vAlign w:val="bottom"/>
            <w:tcBorders>
              <w:top w:val="single" w:sz="8" w:color="auto"/>
              <w:right w:val="single" w:sz="8" w:color="auto"/>
            </w:tcBorders>
            <w:gridSpan w:val="2"/>
            <w:shd w:val="clear" w:color="auto" w:fill="D9D9D9"/>
          </w:tcPr>
          <w:p>
            <w:pPr>
              <w:jc w:val="center"/>
              <w:ind w:right="1020"/>
              <w:spacing w:after="0" w:line="206" w:lineRule="exact"/>
              <w:rPr>
                <w:sz w:val="20"/>
                <w:szCs w:val="20"/>
                <w:color w:val="auto"/>
              </w:rPr>
            </w:pPr>
            <w:r>
              <w:rPr>
                <w:rFonts w:ascii="Times New Roman" w:cs="Times New Roman" w:eastAsia="Times New Roman" w:hAnsi="Times New Roman"/>
                <w:sz w:val="22"/>
                <w:szCs w:val="22"/>
                <w:b w:val="1"/>
                <w:bCs w:val="1"/>
                <w:color w:val="auto"/>
                <w:w w:val="95"/>
              </w:rPr>
              <w:t>Tranche</w:t>
            </w:r>
          </w:p>
        </w:tc>
        <w:tc>
          <w:tcPr>
            <w:tcW w:w="480" w:type="dxa"/>
            <w:vAlign w:val="bottom"/>
            <w:tcBorders>
              <w:top w:val="single" w:sz="8" w:color="auto"/>
            </w:tcBorders>
            <w:shd w:val="clear" w:color="auto" w:fill="D9D9D9"/>
          </w:tcPr>
          <w:p>
            <w:pPr>
              <w:spacing w:after="0"/>
              <w:rPr>
                <w:sz w:val="17"/>
                <w:szCs w:val="17"/>
                <w:color w:val="auto"/>
              </w:rPr>
            </w:pPr>
          </w:p>
        </w:tc>
        <w:tc>
          <w:tcPr>
            <w:tcW w:w="2280" w:type="dxa"/>
            <w:vAlign w:val="bottom"/>
            <w:tcBorders>
              <w:top w:val="single" w:sz="8" w:color="auto"/>
              <w:right w:val="single" w:sz="8" w:color="auto"/>
            </w:tcBorders>
            <w:gridSpan w:val="2"/>
            <w:shd w:val="clear" w:color="auto" w:fill="D9D9D9"/>
          </w:tcPr>
          <w:p>
            <w:pPr>
              <w:jc w:val="center"/>
              <w:ind w:right="520"/>
              <w:spacing w:after="0" w:line="206" w:lineRule="exact"/>
              <w:rPr>
                <w:sz w:val="20"/>
                <w:szCs w:val="20"/>
                <w:color w:val="auto"/>
              </w:rPr>
            </w:pPr>
            <w:r>
              <w:rPr>
                <w:rFonts w:ascii="Times New Roman" w:cs="Times New Roman" w:eastAsia="Times New Roman" w:hAnsi="Times New Roman"/>
                <w:sz w:val="22"/>
                <w:szCs w:val="22"/>
                <w:b w:val="1"/>
                <w:bCs w:val="1"/>
                <w:color w:val="auto"/>
                <w:w w:val="97"/>
              </w:rPr>
              <w:t>Stock Price Hurdle</w:t>
            </w:r>
          </w:p>
        </w:tc>
      </w:tr>
      <w:tr>
        <w:trPr>
          <w:trHeight w:val="264"/>
        </w:trPr>
        <w:tc>
          <w:tcPr>
            <w:tcW w:w="1000" w:type="dxa"/>
            <w:vAlign w:val="bottom"/>
            <w:tcBorders>
              <w:top w:val="single" w:sz="8" w:color="D9D9D9"/>
              <w:left w:val="single" w:sz="8" w:color="auto"/>
              <w:bottom w:val="single" w:sz="8" w:color="auto"/>
            </w:tcBorders>
            <w:shd w:val="clear" w:color="auto" w:fill="D9D9D9"/>
          </w:tcPr>
          <w:p>
            <w:pPr>
              <w:spacing w:after="0"/>
              <w:rPr>
                <w:sz w:val="22"/>
                <w:szCs w:val="22"/>
                <w:color w:val="auto"/>
              </w:rPr>
            </w:pPr>
          </w:p>
        </w:tc>
        <w:tc>
          <w:tcPr>
            <w:tcW w:w="760" w:type="dxa"/>
            <w:vAlign w:val="bottom"/>
            <w:tcBorders>
              <w:top w:val="single" w:sz="8" w:color="auto"/>
              <w:bottom w:val="single" w:sz="8" w:color="auto"/>
            </w:tcBorders>
            <w:shd w:val="clear" w:color="auto" w:fill="D9D9D9"/>
          </w:tcPr>
          <w:p>
            <w:pPr>
              <w:spacing w:after="0"/>
              <w:rPr>
                <w:sz w:val="22"/>
                <w:szCs w:val="22"/>
                <w:color w:val="auto"/>
              </w:rPr>
            </w:pPr>
          </w:p>
        </w:tc>
        <w:tc>
          <w:tcPr>
            <w:tcW w:w="1020" w:type="dxa"/>
            <w:vAlign w:val="bottom"/>
            <w:tcBorders>
              <w:top w:val="single" w:sz="8" w:color="D9D9D9"/>
              <w:bottom w:val="single" w:sz="8" w:color="auto"/>
              <w:right w:val="single" w:sz="8" w:color="auto"/>
            </w:tcBorders>
            <w:shd w:val="clear" w:color="auto" w:fill="D9D9D9"/>
          </w:tcPr>
          <w:p>
            <w:pPr>
              <w:spacing w:after="0"/>
              <w:rPr>
                <w:sz w:val="22"/>
                <w:szCs w:val="22"/>
                <w:color w:val="auto"/>
              </w:rPr>
            </w:pPr>
          </w:p>
        </w:tc>
        <w:tc>
          <w:tcPr>
            <w:tcW w:w="480" w:type="dxa"/>
            <w:vAlign w:val="bottom"/>
            <w:tcBorders>
              <w:top w:val="single" w:sz="8" w:color="D9D9D9"/>
              <w:bottom w:val="single" w:sz="8" w:color="auto"/>
            </w:tcBorders>
            <w:shd w:val="clear" w:color="auto" w:fill="D9D9D9"/>
          </w:tcPr>
          <w:p>
            <w:pPr>
              <w:spacing w:after="0"/>
              <w:rPr>
                <w:sz w:val="22"/>
                <w:szCs w:val="22"/>
                <w:color w:val="auto"/>
              </w:rPr>
            </w:pPr>
          </w:p>
        </w:tc>
        <w:tc>
          <w:tcPr>
            <w:tcW w:w="1760" w:type="dxa"/>
            <w:vAlign w:val="bottom"/>
            <w:tcBorders>
              <w:top w:val="single" w:sz="8" w:color="auto"/>
              <w:bottom w:val="single" w:sz="8" w:color="auto"/>
            </w:tcBorders>
            <w:shd w:val="clear" w:color="auto" w:fill="D9D9D9"/>
          </w:tcPr>
          <w:p>
            <w:pPr>
              <w:spacing w:after="0"/>
              <w:rPr>
                <w:sz w:val="22"/>
                <w:szCs w:val="22"/>
                <w:color w:val="auto"/>
              </w:rPr>
            </w:pPr>
          </w:p>
        </w:tc>
        <w:tc>
          <w:tcPr>
            <w:tcW w:w="520" w:type="dxa"/>
            <w:vAlign w:val="bottom"/>
            <w:tcBorders>
              <w:top w:val="single" w:sz="8" w:color="D9D9D9"/>
              <w:bottom w:val="single" w:sz="8" w:color="auto"/>
              <w:right w:val="single" w:sz="8" w:color="auto"/>
            </w:tcBorders>
            <w:shd w:val="clear" w:color="auto" w:fill="D9D9D9"/>
          </w:tcPr>
          <w:p>
            <w:pPr>
              <w:spacing w:after="0"/>
              <w:rPr>
                <w:sz w:val="22"/>
                <w:szCs w:val="22"/>
                <w:color w:val="auto"/>
              </w:rPr>
            </w:pPr>
          </w:p>
        </w:tc>
      </w:tr>
      <w:tr>
        <w:trPr>
          <w:trHeight w:val="219"/>
        </w:trPr>
        <w:tc>
          <w:tcPr>
            <w:tcW w:w="2780" w:type="dxa"/>
            <w:vAlign w:val="bottom"/>
            <w:tcBorders>
              <w:left w:val="single" w:sz="8" w:color="auto"/>
              <w:right w:val="single" w:sz="8" w:color="auto"/>
            </w:tcBorders>
            <w:gridSpan w:val="3"/>
          </w:tcPr>
          <w:p>
            <w:pPr>
              <w:jc w:val="center"/>
              <w:ind w:right="20"/>
              <w:spacing w:after="0" w:line="219" w:lineRule="exact"/>
              <w:rPr>
                <w:sz w:val="20"/>
                <w:szCs w:val="20"/>
                <w:color w:val="auto"/>
              </w:rPr>
            </w:pPr>
            <w:r>
              <w:rPr>
                <w:rFonts w:ascii="Times New Roman" w:cs="Times New Roman" w:eastAsia="Times New Roman" w:hAnsi="Times New Roman"/>
                <w:sz w:val="22"/>
                <w:szCs w:val="22"/>
                <w:color w:val="auto"/>
                <w:w w:val="98"/>
              </w:rPr>
              <w:t>First Tranche</w:t>
            </w:r>
          </w:p>
        </w:tc>
        <w:tc>
          <w:tcPr>
            <w:tcW w:w="2760" w:type="dxa"/>
            <w:vAlign w:val="bottom"/>
            <w:tcBorders>
              <w:right w:val="single" w:sz="8" w:color="auto"/>
            </w:tcBorders>
            <w:gridSpan w:val="3"/>
          </w:tcPr>
          <w:p>
            <w:pPr>
              <w:jc w:val="center"/>
              <w:ind w:right="40"/>
              <w:spacing w:after="0" w:line="219" w:lineRule="exact"/>
              <w:rPr>
                <w:sz w:val="20"/>
                <w:szCs w:val="20"/>
                <w:color w:val="auto"/>
              </w:rPr>
            </w:pPr>
            <w:r>
              <w:rPr>
                <w:rFonts w:ascii="Times New Roman" w:cs="Times New Roman" w:eastAsia="Times New Roman" w:hAnsi="Times New Roman"/>
                <w:sz w:val="22"/>
                <w:szCs w:val="22"/>
                <w:color w:val="auto"/>
                <w:w w:val="98"/>
              </w:rPr>
              <w:t>120% of Beginning Stock</w:t>
            </w:r>
          </w:p>
        </w:tc>
      </w:tr>
      <w:tr>
        <w:trPr>
          <w:trHeight w:val="256"/>
        </w:trPr>
        <w:tc>
          <w:tcPr>
            <w:tcW w:w="1000" w:type="dxa"/>
            <w:vAlign w:val="bottom"/>
            <w:tcBorders>
              <w:left w:val="single" w:sz="8" w:color="auto"/>
            </w:tcBorders>
          </w:tcPr>
          <w:p>
            <w:pPr>
              <w:spacing w:after="0"/>
              <w:rPr>
                <w:sz w:val="22"/>
                <w:szCs w:val="22"/>
                <w:color w:val="auto"/>
              </w:rPr>
            </w:pPr>
          </w:p>
        </w:tc>
        <w:tc>
          <w:tcPr>
            <w:tcW w:w="76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27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2"/>
                <w:szCs w:val="22"/>
                <w:color w:val="auto"/>
                <w:w w:val="98"/>
              </w:rPr>
              <w:t>Price ($[__]) (“</w:t>
            </w:r>
            <w:r>
              <w:rPr>
                <w:rFonts w:ascii="Times New Roman" w:cs="Times New Roman" w:eastAsia="Times New Roman" w:hAnsi="Times New Roman"/>
                <w:sz w:val="22"/>
                <w:szCs w:val="22"/>
                <w:b w:val="1"/>
                <w:bCs w:val="1"/>
                <w:color w:val="auto"/>
                <w:w w:val="98"/>
              </w:rPr>
              <w:t>First Stock</w:t>
            </w:r>
          </w:p>
        </w:tc>
      </w:tr>
      <w:tr>
        <w:trPr>
          <w:trHeight w:val="295"/>
        </w:trPr>
        <w:tc>
          <w:tcPr>
            <w:tcW w:w="100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22"/>
                <w:szCs w:val="22"/>
                <w:b w:val="1"/>
                <w:bCs w:val="1"/>
                <w:color w:val="auto"/>
                <w:w w:val="98"/>
              </w:rPr>
              <w:t>Price Hurdle</w:t>
            </w:r>
            <w:r>
              <w:rPr>
                <w:rFonts w:ascii="Times New Roman" w:cs="Times New Roman" w:eastAsia="Times New Roman" w:hAnsi="Times New Roman"/>
                <w:sz w:val="22"/>
                <w:szCs w:val="22"/>
                <w:color w:val="auto"/>
                <w:w w:val="98"/>
              </w:rPr>
              <w:t>”)</w:t>
            </w:r>
          </w:p>
        </w:tc>
      </w:tr>
      <w:tr>
        <w:trPr>
          <w:trHeight w:val="225"/>
        </w:trPr>
        <w:tc>
          <w:tcPr>
            <w:tcW w:w="2780" w:type="dxa"/>
            <w:vAlign w:val="bottom"/>
            <w:tcBorders>
              <w:left w:val="single" w:sz="8" w:color="auto"/>
              <w:right w:val="single" w:sz="8" w:color="auto"/>
            </w:tcBorders>
            <w:gridSpan w:val="3"/>
          </w:tcPr>
          <w:p>
            <w:pPr>
              <w:jc w:val="center"/>
              <w:ind w:right="20"/>
              <w:spacing w:after="0" w:line="225" w:lineRule="exact"/>
              <w:rPr>
                <w:sz w:val="20"/>
                <w:szCs w:val="20"/>
                <w:color w:val="auto"/>
              </w:rPr>
            </w:pPr>
            <w:r>
              <w:rPr>
                <w:rFonts w:ascii="Times New Roman" w:cs="Times New Roman" w:eastAsia="Times New Roman" w:hAnsi="Times New Roman"/>
                <w:sz w:val="22"/>
                <w:szCs w:val="22"/>
                <w:color w:val="auto"/>
                <w:w w:val="98"/>
              </w:rPr>
              <w:t>Second Tranche</w:t>
            </w:r>
          </w:p>
        </w:tc>
        <w:tc>
          <w:tcPr>
            <w:tcW w:w="2760" w:type="dxa"/>
            <w:vAlign w:val="bottom"/>
            <w:tcBorders>
              <w:right w:val="single" w:sz="8" w:color="auto"/>
            </w:tcBorders>
            <w:gridSpan w:val="3"/>
          </w:tcPr>
          <w:p>
            <w:pPr>
              <w:jc w:val="center"/>
              <w:ind w:right="40"/>
              <w:spacing w:after="0" w:line="225" w:lineRule="exact"/>
              <w:rPr>
                <w:sz w:val="20"/>
                <w:szCs w:val="20"/>
                <w:color w:val="auto"/>
              </w:rPr>
            </w:pPr>
            <w:r>
              <w:rPr>
                <w:rFonts w:ascii="Times New Roman" w:cs="Times New Roman" w:eastAsia="Times New Roman" w:hAnsi="Times New Roman"/>
                <w:sz w:val="22"/>
                <w:szCs w:val="22"/>
                <w:color w:val="auto"/>
                <w:w w:val="98"/>
              </w:rPr>
              <w:t>140% of Beginning Stock</w:t>
            </w:r>
          </w:p>
        </w:tc>
      </w:tr>
      <w:tr>
        <w:trPr>
          <w:trHeight w:val="256"/>
        </w:trPr>
        <w:tc>
          <w:tcPr>
            <w:tcW w:w="1000" w:type="dxa"/>
            <w:vAlign w:val="bottom"/>
            <w:tcBorders>
              <w:left w:val="single" w:sz="8" w:color="auto"/>
            </w:tcBorders>
          </w:tcPr>
          <w:p>
            <w:pPr>
              <w:spacing w:after="0"/>
              <w:rPr>
                <w:sz w:val="22"/>
                <w:szCs w:val="22"/>
                <w:color w:val="auto"/>
              </w:rPr>
            </w:pPr>
          </w:p>
        </w:tc>
        <w:tc>
          <w:tcPr>
            <w:tcW w:w="76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27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2"/>
                <w:szCs w:val="22"/>
                <w:color w:val="auto"/>
                <w:w w:val="98"/>
              </w:rPr>
              <w:t>Price ($[__]) (“</w:t>
            </w:r>
            <w:r>
              <w:rPr>
                <w:rFonts w:ascii="Times New Roman" w:cs="Times New Roman" w:eastAsia="Times New Roman" w:hAnsi="Times New Roman"/>
                <w:sz w:val="22"/>
                <w:szCs w:val="22"/>
                <w:b w:val="1"/>
                <w:bCs w:val="1"/>
                <w:color w:val="auto"/>
                <w:w w:val="98"/>
              </w:rPr>
              <w:t>Second Stock</w:t>
            </w:r>
          </w:p>
        </w:tc>
      </w:tr>
      <w:tr>
        <w:trPr>
          <w:trHeight w:val="295"/>
        </w:trPr>
        <w:tc>
          <w:tcPr>
            <w:tcW w:w="100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22"/>
                <w:szCs w:val="22"/>
                <w:b w:val="1"/>
                <w:bCs w:val="1"/>
                <w:color w:val="auto"/>
                <w:w w:val="98"/>
              </w:rPr>
              <w:t>Price Hurdle</w:t>
            </w:r>
            <w:r>
              <w:rPr>
                <w:rFonts w:ascii="Times New Roman" w:cs="Times New Roman" w:eastAsia="Times New Roman" w:hAnsi="Times New Roman"/>
                <w:sz w:val="22"/>
                <w:szCs w:val="22"/>
                <w:color w:val="auto"/>
                <w:w w:val="98"/>
              </w:rPr>
              <w:t>”)</w:t>
            </w:r>
          </w:p>
        </w:tc>
      </w:tr>
      <w:tr>
        <w:trPr>
          <w:trHeight w:val="225"/>
        </w:trPr>
        <w:tc>
          <w:tcPr>
            <w:tcW w:w="2780" w:type="dxa"/>
            <w:vAlign w:val="bottom"/>
            <w:tcBorders>
              <w:left w:val="single" w:sz="8" w:color="auto"/>
              <w:right w:val="single" w:sz="8" w:color="auto"/>
            </w:tcBorders>
            <w:gridSpan w:val="3"/>
          </w:tcPr>
          <w:p>
            <w:pPr>
              <w:jc w:val="center"/>
              <w:ind w:right="20"/>
              <w:spacing w:after="0" w:line="225" w:lineRule="exact"/>
              <w:rPr>
                <w:sz w:val="20"/>
                <w:szCs w:val="20"/>
                <w:color w:val="auto"/>
              </w:rPr>
            </w:pPr>
            <w:r>
              <w:rPr>
                <w:rFonts w:ascii="Times New Roman" w:cs="Times New Roman" w:eastAsia="Times New Roman" w:hAnsi="Times New Roman"/>
                <w:sz w:val="22"/>
                <w:szCs w:val="22"/>
                <w:color w:val="auto"/>
                <w:w w:val="98"/>
              </w:rPr>
              <w:t>Third Tranche</w:t>
            </w:r>
          </w:p>
        </w:tc>
        <w:tc>
          <w:tcPr>
            <w:tcW w:w="2760" w:type="dxa"/>
            <w:vAlign w:val="bottom"/>
            <w:tcBorders>
              <w:right w:val="single" w:sz="8" w:color="auto"/>
            </w:tcBorders>
            <w:gridSpan w:val="3"/>
          </w:tcPr>
          <w:p>
            <w:pPr>
              <w:jc w:val="center"/>
              <w:ind w:right="40"/>
              <w:spacing w:after="0" w:line="225" w:lineRule="exact"/>
              <w:rPr>
                <w:sz w:val="20"/>
                <w:szCs w:val="20"/>
                <w:color w:val="auto"/>
              </w:rPr>
            </w:pPr>
            <w:r>
              <w:rPr>
                <w:rFonts w:ascii="Times New Roman" w:cs="Times New Roman" w:eastAsia="Times New Roman" w:hAnsi="Times New Roman"/>
                <w:sz w:val="22"/>
                <w:szCs w:val="22"/>
                <w:color w:val="auto"/>
                <w:w w:val="98"/>
              </w:rPr>
              <w:t>160% of Beginning Stock</w:t>
            </w:r>
          </w:p>
        </w:tc>
      </w:tr>
      <w:tr>
        <w:trPr>
          <w:trHeight w:val="287"/>
        </w:trPr>
        <w:tc>
          <w:tcPr>
            <w:tcW w:w="100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2"/>
                <w:szCs w:val="22"/>
                <w:color w:val="auto"/>
                <w:w w:val="98"/>
              </w:rPr>
              <w:t>Price ($[__]) (“</w:t>
            </w:r>
            <w:r>
              <w:rPr>
                <w:rFonts w:ascii="Times New Roman" w:cs="Times New Roman" w:eastAsia="Times New Roman" w:hAnsi="Times New Roman"/>
                <w:sz w:val="22"/>
                <w:szCs w:val="22"/>
                <w:b w:val="1"/>
                <w:bCs w:val="1"/>
                <w:color w:val="auto"/>
                <w:w w:val="98"/>
              </w:rPr>
              <w:t>Third Stock</w:t>
            </w:r>
          </w:p>
        </w:tc>
      </w:tr>
    </w:tbl>
    <w:p>
      <w:pPr>
        <w:spacing w:after="0" w:line="229" w:lineRule="exact"/>
        <w:rPr>
          <w:sz w:val="20"/>
          <w:szCs w:val="20"/>
          <w:color w:val="auto"/>
        </w:rPr>
      </w:pPr>
    </w:p>
    <w:p>
      <w:pPr>
        <w:ind w:left="300" w:right="399"/>
        <w:spacing w:after="0" w:line="265" w:lineRule="auto"/>
        <w:rPr>
          <w:sz w:val="20"/>
          <w:szCs w:val="20"/>
          <w:color w:val="auto"/>
        </w:rPr>
      </w:pPr>
      <w:r>
        <w:rPr>
          <w:rFonts w:ascii="Times New Roman" w:cs="Times New Roman" w:eastAsia="Times New Roman" w:hAnsi="Times New Roman"/>
          <w:sz w:val="21"/>
          <w:szCs w:val="21"/>
          <w:color w:val="auto"/>
        </w:rPr>
        <w:t>Once a Stock Price Hurdle is achieved, each lower Stock Price Hurdle will be deemed to have been achieved even if an Average Closing Stock Price equal to the lower Stock Price Hurdle has not independently occurred. Except as otherwise expressly provided in connection with a Change in Control (as described below), there will be no linear interpolation in measuring achievement of the Stock Price Hurdles and each Tranche shall therefore be earned in full or not</w:t>
      </w:r>
    </w:p>
    <w:p>
      <w:pPr>
        <w:sectPr>
          <w:pgSz w:w="11900" w:h="16838" w:orient="portrait"/>
          <w:cols w:equalWidth="0" w:num="1">
            <w:col w:w="9019"/>
          </w:cols>
          <w:pgMar w:left="1440" w:top="1440" w:right="1440" w:bottom="424" w:gutter="0" w:footer="0" w:header="0"/>
        </w:sectPr>
      </w:pPr>
    </w:p>
    <w:bookmarkStart w:id="146" w:name="page147"/>
    <w:bookmarkEnd w:id="146"/>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right"/>
        <w:ind w:right="299"/>
        <w:spacing w:after="0"/>
        <w:rPr>
          <w:sz w:val="20"/>
          <w:szCs w:val="20"/>
          <w:color w:val="auto"/>
        </w:rPr>
      </w:pPr>
      <w:r>
        <w:rPr>
          <w:rFonts w:ascii="Times New Roman" w:cs="Times New Roman" w:eastAsia="Times New Roman" w:hAnsi="Times New Roman"/>
          <w:sz w:val="22"/>
          <w:szCs w:val="22"/>
          <w:color w:val="auto"/>
        </w:rPr>
        <w:t>16</w:t>
      </w:r>
    </w:p>
    <w:p>
      <w:pPr>
        <w:spacing w:after="0" w:line="395" w:lineRule="exact"/>
        <w:rPr>
          <w:sz w:val="20"/>
          <w:szCs w:val="20"/>
          <w:color w:val="auto"/>
        </w:rPr>
      </w:pPr>
    </w:p>
    <w:p>
      <w:pPr>
        <w:jc w:val="both"/>
        <w:ind w:left="300" w:right="419"/>
        <w:spacing w:after="0" w:line="256" w:lineRule="auto"/>
        <w:rPr>
          <w:sz w:val="20"/>
          <w:szCs w:val="20"/>
          <w:color w:val="auto"/>
        </w:rPr>
      </w:pPr>
      <w:r>
        <w:rPr>
          <w:rFonts w:ascii="Times New Roman" w:cs="Times New Roman" w:eastAsia="Times New Roman" w:hAnsi="Times New Roman"/>
          <w:sz w:val="22"/>
          <w:szCs w:val="22"/>
          <w:color w:val="auto"/>
        </w:rPr>
        <w:t>at all. For purposes of illustration and without limitation, if the First Stock Price Hurdle has not been achieved as of the date on which the Average Closing Stock Price equals the Second Stock Price Hurdle, then as of such date, both the First Tranche and the Second Tranche shall become earned.</w:t>
      </w:r>
    </w:p>
    <w:p>
      <w:pPr>
        <w:spacing w:after="0" w:line="176" w:lineRule="exact"/>
        <w:rPr>
          <w:sz w:val="20"/>
          <w:szCs w:val="20"/>
          <w:color w:val="auto"/>
        </w:rPr>
      </w:pPr>
    </w:p>
    <w:p>
      <w:pPr>
        <w:ind w:left="300" w:right="339"/>
        <w:spacing w:after="0" w:line="271" w:lineRule="auto"/>
        <w:rPr>
          <w:sz w:val="20"/>
          <w:szCs w:val="20"/>
          <w:color w:val="auto"/>
        </w:rPr>
      </w:pPr>
      <w:r>
        <w:rPr>
          <w:rFonts w:ascii="Times New Roman" w:cs="Times New Roman" w:eastAsia="Times New Roman" w:hAnsi="Times New Roman"/>
          <w:sz w:val="22"/>
          <w:szCs w:val="22"/>
          <w:color w:val="auto"/>
        </w:rPr>
        <w:t>Except as otherwise set forth in the Award Agreement, any Earned Tranches will only be eligible to vest on the Applicable Vesting Date.</w:t>
      </w:r>
    </w:p>
    <w:p>
      <w:pPr>
        <w:spacing w:after="0" w:line="158" w:lineRule="exact"/>
        <w:rPr>
          <w:sz w:val="20"/>
          <w:szCs w:val="20"/>
          <w:color w:val="auto"/>
        </w:rPr>
      </w:pPr>
    </w:p>
    <w:p>
      <w:pPr>
        <w:ind w:left="300" w:right="319"/>
        <w:spacing w:after="0" w:line="263" w:lineRule="auto"/>
        <w:rPr>
          <w:sz w:val="20"/>
          <w:szCs w:val="20"/>
          <w:color w:val="auto"/>
        </w:rPr>
      </w:pPr>
      <w:r>
        <w:rPr>
          <w:rFonts w:ascii="Times New Roman" w:cs="Times New Roman" w:eastAsia="Times New Roman" w:hAnsi="Times New Roman"/>
          <w:sz w:val="22"/>
          <w:szCs w:val="22"/>
          <w:color w:val="auto"/>
        </w:rPr>
        <w:t>Any Tranche that has not become an Earned Tranche as of the last day of the Performance Period shall be canceled immediately and the Participant shall automatically forfeit all rights with respect to such PSUs as of the last day of the Performance Period.</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Change in Control</w:t>
      </w:r>
    </w:p>
    <w:p>
      <w:pPr>
        <w:spacing w:after="0" w:line="224" w:lineRule="exact"/>
        <w:rPr>
          <w:sz w:val="20"/>
          <w:szCs w:val="20"/>
          <w:color w:val="auto"/>
        </w:rPr>
      </w:pPr>
    </w:p>
    <w:p>
      <w:pPr>
        <w:ind w:left="300" w:right="319"/>
        <w:spacing w:after="0" w:line="272" w:lineRule="auto"/>
        <w:rPr>
          <w:sz w:val="20"/>
          <w:szCs w:val="20"/>
          <w:color w:val="auto"/>
        </w:rPr>
      </w:pPr>
      <w:r>
        <w:rPr>
          <w:rFonts w:ascii="Times New Roman" w:cs="Times New Roman" w:eastAsia="Times New Roman" w:hAnsi="Times New Roman"/>
          <w:sz w:val="21"/>
          <w:szCs w:val="21"/>
          <w:color w:val="auto"/>
        </w:rPr>
        <w:t>As used in this section, “Change in Control” shall mean a transaction described in Section 2(g)(i) of the Plan, as in effect on the Date of Grant. Upon the occurrence of a Change in Control during the Performance Period, the Performance Period shall be truncated and shall end on the CIC Measurement Date and the applicable performance conditions shall be measured as follows:</w:t>
      </w:r>
    </w:p>
    <w:p>
      <w:pPr>
        <w:spacing w:after="0" w:line="161"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21"/>
          <w:szCs w:val="21"/>
          <w:color w:val="auto"/>
        </w:rPr>
        <w:t>For each Tranche that has not become an Earned Tranche prior to the Change in Control, the corresponding Stock Price Hurdle shall be measured as of the CIC Measurement Date based on the CIC Price (rather than based on the Average Closing Stock Price). If the CIC Price is between two Stock Price Hurdles, the higher Stock Price Hurdle shall be deemed achieved in part based on linear interpolation between the two Stock Price Hurdles, and a corresponding portion of the associated Tranche shall become an Earned Tranche. For purposes of illustration and without limitation, if the CIC Price is halfway between the Second Stock Price Hurdle and the Third Stock Price Hurdle, then fifty percent (50%) of the Third Tranche will become an Earned Tranche. Any whole or partial Tranche for which the Stock Price Hurdle is not achieved as of the CIC Measurement Date shall be canceled immediately and the Participant shall automatically forfeit all rights with respect to such PSUs as of the date of the Change in Control.</w:t>
      </w:r>
    </w:p>
    <w:p>
      <w:pPr>
        <w:spacing w:after="0" w:line="176" w:lineRule="exact"/>
        <w:rPr>
          <w:sz w:val="20"/>
          <w:szCs w:val="20"/>
          <w:color w:val="auto"/>
        </w:rPr>
      </w:pPr>
    </w:p>
    <w:p>
      <w:pPr>
        <w:ind w:left="300" w:right="719"/>
        <w:spacing w:after="0" w:line="271" w:lineRule="auto"/>
        <w:rPr>
          <w:sz w:val="20"/>
          <w:szCs w:val="20"/>
          <w:color w:val="auto"/>
        </w:rPr>
      </w:pPr>
      <w:r>
        <w:rPr>
          <w:rFonts w:ascii="Times New Roman" w:cs="Times New Roman" w:eastAsia="Times New Roman" w:hAnsi="Times New Roman"/>
          <w:sz w:val="22"/>
          <w:szCs w:val="22"/>
          <w:color w:val="auto"/>
        </w:rPr>
        <w:t>Any Tranche that becomes an Earned Tranche as of the CIC Measurement Date shall remain outstanding and subject to the Services-based vesting requirement set forth below.</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Vesting Schedule</w:t>
      </w:r>
    </w:p>
    <w:p>
      <w:pPr>
        <w:spacing w:after="0" w:line="237" w:lineRule="exact"/>
        <w:rPr>
          <w:sz w:val="20"/>
          <w:szCs w:val="20"/>
          <w:color w:val="auto"/>
        </w:rPr>
      </w:pPr>
    </w:p>
    <w:p>
      <w:pPr>
        <w:ind w:left="300" w:right="399"/>
        <w:spacing w:after="0" w:line="250" w:lineRule="auto"/>
        <w:rPr>
          <w:sz w:val="20"/>
          <w:szCs w:val="20"/>
          <w:color w:val="auto"/>
        </w:rPr>
      </w:pPr>
      <w:r>
        <w:rPr>
          <w:rFonts w:ascii="Times New Roman" w:cs="Times New Roman" w:eastAsia="Times New Roman" w:hAnsi="Times New Roman"/>
          <w:sz w:val="22"/>
          <w:szCs w:val="22"/>
          <w:color w:val="auto"/>
        </w:rPr>
        <w:t>Earned Tranches shall vest on the Applicable Vesting Date set forth below, subject to the Participant’s continued Services with the Company and its Affiliates through the Applicable Vesting Date. If the Participant’s Services with the Company and its Affiliates terminate for any reason prior to the last Applicable Vesting Date, then, except as otherwise expressly provided in the Award Agreement, the then-outstanding Tranches shall be forfeited.</w:t>
      </w:r>
    </w:p>
    <w:p>
      <w:pPr>
        <w:spacing w:after="0" w:line="194" w:lineRule="exact"/>
        <w:rPr>
          <w:sz w:val="20"/>
          <w:szCs w:val="20"/>
          <w:color w:val="auto"/>
        </w:rPr>
      </w:pPr>
    </w:p>
    <w:p>
      <w:pPr>
        <w:ind w:left="300" w:right="319"/>
        <w:spacing w:after="0" w:line="271" w:lineRule="auto"/>
        <w:rPr>
          <w:sz w:val="20"/>
          <w:szCs w:val="20"/>
          <w:color w:val="auto"/>
        </w:rPr>
      </w:pPr>
      <w:r>
        <w:rPr>
          <w:rFonts w:ascii="Times New Roman" w:cs="Times New Roman" w:eastAsia="Times New Roman" w:hAnsi="Times New Roman"/>
          <w:sz w:val="22"/>
          <w:szCs w:val="22"/>
          <w:color w:val="auto"/>
        </w:rPr>
        <w:t>For the avoidance of doubt, the below Services-based vesting conditions shall continue following a Change in Control that occurs while the Participant is providing Services.</w:t>
      </w:r>
    </w:p>
    <w:p>
      <w:pPr>
        <w:sectPr>
          <w:pgSz w:w="11900" w:h="16838" w:orient="portrait"/>
          <w:cols w:equalWidth="0" w:num="1">
            <w:col w:w="9019"/>
          </w:cols>
          <w:pgMar w:left="1440" w:top="1440" w:right="1440" w:bottom="1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9019"/>
          </w:cols>
          <w:pgMar w:left="1440" w:top="1440" w:right="1440" w:bottom="113" w:gutter="0" w:footer="0" w:header="0"/>
          <w:type w:val="continuous"/>
        </w:sectPr>
      </w:pPr>
    </w:p>
    <w:bookmarkStart w:id="147" w:name="page148"/>
    <w:bookmarkEnd w:id="147"/>
    <w:tbl>
      <w:tblPr>
        <w:tblLayout w:type="fixed"/>
        <w:tblInd w:w="310" w:type="dxa"/>
        <w:tblCellMar>
          <w:top w:w="0" w:type="dxa"/>
          <w:left w:w="0" w:type="dxa"/>
          <w:bottom w:w="0" w:type="dxa"/>
          <w:right w:w="0" w:type="dxa"/>
        </w:tblCellMar>
      </w:tblPr>
      <w:tr>
        <w:trPr>
          <w:trHeight w:val="162"/>
        </w:trPr>
        <w:tc>
          <w:tcPr>
            <w:tcW w:w="980" w:type="dxa"/>
            <w:vAlign w:val="bottom"/>
            <w:tcBorders>
              <w:top w:val="single" w:sz="8" w:color="auto"/>
              <w:left w:val="single" w:sz="8" w:color="auto"/>
            </w:tcBorders>
          </w:tcPr>
          <w:p>
            <w:pPr>
              <w:spacing w:after="0"/>
              <w:rPr>
                <w:sz w:val="14"/>
                <w:szCs w:val="14"/>
                <w:color w:val="auto"/>
              </w:rPr>
            </w:pPr>
          </w:p>
        </w:tc>
        <w:tc>
          <w:tcPr>
            <w:tcW w:w="1780" w:type="dxa"/>
            <w:vAlign w:val="bottom"/>
            <w:tcBorders>
              <w:top w:val="single" w:sz="8" w:color="auto"/>
              <w:right w:val="single" w:sz="8" w:color="auto"/>
            </w:tcBorders>
            <w:gridSpan w:val="2"/>
          </w:tcPr>
          <w:p>
            <w:pPr>
              <w:jc w:val="center"/>
              <w:ind w:right="1020"/>
              <w:spacing w:after="0" w:line="162" w:lineRule="exact"/>
              <w:rPr>
                <w:sz w:val="20"/>
                <w:szCs w:val="20"/>
                <w:color w:val="auto"/>
              </w:rPr>
            </w:pPr>
            <w:r>
              <w:rPr>
                <w:rFonts w:ascii="Times New Roman" w:cs="Times New Roman" w:eastAsia="Times New Roman" w:hAnsi="Times New Roman"/>
                <w:sz w:val="18"/>
                <w:szCs w:val="18"/>
                <w:b w:val="1"/>
                <w:bCs w:val="1"/>
                <w:color w:val="auto"/>
              </w:rPr>
              <w:t>Tranche</w:t>
            </w:r>
          </w:p>
        </w:tc>
        <w:tc>
          <w:tcPr>
            <w:tcW w:w="1700" w:type="dxa"/>
            <w:vAlign w:val="bottom"/>
            <w:tcBorders>
              <w:top w:val="single" w:sz="8" w:color="auto"/>
            </w:tcBorders>
          </w:tcPr>
          <w:p>
            <w:pPr>
              <w:spacing w:after="0"/>
              <w:rPr>
                <w:sz w:val="14"/>
                <w:szCs w:val="14"/>
                <w:color w:val="auto"/>
              </w:rPr>
            </w:pPr>
          </w:p>
        </w:tc>
        <w:tc>
          <w:tcPr>
            <w:tcW w:w="3980" w:type="dxa"/>
            <w:vAlign w:val="bottom"/>
            <w:tcBorders>
              <w:top w:val="single" w:sz="8" w:color="auto"/>
              <w:right w:val="single" w:sz="8" w:color="auto"/>
            </w:tcBorders>
            <w:gridSpan w:val="2"/>
          </w:tcPr>
          <w:p>
            <w:pPr>
              <w:jc w:val="center"/>
              <w:ind w:right="1760"/>
              <w:spacing w:after="0" w:line="162" w:lineRule="exact"/>
              <w:rPr>
                <w:sz w:val="20"/>
                <w:szCs w:val="20"/>
                <w:color w:val="auto"/>
              </w:rPr>
            </w:pPr>
            <w:r>
              <w:rPr>
                <w:rFonts w:ascii="Times New Roman" w:cs="Times New Roman" w:eastAsia="Times New Roman" w:hAnsi="Times New Roman"/>
                <w:sz w:val="18"/>
                <w:szCs w:val="18"/>
                <w:b w:val="1"/>
                <w:bCs w:val="1"/>
                <w:color w:val="auto"/>
              </w:rPr>
              <w:t>Applicable Vesting Date</w:t>
            </w:r>
          </w:p>
        </w:tc>
      </w:tr>
      <w:tr>
        <w:trPr>
          <w:trHeight w:val="20"/>
        </w:trPr>
        <w:tc>
          <w:tcPr>
            <w:tcW w:w="980" w:type="dxa"/>
            <w:vAlign w:val="bottom"/>
            <w:tcBorders>
              <w:lef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700" w:type="dxa"/>
            <w:vAlign w:val="bottom"/>
            <w:tcBorders>
              <w:right w:val="single" w:sz="8" w:color="auto"/>
            </w:tcBorders>
          </w:tcPr>
          <w:p>
            <w:pPr>
              <w:spacing w:after="0" w:line="20" w:lineRule="exact"/>
              <w:rPr>
                <w:sz w:val="1"/>
                <w:szCs w:val="1"/>
                <w:color w:val="auto"/>
              </w:rPr>
            </w:pPr>
          </w:p>
        </w:tc>
      </w:tr>
      <w:tr>
        <w:trPr>
          <w:trHeight w:val="466"/>
        </w:trPr>
        <w:tc>
          <w:tcPr>
            <w:tcW w:w="276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6"/>
              </w:rPr>
              <w:t>First Tranche</w:t>
            </w:r>
          </w:p>
        </w:tc>
        <w:tc>
          <w:tcPr>
            <w:tcW w:w="56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2"/>
                <w:szCs w:val="22"/>
                <w:color w:val="auto"/>
                <w:w w:val="98"/>
              </w:rPr>
              <w:t>Later of (i) the first anniversary of the Date of Grant and (ii) the</w:t>
            </w:r>
          </w:p>
        </w:tc>
      </w:tr>
      <w:tr>
        <w:trPr>
          <w:trHeight w:val="270"/>
        </w:trPr>
        <w:tc>
          <w:tcPr>
            <w:tcW w:w="980" w:type="dxa"/>
            <w:vAlign w:val="bottom"/>
            <w:tcBorders>
              <w:lef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568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2"/>
                <w:szCs w:val="22"/>
                <w:color w:val="auto"/>
                <w:w w:val="97"/>
              </w:rPr>
              <w:t>next Regular Vesting Date after the First Stock Price Hurdle is</w:t>
            </w:r>
          </w:p>
        </w:tc>
      </w:tr>
      <w:tr>
        <w:trPr>
          <w:trHeight w:val="270"/>
        </w:trPr>
        <w:tc>
          <w:tcPr>
            <w:tcW w:w="980" w:type="dxa"/>
            <w:vAlign w:val="bottom"/>
            <w:tcBorders>
              <w:lef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56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2"/>
                <w:szCs w:val="22"/>
                <w:color w:val="auto"/>
                <w:w w:val="97"/>
              </w:rPr>
              <w:t>achieved, subject to the Participant’s continued Services</w:t>
            </w:r>
          </w:p>
        </w:tc>
      </w:tr>
      <w:tr>
        <w:trPr>
          <w:trHeight w:val="282"/>
        </w:trPr>
        <w:tc>
          <w:tcPr>
            <w:tcW w:w="980" w:type="dxa"/>
            <w:vAlign w:val="bottom"/>
            <w:tcBorders>
              <w:lef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3980" w:type="dxa"/>
            <w:vAlign w:val="bottom"/>
            <w:tcBorders>
              <w:right w:val="single" w:sz="8" w:color="auto"/>
            </w:tcBorders>
            <w:gridSpan w:val="2"/>
          </w:tcPr>
          <w:p>
            <w:pPr>
              <w:jc w:val="center"/>
              <w:ind w:right="1740"/>
              <w:spacing w:after="0"/>
              <w:rPr>
                <w:sz w:val="20"/>
                <w:szCs w:val="20"/>
                <w:color w:val="auto"/>
              </w:rPr>
            </w:pPr>
            <w:r>
              <w:rPr>
                <w:rFonts w:ascii="Times New Roman" w:cs="Times New Roman" w:eastAsia="Times New Roman" w:hAnsi="Times New Roman"/>
                <w:sz w:val="22"/>
                <w:szCs w:val="22"/>
                <w:color w:val="auto"/>
                <w:w w:val="98"/>
              </w:rPr>
              <w:t>through such date.</w:t>
            </w:r>
          </w:p>
        </w:tc>
      </w:tr>
      <w:tr>
        <w:trPr>
          <w:trHeight w:val="271"/>
        </w:trPr>
        <w:tc>
          <w:tcPr>
            <w:tcW w:w="276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6"/>
              </w:rPr>
              <w:t>Second Tranche</w:t>
            </w:r>
          </w:p>
        </w:tc>
        <w:tc>
          <w:tcPr>
            <w:tcW w:w="568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8"/>
              </w:rPr>
              <w:t>Later of (i) the second anniversary of the Date of Grant and (ii)</w:t>
            </w:r>
          </w:p>
        </w:tc>
      </w:tr>
      <w:tr>
        <w:trPr>
          <w:trHeight w:val="270"/>
        </w:trPr>
        <w:tc>
          <w:tcPr>
            <w:tcW w:w="980" w:type="dxa"/>
            <w:vAlign w:val="bottom"/>
            <w:tcBorders>
              <w:lef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568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2"/>
                <w:szCs w:val="22"/>
                <w:color w:val="auto"/>
                <w:w w:val="97"/>
              </w:rPr>
              <w:t>the next Regular Vesting Date after the Second Stock Price</w:t>
            </w:r>
          </w:p>
        </w:tc>
      </w:tr>
      <w:tr>
        <w:trPr>
          <w:trHeight w:val="270"/>
        </w:trPr>
        <w:tc>
          <w:tcPr>
            <w:tcW w:w="980" w:type="dxa"/>
            <w:vAlign w:val="bottom"/>
            <w:tcBorders>
              <w:lef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56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2"/>
                <w:szCs w:val="22"/>
                <w:color w:val="auto"/>
                <w:w w:val="97"/>
              </w:rPr>
              <w:t>Hurdle is achieved, subject to the Participant’s continued</w:t>
            </w:r>
          </w:p>
        </w:tc>
      </w:tr>
      <w:tr>
        <w:trPr>
          <w:trHeight w:val="282"/>
        </w:trPr>
        <w:tc>
          <w:tcPr>
            <w:tcW w:w="980" w:type="dxa"/>
            <w:vAlign w:val="bottom"/>
            <w:tcBorders>
              <w:lef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56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2"/>
                <w:szCs w:val="22"/>
                <w:color w:val="auto"/>
                <w:w w:val="97"/>
              </w:rPr>
              <w:t>Services through such date.</w:t>
            </w:r>
          </w:p>
        </w:tc>
      </w:tr>
      <w:tr>
        <w:trPr>
          <w:trHeight w:val="271"/>
        </w:trPr>
        <w:tc>
          <w:tcPr>
            <w:tcW w:w="2760" w:type="dxa"/>
            <w:vAlign w:val="bottom"/>
            <w:tcBorders>
              <w:left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2"/>
                <w:szCs w:val="22"/>
                <w:color w:val="auto"/>
                <w:w w:val="98"/>
              </w:rPr>
              <w:t>Third Tranche</w:t>
            </w:r>
          </w:p>
        </w:tc>
        <w:tc>
          <w:tcPr>
            <w:tcW w:w="56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2"/>
                <w:szCs w:val="22"/>
                <w:color w:val="auto"/>
                <w:w w:val="98"/>
              </w:rPr>
              <w:t>The third anniversary of the Date of Grant, subject to the</w:t>
            </w:r>
          </w:p>
        </w:tc>
      </w:tr>
      <w:tr>
        <w:trPr>
          <w:trHeight w:val="282"/>
        </w:trPr>
        <w:tc>
          <w:tcPr>
            <w:tcW w:w="980" w:type="dxa"/>
            <w:vAlign w:val="bottom"/>
            <w:tcBorders>
              <w:lef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568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2"/>
                <w:szCs w:val="22"/>
                <w:color w:val="auto"/>
                <w:w w:val="98"/>
              </w:rPr>
              <w:t>Participant’s continued Services through such date.</w:t>
            </w:r>
          </w:p>
        </w:tc>
      </w:tr>
      <w:tr>
        <w:trPr>
          <w:trHeight w:val="110"/>
        </w:trPr>
        <w:tc>
          <w:tcPr>
            <w:tcW w:w="980" w:type="dxa"/>
            <w:vAlign w:val="bottom"/>
            <w:tcBorders>
              <w:left w:val="single" w:sz="8" w:color="auto"/>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1800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132320" cy="818007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Certain Defined Terms</w:t>
      </w:r>
    </w:p>
    <w:p>
      <w:pPr>
        <w:spacing w:after="0" w:line="260" w:lineRule="exact"/>
        <w:rPr>
          <w:sz w:val="20"/>
          <w:szCs w:val="20"/>
          <w:color w:val="auto"/>
        </w:rPr>
      </w:pPr>
    </w:p>
    <w:p>
      <w:pPr>
        <w:ind w:left="300" w:right="519"/>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“Applicable Vesting Date” </w:t>
      </w:r>
      <w:r>
        <w:rPr>
          <w:rFonts w:ascii="Times New Roman" w:cs="Times New Roman" w:eastAsia="Times New Roman" w:hAnsi="Times New Roman"/>
          <w:sz w:val="22"/>
          <w:szCs w:val="22"/>
          <w:color w:val="auto"/>
        </w:rPr>
        <w:t>has the meaning set forth in the chart under “Vesting Schedule”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Appendix B.</w:t>
      </w:r>
    </w:p>
    <w:p>
      <w:pPr>
        <w:spacing w:after="0" w:line="178" w:lineRule="exact"/>
        <w:rPr>
          <w:sz w:val="20"/>
          <w:szCs w:val="20"/>
          <w:color w:val="auto"/>
        </w:rPr>
      </w:pPr>
    </w:p>
    <w:p>
      <w:pPr>
        <w:ind w:left="300" w:right="319"/>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“Average Closing Stock Price” </w:t>
      </w:r>
      <w:r>
        <w:rPr>
          <w:rFonts w:ascii="Times New Roman" w:cs="Times New Roman" w:eastAsia="Times New Roman" w:hAnsi="Times New Roman"/>
          <w:sz w:val="22"/>
          <w:szCs w:val="22"/>
          <w:color w:val="auto"/>
        </w:rPr>
        <w:t>means the average closing price of a Share on The Nasdaq</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Global Select Market over any consecutive period of thirty (30) trading days that both begins and ends during the Performance Period.</w:t>
      </w:r>
    </w:p>
    <w:p>
      <w:pPr>
        <w:spacing w:after="0" w:line="220" w:lineRule="exact"/>
        <w:rPr>
          <w:sz w:val="20"/>
          <w:szCs w:val="20"/>
          <w:color w:val="auto"/>
        </w:rPr>
      </w:pPr>
    </w:p>
    <w:p>
      <w:pPr>
        <w:ind w:left="300" w:right="319"/>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“Beginning Stock Price” </w:t>
      </w:r>
      <w:r>
        <w:rPr>
          <w:rFonts w:ascii="Times New Roman" w:cs="Times New Roman" w:eastAsia="Times New Roman" w:hAnsi="Times New Roman"/>
          <w:sz w:val="22"/>
          <w:szCs w:val="22"/>
          <w:color w:val="auto"/>
        </w:rPr>
        <w:t>means $[__], which is the average closing price of a Share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Nasdaq Global Select Market during the period of thirty (30) consecutive trading days ending on, and including, the last trading day immediately preceding the Date of Grant.</w:t>
      </w:r>
    </w:p>
    <w:p>
      <w:pPr>
        <w:spacing w:after="0" w:line="220" w:lineRule="exact"/>
        <w:rPr>
          <w:sz w:val="20"/>
          <w:szCs w:val="20"/>
          <w:color w:val="auto"/>
        </w:rPr>
      </w:pPr>
    </w:p>
    <w:p>
      <w:pPr>
        <w:ind w:left="300" w:right="37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CIC Measurement Date</w:t>
      </w:r>
      <w:r>
        <w:rPr>
          <w:rFonts w:ascii="Times New Roman" w:cs="Times New Roman" w:eastAsia="Times New Roman" w:hAnsi="Times New Roman"/>
          <w:sz w:val="22"/>
          <w:szCs w:val="22"/>
          <w:color w:val="auto"/>
        </w:rPr>
        <w:t>” means the second to last trading day immediately preceding the date on which a Change in Control occurs.</w:t>
      </w:r>
    </w:p>
    <w:p>
      <w:pPr>
        <w:spacing w:after="0" w:line="190" w:lineRule="exact"/>
        <w:rPr>
          <w:sz w:val="20"/>
          <w:szCs w:val="20"/>
          <w:color w:val="auto"/>
        </w:rPr>
      </w:pPr>
    </w:p>
    <w:p>
      <w:pPr>
        <w:ind w:left="300" w:right="47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CIC Price</w:t>
      </w:r>
      <w:r>
        <w:rPr>
          <w:rFonts w:ascii="Times New Roman" w:cs="Times New Roman" w:eastAsia="Times New Roman" w:hAnsi="Times New Roman"/>
          <w:sz w:val="22"/>
          <w:szCs w:val="22"/>
          <w:color w:val="auto"/>
        </w:rPr>
        <w:t>” means the value of the consideration paid for each Share in the Change in Control transaction, with the value of any non-cash consideration determined by the Committee in its discretion.</w:t>
      </w:r>
    </w:p>
    <w:p>
      <w:pPr>
        <w:spacing w:after="0" w:line="202" w:lineRule="exact"/>
        <w:rPr>
          <w:sz w:val="20"/>
          <w:szCs w:val="20"/>
          <w:color w:val="auto"/>
        </w:rPr>
      </w:pPr>
    </w:p>
    <w:p>
      <w:pPr>
        <w:ind w:left="300" w:right="67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Regular Vesting Date</w:t>
      </w:r>
      <w:r>
        <w:rPr>
          <w:rFonts w:ascii="Times New Roman" w:cs="Times New Roman" w:eastAsia="Times New Roman" w:hAnsi="Times New Roman"/>
          <w:sz w:val="22"/>
          <w:szCs w:val="22"/>
          <w:color w:val="auto"/>
        </w:rPr>
        <w:t>” means each of February [__], May 1, August 1, and November 1 of each calendar year.</w:t>
      </w:r>
    </w:p>
    <w:p>
      <w:pPr>
        <w:spacing w:after="0" w:line="203" w:lineRule="exact"/>
        <w:rPr>
          <w:sz w:val="20"/>
          <w:szCs w:val="20"/>
          <w:color w:val="auto"/>
        </w:rPr>
      </w:pPr>
    </w:p>
    <w:p>
      <w:pPr>
        <w:ind w:left="300" w:right="91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 Price Hurdle</w:t>
      </w:r>
      <w:r>
        <w:rPr>
          <w:rFonts w:ascii="Times New Roman" w:cs="Times New Roman" w:eastAsia="Times New Roman" w:hAnsi="Times New Roman"/>
          <w:sz w:val="22"/>
          <w:szCs w:val="22"/>
          <w:color w:val="auto"/>
        </w:rPr>
        <w:t>” means each of the First Stock Price Hurdle, the Second Stock Price Hurdle, and the Third Stock Price Hurdle.</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Tranche</w:t>
      </w:r>
      <w:r>
        <w:rPr>
          <w:rFonts w:ascii="Times New Roman" w:cs="Times New Roman" w:eastAsia="Times New Roman" w:hAnsi="Times New Roman"/>
          <w:sz w:val="22"/>
          <w:szCs w:val="22"/>
          <w:color w:val="auto"/>
        </w:rPr>
        <w:t>” means each of the First Tranche, the Second Tranche, and the Third Tranche.</w:t>
      </w:r>
    </w:p>
    <w:p>
      <w:pPr>
        <w:sectPr>
          <w:pgSz w:w="11900" w:h="16838" w:orient="portrait"/>
          <w:cols w:equalWidth="0" w:num="1">
            <w:col w:w="9019"/>
          </w:cols>
          <w:pgMar w:left="1440" w:top="120" w:right="1440" w:bottom="1440" w:gutter="0" w:footer="0" w:header="0"/>
        </w:sectPr>
      </w:pPr>
    </w:p>
    <w:bookmarkStart w:id="148" w:name="page149"/>
    <w:bookmarkEnd w:id="148"/>
    <w:p>
      <w:pPr>
        <w:ind w:left="776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300" w:right="299"/>
        <w:spacing w:after="0" w:line="287" w:lineRule="auto"/>
        <w:rPr>
          <w:sz w:val="20"/>
          <w:szCs w:val="20"/>
          <w:color w:val="auto"/>
        </w:rPr>
      </w:pPr>
      <w:r>
        <w:rPr>
          <w:rFonts w:ascii="Times New Roman" w:cs="Times New Roman" w:eastAsia="Times New Roman" w:hAnsi="Times New Roman"/>
          <w:sz w:val="20"/>
          <w:szCs w:val="20"/>
          <w:b w:val="1"/>
          <w:bCs w:val="1"/>
          <w:color w:val="auto"/>
        </w:rPr>
        <w:t>Subsidiary guarantors and issuers of guaranteed securities and affiliates whose securities collateralize securities of the registrant</w:t>
      </w:r>
    </w:p>
    <w:p>
      <w:pPr>
        <w:spacing w:after="0" w:line="169" w:lineRule="exact"/>
        <w:rPr>
          <w:sz w:val="20"/>
          <w:szCs w:val="20"/>
          <w:color w:val="auto"/>
        </w:rPr>
      </w:pPr>
    </w:p>
    <w:p>
      <w:pPr>
        <w:ind w:left="300" w:right="399" w:firstLine="648"/>
        <w:spacing w:after="0" w:line="261" w:lineRule="auto"/>
        <w:rPr>
          <w:sz w:val="20"/>
          <w:szCs w:val="20"/>
          <w:color w:val="auto"/>
        </w:rPr>
      </w:pPr>
      <w:r>
        <w:rPr>
          <w:rFonts w:ascii="Times New Roman" w:cs="Times New Roman" w:eastAsia="Times New Roman" w:hAnsi="Times New Roman"/>
          <w:sz w:val="20"/>
          <w:szCs w:val="20"/>
          <w:color w:val="auto"/>
        </w:rPr>
        <w:t>The following securities (collectively, the “Notes”) issued by the corresponding issuer listed below, each a wholly-owned subsidiary of The Carlyle Group Inc. (the “Company”), were outstanding as of March 31, 2024:</w:t>
      </w:r>
    </w:p>
    <w:p>
      <w:pPr>
        <w:spacing w:after="0" w:line="238" w:lineRule="exact"/>
        <w:rPr>
          <w:sz w:val="20"/>
          <w:szCs w:val="20"/>
          <w:color w:val="auto"/>
        </w:rPr>
      </w:pPr>
    </w:p>
    <w:tbl>
      <w:tblPr>
        <w:tblLayout w:type="fixed"/>
        <w:tblInd w:w="310" w:type="dxa"/>
        <w:tblCellMar>
          <w:top w:w="0" w:type="dxa"/>
          <w:left w:w="0" w:type="dxa"/>
          <w:bottom w:w="0" w:type="dxa"/>
          <w:right w:w="0" w:type="dxa"/>
        </w:tblCellMar>
      </w:tblPr>
      <w:tr>
        <w:trPr>
          <w:trHeight w:val="189"/>
        </w:trPr>
        <w:tc>
          <w:tcPr>
            <w:tcW w:w="680" w:type="dxa"/>
            <w:vAlign w:val="bottom"/>
            <w:tcBorders>
              <w:top w:val="single" w:sz="8" w:color="auto"/>
              <w:left w:val="single" w:sz="8" w:color="auto"/>
            </w:tcBorders>
          </w:tcPr>
          <w:p>
            <w:pPr>
              <w:spacing w:after="0"/>
              <w:rPr>
                <w:sz w:val="16"/>
                <w:szCs w:val="16"/>
                <w:color w:val="auto"/>
              </w:rPr>
            </w:pPr>
          </w:p>
        </w:tc>
        <w:tc>
          <w:tcPr>
            <w:tcW w:w="2380" w:type="dxa"/>
            <w:vAlign w:val="bottom"/>
            <w:tcBorders>
              <w:top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20"/>
                <w:szCs w:val="20"/>
                <w:b w:val="1"/>
                <w:bCs w:val="1"/>
                <w:color w:val="auto"/>
              </w:rPr>
              <w:t>Notes Issued Under</w:t>
            </w:r>
          </w:p>
        </w:tc>
        <w:tc>
          <w:tcPr>
            <w:tcW w:w="3060" w:type="dxa"/>
            <w:vAlign w:val="bottom"/>
            <w:tcBorders>
              <w:top w:val="single" w:sz="8" w:color="auto"/>
              <w:right w:val="single" w:sz="8" w:color="auto"/>
            </w:tcBorders>
          </w:tcPr>
          <w:p>
            <w:pPr>
              <w:ind w:left="1260"/>
              <w:spacing w:after="0" w:line="189" w:lineRule="exact"/>
              <w:rPr>
                <w:sz w:val="20"/>
                <w:szCs w:val="20"/>
                <w:color w:val="auto"/>
              </w:rPr>
            </w:pPr>
            <w:r>
              <w:rPr>
                <w:rFonts w:ascii="Times New Roman" w:cs="Times New Roman" w:eastAsia="Times New Roman" w:hAnsi="Times New Roman"/>
                <w:sz w:val="20"/>
                <w:szCs w:val="20"/>
                <w:b w:val="1"/>
                <w:bCs w:val="1"/>
                <w:color w:val="auto"/>
              </w:rPr>
              <w:t>Issuer</w:t>
            </w:r>
          </w:p>
        </w:tc>
        <w:tc>
          <w:tcPr>
            <w:tcW w:w="2300" w:type="dxa"/>
            <w:vAlign w:val="bottom"/>
            <w:tcBorders>
              <w:top w:val="single" w:sz="8" w:color="auto"/>
              <w:right w:val="single" w:sz="8" w:color="auto"/>
            </w:tcBorders>
          </w:tcPr>
          <w:p>
            <w:pPr>
              <w:ind w:left="520"/>
              <w:spacing w:after="0" w:line="189" w:lineRule="exact"/>
              <w:rPr>
                <w:sz w:val="20"/>
                <w:szCs w:val="20"/>
                <w:color w:val="auto"/>
              </w:rPr>
            </w:pPr>
            <w:r>
              <w:rPr>
                <w:rFonts w:ascii="Times New Roman" w:cs="Times New Roman" w:eastAsia="Times New Roman" w:hAnsi="Times New Roman"/>
                <w:sz w:val="20"/>
                <w:szCs w:val="20"/>
                <w:b w:val="1"/>
                <w:bCs w:val="1"/>
                <w:color w:val="auto"/>
              </w:rPr>
              <w:t>Jurisdiction of</w:t>
            </w:r>
          </w:p>
        </w:tc>
      </w:tr>
      <w:tr>
        <w:trPr>
          <w:trHeight w:val="189"/>
        </w:trPr>
        <w:tc>
          <w:tcPr>
            <w:tcW w:w="680" w:type="dxa"/>
            <w:vAlign w:val="bottom"/>
            <w:tcBorders>
              <w:lef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306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20"/>
                <w:szCs w:val="20"/>
                <w:b w:val="1"/>
                <w:bCs w:val="1"/>
                <w:color w:val="auto"/>
              </w:rPr>
              <w:t>Formation, Organization,</w:t>
            </w:r>
          </w:p>
        </w:tc>
      </w:tr>
      <w:tr>
        <w:trPr>
          <w:trHeight w:val="266"/>
        </w:trPr>
        <w:tc>
          <w:tcPr>
            <w:tcW w:w="680" w:type="dxa"/>
            <w:vAlign w:val="bottom"/>
            <w:tcBorders>
              <w:left w:val="single" w:sz="8" w:color="auto"/>
              <w:bottom w:val="single" w:sz="8" w:color="auto"/>
            </w:tcBorders>
          </w:tcPr>
          <w:p>
            <w:pPr>
              <w:spacing w:after="0"/>
              <w:rPr>
                <w:sz w:val="23"/>
                <w:szCs w:val="23"/>
                <w:color w:val="auto"/>
              </w:rPr>
            </w:pPr>
          </w:p>
        </w:tc>
        <w:tc>
          <w:tcPr>
            <w:tcW w:w="2380" w:type="dxa"/>
            <w:vAlign w:val="bottom"/>
            <w:tcBorders>
              <w:bottom w:val="single" w:sz="8" w:color="auto"/>
              <w:right w:val="single" w:sz="8" w:color="auto"/>
            </w:tcBorders>
          </w:tcPr>
          <w:p>
            <w:pPr>
              <w:spacing w:after="0"/>
              <w:rPr>
                <w:sz w:val="23"/>
                <w:szCs w:val="23"/>
                <w:color w:val="auto"/>
              </w:rPr>
            </w:pPr>
          </w:p>
        </w:tc>
        <w:tc>
          <w:tcPr>
            <w:tcW w:w="306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0"/>
                <w:szCs w:val="20"/>
                <w:b w:val="1"/>
                <w:bCs w:val="1"/>
                <w:color w:val="auto"/>
              </w:rPr>
              <w:t>or Incorporation</w:t>
            </w:r>
          </w:p>
        </w:tc>
      </w:tr>
      <w:tr>
        <w:trPr>
          <w:trHeight w:val="256"/>
        </w:trPr>
        <w:tc>
          <w:tcPr>
            <w:tcW w:w="6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5.625%</w:t>
            </w:r>
          </w:p>
        </w:tc>
        <w:tc>
          <w:tcPr>
            <w:tcW w:w="2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Senior Notes due 2043</w:t>
            </w:r>
          </w:p>
        </w:tc>
        <w:tc>
          <w:tcPr>
            <w:tcW w:w="3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Carlyle Holdings II Finance L.L.C.</w:t>
            </w:r>
          </w:p>
        </w:tc>
        <w:tc>
          <w:tcPr>
            <w:tcW w:w="2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28"/>
        </w:trPr>
        <w:tc>
          <w:tcPr>
            <w:tcW w:w="306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306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r>
      <w:tr>
        <w:trPr>
          <w:trHeight w:val="252"/>
        </w:trPr>
        <w:tc>
          <w:tcPr>
            <w:tcW w:w="306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5.65% Senior Notes due 2048</w:t>
            </w:r>
          </w:p>
        </w:tc>
        <w:tc>
          <w:tcPr>
            <w:tcW w:w="3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Carlyle Finance L.L.C.</w:t>
            </w:r>
          </w:p>
        </w:tc>
        <w:tc>
          <w:tcPr>
            <w:tcW w:w="2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28"/>
        </w:trPr>
        <w:tc>
          <w:tcPr>
            <w:tcW w:w="680" w:type="dxa"/>
            <w:vAlign w:val="bottom"/>
            <w:tcBorders>
              <w:left w:val="single" w:sz="8" w:color="auto"/>
              <w:bottom w:val="single" w:sz="8" w:color="auto"/>
            </w:tcBorders>
          </w:tcPr>
          <w:p>
            <w:pPr>
              <w:spacing w:after="0"/>
              <w:rPr>
                <w:sz w:val="19"/>
                <w:szCs w:val="19"/>
                <w:color w:val="auto"/>
              </w:rPr>
            </w:pPr>
          </w:p>
        </w:tc>
        <w:tc>
          <w:tcPr>
            <w:tcW w:w="2380" w:type="dxa"/>
            <w:vAlign w:val="bottom"/>
            <w:tcBorders>
              <w:bottom w:val="single" w:sz="8" w:color="auto"/>
              <w:right w:val="single" w:sz="8" w:color="auto"/>
            </w:tcBorders>
          </w:tcPr>
          <w:p>
            <w:pPr>
              <w:spacing w:after="0"/>
              <w:rPr>
                <w:sz w:val="19"/>
                <w:szCs w:val="19"/>
                <w:color w:val="auto"/>
              </w:rPr>
            </w:pPr>
          </w:p>
        </w:tc>
        <w:tc>
          <w:tcPr>
            <w:tcW w:w="306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r>
      <w:tr>
        <w:trPr>
          <w:trHeight w:val="252"/>
        </w:trPr>
        <w:tc>
          <w:tcPr>
            <w:tcW w:w="6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3.500%</w:t>
            </w:r>
          </w:p>
        </w:tc>
        <w:tc>
          <w:tcPr>
            <w:tcW w:w="2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Senior Notes due 2029</w:t>
            </w:r>
          </w:p>
        </w:tc>
        <w:tc>
          <w:tcPr>
            <w:tcW w:w="30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Carlyle Finance Subsidiary L.L.C.</w:t>
            </w:r>
          </w:p>
        </w:tc>
        <w:tc>
          <w:tcPr>
            <w:tcW w:w="2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Delaware</w:t>
            </w:r>
          </w:p>
        </w:tc>
      </w:tr>
      <w:tr>
        <w:trPr>
          <w:trHeight w:val="228"/>
        </w:trPr>
        <w:tc>
          <w:tcPr>
            <w:tcW w:w="680" w:type="dxa"/>
            <w:vAlign w:val="bottom"/>
            <w:tcBorders>
              <w:left w:val="single" w:sz="8" w:color="auto"/>
              <w:bottom w:val="single" w:sz="8" w:color="auto"/>
            </w:tcBorders>
          </w:tcPr>
          <w:p>
            <w:pPr>
              <w:spacing w:after="0"/>
              <w:rPr>
                <w:sz w:val="19"/>
                <w:szCs w:val="19"/>
                <w:color w:val="auto"/>
              </w:rPr>
            </w:pPr>
          </w:p>
        </w:tc>
        <w:tc>
          <w:tcPr>
            <w:tcW w:w="2380" w:type="dxa"/>
            <w:vAlign w:val="bottom"/>
            <w:tcBorders>
              <w:bottom w:val="single" w:sz="8" w:color="auto"/>
              <w:right w:val="single" w:sz="8" w:color="auto"/>
            </w:tcBorders>
          </w:tcPr>
          <w:p>
            <w:pPr>
              <w:spacing w:after="0"/>
              <w:rPr>
                <w:sz w:val="19"/>
                <w:szCs w:val="19"/>
                <w:color w:val="auto"/>
              </w:rPr>
            </w:pPr>
          </w:p>
        </w:tc>
        <w:tc>
          <w:tcPr>
            <w:tcW w:w="3060" w:type="dxa"/>
            <w:vAlign w:val="bottom"/>
            <w:tcBorders>
              <w:bottom w:val="single" w:sz="8" w:color="auto"/>
              <w:right w:val="single" w:sz="8" w:color="auto"/>
            </w:tcBorders>
          </w:tcPr>
          <w:p>
            <w:pPr>
              <w:spacing w:after="0"/>
              <w:rPr>
                <w:sz w:val="19"/>
                <w:szCs w:val="19"/>
                <w:color w:val="auto"/>
              </w:rPr>
            </w:pPr>
          </w:p>
        </w:tc>
        <w:tc>
          <w:tcPr>
            <w:tcW w:w="2300" w:type="dxa"/>
            <w:vAlign w:val="bottom"/>
            <w:tcBorders>
              <w:bottom w:val="single" w:sz="8" w:color="auto"/>
              <w:right w:val="single" w:sz="8" w:color="auto"/>
            </w:tcBorders>
          </w:tcPr>
          <w:p>
            <w:pPr>
              <w:spacing w:after="0"/>
              <w:rPr>
                <w:sz w:val="19"/>
                <w:szCs w:val="19"/>
                <w:color w:val="auto"/>
              </w:rPr>
            </w:pPr>
          </w:p>
        </w:tc>
      </w:tr>
      <w:tr>
        <w:trPr>
          <w:trHeight w:val="173"/>
        </w:trPr>
        <w:tc>
          <w:tcPr>
            <w:tcW w:w="680" w:type="dxa"/>
            <w:vAlign w:val="bottom"/>
            <w:tcBorders>
              <w:left w:val="single" w:sz="8" w:color="auto"/>
            </w:tcBorders>
          </w:tcPr>
          <w:p>
            <w:pPr>
              <w:ind w:left="40"/>
              <w:spacing w:after="0" w:line="173" w:lineRule="exact"/>
              <w:rPr>
                <w:sz w:val="20"/>
                <w:szCs w:val="20"/>
                <w:color w:val="auto"/>
              </w:rPr>
            </w:pPr>
            <w:r>
              <w:rPr>
                <w:rFonts w:ascii="Times New Roman" w:cs="Times New Roman" w:eastAsia="Times New Roman" w:hAnsi="Times New Roman"/>
                <w:sz w:val="20"/>
                <w:szCs w:val="20"/>
                <w:color w:val="auto"/>
              </w:rPr>
              <w:t>4.625%</w:t>
            </w:r>
          </w:p>
        </w:tc>
        <w:tc>
          <w:tcPr>
            <w:tcW w:w="238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20"/>
                <w:szCs w:val="20"/>
                <w:color w:val="auto"/>
              </w:rPr>
              <w:t>Subordinated Notes due</w:t>
            </w:r>
          </w:p>
        </w:tc>
        <w:tc>
          <w:tcPr>
            <w:tcW w:w="3060" w:type="dxa"/>
            <w:vAlign w:val="bottom"/>
            <w:tcBorders>
              <w:right w:val="single" w:sz="8" w:color="auto"/>
            </w:tcBorders>
          </w:tcPr>
          <w:p>
            <w:pPr>
              <w:ind w:left="40"/>
              <w:spacing w:after="0" w:line="173" w:lineRule="exact"/>
              <w:rPr>
                <w:sz w:val="20"/>
                <w:szCs w:val="20"/>
                <w:color w:val="auto"/>
              </w:rPr>
            </w:pPr>
            <w:r>
              <w:rPr>
                <w:rFonts w:ascii="Times New Roman" w:cs="Times New Roman" w:eastAsia="Times New Roman" w:hAnsi="Times New Roman"/>
                <w:sz w:val="20"/>
                <w:szCs w:val="20"/>
                <w:color w:val="auto"/>
              </w:rPr>
              <w:t>Carlyle Finance L.L.C.</w:t>
            </w:r>
          </w:p>
        </w:tc>
        <w:tc>
          <w:tcPr>
            <w:tcW w:w="230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20"/>
                <w:szCs w:val="20"/>
                <w:color w:val="auto"/>
              </w:rPr>
              <w:t>Delaware</w:t>
            </w:r>
          </w:p>
        </w:tc>
      </w:tr>
      <w:tr>
        <w:trPr>
          <w:trHeight w:val="258"/>
        </w:trPr>
        <w:tc>
          <w:tcPr>
            <w:tcW w:w="6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2061</w:t>
            </w:r>
          </w:p>
        </w:tc>
        <w:tc>
          <w:tcPr>
            <w:tcW w:w="2380" w:type="dxa"/>
            <w:vAlign w:val="bottom"/>
            <w:tcBorders>
              <w:right w:val="single" w:sz="8" w:color="auto"/>
            </w:tcBorders>
          </w:tcPr>
          <w:p>
            <w:pPr>
              <w:spacing w:after="0"/>
              <w:rPr>
                <w:sz w:val="22"/>
                <w:szCs w:val="22"/>
                <w:color w:val="auto"/>
              </w:rPr>
            </w:pPr>
          </w:p>
        </w:tc>
        <w:tc>
          <w:tcPr>
            <w:tcW w:w="3060" w:type="dxa"/>
            <w:vAlign w:val="bottom"/>
            <w:tcBorders>
              <w:right w:val="single" w:sz="8" w:color="auto"/>
            </w:tcBorders>
          </w:tcPr>
          <w:p>
            <w:pPr>
              <w:spacing w:after="0"/>
              <w:rPr>
                <w:sz w:val="22"/>
                <w:szCs w:val="22"/>
                <w:color w:val="auto"/>
              </w:rPr>
            </w:pPr>
          </w:p>
        </w:tc>
        <w:tc>
          <w:tcPr>
            <w:tcW w:w="2300" w:type="dxa"/>
            <w:vAlign w:val="bottom"/>
            <w:tcBorders>
              <w:right w:val="single" w:sz="8" w:color="auto"/>
            </w:tcBorders>
          </w:tcPr>
          <w:p>
            <w:pPr>
              <w:spacing w:after="0"/>
              <w:rPr>
                <w:sz w:val="22"/>
                <w:szCs w:val="22"/>
                <w:color w:val="auto"/>
              </w:rPr>
            </w:pPr>
          </w:p>
        </w:tc>
      </w:tr>
      <w:tr>
        <w:trPr>
          <w:trHeight w:val="48"/>
        </w:trPr>
        <w:tc>
          <w:tcPr>
            <w:tcW w:w="680" w:type="dxa"/>
            <w:vAlign w:val="bottom"/>
            <w:tcBorders>
              <w:left w:val="single" w:sz="8" w:color="auto"/>
              <w:bottom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r>
    </w:tbl>
    <w:p>
      <w:pPr>
        <w:spacing w:after="0" w:line="261" w:lineRule="exact"/>
        <w:rPr>
          <w:sz w:val="20"/>
          <w:szCs w:val="20"/>
          <w:color w:val="auto"/>
        </w:rPr>
      </w:pPr>
    </w:p>
    <w:p>
      <w:pPr>
        <w:jc w:val="both"/>
        <w:ind w:left="300" w:right="479" w:firstLine="648"/>
        <w:spacing w:after="0" w:line="261" w:lineRule="auto"/>
        <w:rPr>
          <w:sz w:val="20"/>
          <w:szCs w:val="20"/>
          <w:color w:val="auto"/>
        </w:rPr>
      </w:pPr>
      <w:r>
        <w:rPr>
          <w:rFonts w:ascii="Times New Roman" w:cs="Times New Roman" w:eastAsia="Times New Roman" w:hAnsi="Times New Roman"/>
          <w:sz w:val="20"/>
          <w:szCs w:val="20"/>
          <w:color w:val="auto"/>
        </w:rPr>
        <w:t>As of March 31, 2024, the guarantors under the Notes consisted of the Company, as a guarantor that provides an unsecured guarantee of the Notes, and its wholly-owned subsidiaries listed in the below table. The guarantees are joint and several, and full and unconditional.</w:t>
      </w:r>
    </w:p>
    <w:p>
      <w:pPr>
        <w:spacing w:after="0" w:line="237" w:lineRule="exact"/>
        <w:rPr>
          <w:sz w:val="20"/>
          <w:szCs w:val="20"/>
          <w:color w:val="auto"/>
        </w:rPr>
      </w:pPr>
    </w:p>
    <w:tbl>
      <w:tblPr>
        <w:tblLayout w:type="fixed"/>
        <w:tblInd w:w="310" w:type="dxa"/>
        <w:tblCellMar>
          <w:top w:w="0" w:type="dxa"/>
          <w:left w:w="0" w:type="dxa"/>
          <w:bottom w:w="0" w:type="dxa"/>
          <w:right w:w="0" w:type="dxa"/>
        </w:tblCellMar>
      </w:tblPr>
      <w:tr>
        <w:trPr>
          <w:trHeight w:val="177"/>
        </w:trPr>
        <w:tc>
          <w:tcPr>
            <w:tcW w:w="4220" w:type="dxa"/>
            <w:vAlign w:val="bottom"/>
            <w:tcBorders>
              <w:top w:val="single" w:sz="8" w:color="auto"/>
              <w:left w:val="single" w:sz="8" w:color="auto"/>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20"/>
                <w:szCs w:val="20"/>
                <w:b w:val="1"/>
                <w:bCs w:val="1"/>
                <w:color w:val="auto"/>
              </w:rPr>
              <w:t>Guarantor</w:t>
            </w:r>
          </w:p>
        </w:tc>
        <w:tc>
          <w:tcPr>
            <w:tcW w:w="4220" w:type="dxa"/>
            <w:vAlign w:val="bottom"/>
            <w:tcBorders>
              <w:top w:val="single" w:sz="8" w:color="auto"/>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20"/>
                <w:szCs w:val="20"/>
                <w:b w:val="1"/>
                <w:bCs w:val="1"/>
                <w:color w:val="auto"/>
              </w:rPr>
              <w:t>Jurisdiction of Formation, Organization, or</w:t>
            </w:r>
          </w:p>
        </w:tc>
      </w:tr>
      <w:tr>
        <w:trPr>
          <w:trHeight w:val="262"/>
        </w:trPr>
        <w:tc>
          <w:tcPr>
            <w:tcW w:w="4220" w:type="dxa"/>
            <w:vAlign w:val="bottom"/>
            <w:tcBorders>
              <w:left w:val="single" w:sz="8" w:color="auto"/>
              <w:right w:val="single" w:sz="8" w:color="auto"/>
            </w:tcBorders>
          </w:tcPr>
          <w:p>
            <w:pPr>
              <w:spacing w:after="0"/>
              <w:rPr>
                <w:sz w:val="22"/>
                <w:szCs w:val="22"/>
                <w:color w:val="auto"/>
              </w:rPr>
            </w:pPr>
          </w:p>
        </w:tc>
        <w:tc>
          <w:tcPr>
            <w:tcW w:w="42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Incorporation</w:t>
            </w:r>
          </w:p>
        </w:tc>
      </w:tr>
      <w:tr>
        <w:trPr>
          <w:trHeight w:val="35"/>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r>
      <w:tr>
        <w:trPr>
          <w:trHeight w:val="26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Carlyle Holdings I L.P.</w:t>
            </w:r>
          </w:p>
        </w:tc>
        <w:tc>
          <w:tcPr>
            <w:tcW w:w="42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Delaware</w:t>
            </w:r>
          </w:p>
        </w:tc>
      </w:tr>
      <w:tr>
        <w:trPr>
          <w:trHeight w:val="263"/>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Carlyle Holdings II L.P.*</w:t>
            </w:r>
          </w:p>
        </w:tc>
        <w:tc>
          <w:tcPr>
            <w:tcW w:w="42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Quebec</w:t>
            </w:r>
          </w:p>
        </w:tc>
      </w:tr>
      <w:tr>
        <w:trPr>
          <w:trHeight w:val="263"/>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Carlyle Holdings III L.P.</w:t>
            </w:r>
          </w:p>
        </w:tc>
        <w:tc>
          <w:tcPr>
            <w:tcW w:w="42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Quebec</w:t>
            </w:r>
          </w:p>
        </w:tc>
      </w:tr>
      <w:tr>
        <w:trPr>
          <w:trHeight w:val="264"/>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CG Subsidiary Holdings L.L.C.</w:t>
            </w:r>
          </w:p>
        </w:tc>
        <w:tc>
          <w:tcPr>
            <w:tcW w:w="42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Delaware</w:t>
            </w:r>
          </w:p>
        </w:tc>
      </w:tr>
      <w:tr>
        <w:trPr>
          <w:trHeight w:val="263"/>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Carlyle Holdings II L.L.C.</w:t>
            </w:r>
          </w:p>
        </w:tc>
        <w:tc>
          <w:tcPr>
            <w:tcW w:w="42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Delaware</w:t>
            </w:r>
          </w:p>
        </w:tc>
      </w:tr>
    </w:tbl>
    <w:p>
      <w:pPr>
        <w:spacing w:after="0" w:line="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 Carlyle Holdings II L.P. is not a guarantor of the 4.625% Subordinated Notes due 2061</w:t>
      </w:r>
    </w:p>
    <w:p>
      <w:pPr>
        <w:sectPr>
          <w:pgSz w:w="11900" w:h="16838" w:orient="portrait"/>
          <w:cols w:equalWidth="0" w:num="1">
            <w:col w:w="9019"/>
          </w:cols>
          <w:pgMar w:left="1440" w:top="324" w:right="1440"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Harvey M. Schwartz, certify that:</w:t>
      </w:r>
    </w:p>
    <w:p>
      <w:pPr>
        <w:spacing w:after="0" w:line="225" w:lineRule="exact"/>
        <w:rPr>
          <w:sz w:val="20"/>
          <w:szCs w:val="20"/>
          <w:color w:val="auto"/>
        </w:rPr>
      </w:pPr>
    </w:p>
    <w:p>
      <w:pPr>
        <w:ind w:left="820" w:right="280" w:hanging="489"/>
        <w:spacing w:after="0" w:line="282" w:lineRule="auto"/>
        <w:tabs>
          <w:tab w:leader="none" w:pos="8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The Carlyle Group Inc.;</w:t>
      </w:r>
    </w:p>
    <w:p>
      <w:pPr>
        <w:spacing w:after="0" w:line="161" w:lineRule="exact"/>
        <w:rPr>
          <w:rFonts w:ascii="Times New Roman" w:cs="Times New Roman" w:eastAsia="Times New Roman" w:hAnsi="Times New Roman"/>
          <w:sz w:val="18"/>
          <w:szCs w:val="18"/>
          <w:color w:val="auto"/>
        </w:rPr>
      </w:pPr>
    </w:p>
    <w:p>
      <w:pPr>
        <w:ind w:left="820" w:hanging="489"/>
        <w:spacing w:after="0" w:line="266" w:lineRule="auto"/>
        <w:tabs>
          <w:tab w:leader="none" w:pos="8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right="280" w:hanging="489"/>
        <w:spacing w:after="0" w:line="266" w:lineRule="auto"/>
        <w:tabs>
          <w:tab w:leader="none" w:pos="8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820" w:right="120" w:hanging="489"/>
        <w:spacing w:after="0" w:line="266" w:lineRule="auto"/>
        <w:tabs>
          <w:tab w:leader="none" w:pos="8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ind w:left="1300" w:right="160" w:hanging="483"/>
        <w:spacing w:after="0" w:line="255" w:lineRule="auto"/>
        <w:tabs>
          <w:tab w:leader="none" w:pos="130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ind w:left="1300" w:right="260" w:hanging="483"/>
        <w:spacing w:after="0" w:line="250" w:lineRule="auto"/>
        <w:tabs>
          <w:tab w:leader="none" w:pos="130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300" w:right="120" w:hanging="483"/>
        <w:spacing w:after="0" w:line="250" w:lineRule="auto"/>
        <w:tabs>
          <w:tab w:leader="none" w:pos="130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300" w:right="60" w:hanging="483"/>
        <w:spacing w:after="0" w:line="253" w:lineRule="auto"/>
        <w:tabs>
          <w:tab w:leader="none" w:pos="130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jc w:val="both"/>
        <w:ind w:left="820" w:right="440" w:hanging="489"/>
        <w:spacing w:after="0" w:line="266" w:lineRule="auto"/>
        <w:tabs>
          <w:tab w:leader="none" w:pos="8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8"/>
          <w:szCs w:val="18"/>
          <w:color w:val="auto"/>
        </w:rPr>
      </w:pPr>
    </w:p>
    <w:p>
      <w:pPr>
        <w:ind w:left="1300" w:right="220" w:hanging="483"/>
        <w:spacing w:after="0" w:line="266" w:lineRule="auto"/>
        <w:tabs>
          <w:tab w:leader="none" w:pos="130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40" w:hanging="483"/>
        <w:spacing w:after="0" w:line="282" w:lineRule="auto"/>
        <w:tabs>
          <w:tab w:leader="none" w:pos="130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7, 2024</w:t>
      </w:r>
    </w:p>
    <w:p>
      <w:pPr>
        <w:spacing w:after="0" w:line="3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Harvey M. Schwartz</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Harvey M. Schwartz</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Carlyle Group Inc.</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9240"/>
          </w:cols>
          <w:pgMar w:left="1320" w:top="860" w:right="1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C. Redett, certify that:</w:t>
      </w:r>
    </w:p>
    <w:p>
      <w:pPr>
        <w:spacing w:after="0" w:line="144" w:lineRule="exact"/>
        <w:rPr>
          <w:sz w:val="20"/>
          <w:szCs w:val="20"/>
          <w:color w:val="auto"/>
        </w:rPr>
      </w:pPr>
    </w:p>
    <w:p>
      <w:pPr>
        <w:ind w:left="820" w:right="280" w:hanging="489"/>
        <w:spacing w:after="0" w:line="282" w:lineRule="auto"/>
        <w:tabs>
          <w:tab w:leader="none" w:pos="8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The Carlyle Group Inc.;</w:t>
      </w:r>
    </w:p>
    <w:p>
      <w:pPr>
        <w:spacing w:after="0" w:line="161" w:lineRule="exact"/>
        <w:rPr>
          <w:rFonts w:ascii="Times New Roman" w:cs="Times New Roman" w:eastAsia="Times New Roman" w:hAnsi="Times New Roman"/>
          <w:sz w:val="18"/>
          <w:szCs w:val="18"/>
          <w:color w:val="auto"/>
        </w:rPr>
      </w:pPr>
    </w:p>
    <w:p>
      <w:pPr>
        <w:ind w:left="820" w:hanging="489"/>
        <w:spacing w:after="0" w:line="266" w:lineRule="auto"/>
        <w:tabs>
          <w:tab w:leader="none" w:pos="8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20" w:right="280" w:hanging="489"/>
        <w:spacing w:after="0" w:line="266" w:lineRule="auto"/>
        <w:tabs>
          <w:tab w:leader="none" w:pos="8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820" w:right="120" w:hanging="489"/>
        <w:spacing w:after="0" w:line="266" w:lineRule="auto"/>
        <w:tabs>
          <w:tab w:leader="none" w:pos="8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1300" w:right="160" w:hanging="483"/>
        <w:spacing w:after="0" w:line="255" w:lineRule="auto"/>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ind w:left="1300" w:right="260" w:hanging="483"/>
        <w:spacing w:after="0" w:line="250" w:lineRule="auto"/>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300" w:right="120" w:hanging="483"/>
        <w:spacing w:after="0" w:line="250" w:lineRule="auto"/>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300" w:right="60" w:hanging="483"/>
        <w:spacing w:after="0" w:line="253" w:lineRule="auto"/>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jc w:val="both"/>
        <w:ind w:left="820" w:right="440" w:hanging="489"/>
        <w:spacing w:after="0" w:line="266" w:lineRule="auto"/>
        <w:tabs>
          <w:tab w:leader="none" w:pos="8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right="220" w:hanging="483"/>
        <w:spacing w:after="0" w:line="266" w:lineRule="auto"/>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40" w:hanging="483"/>
        <w:spacing w:after="0" w:line="282" w:lineRule="auto"/>
        <w:tabs>
          <w:tab w:leader="none" w:pos="13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7, 2024</w:t>
      </w:r>
    </w:p>
    <w:p>
      <w:pPr>
        <w:spacing w:after="0" w:line="3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C. Redett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C. Redett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Carlyle Group Inc.</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9240"/>
          </w:cols>
          <w:pgMar w:left="1320" w:top="860" w:right="1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18 U.S.C. Section 1350, As Adopted Pursuant to Section 906 of the Sarbanes-Oxley Act of 2002</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The Carlyle Group Inc. (the “Company”) on Form 10-Q for the quarter ended March 31, 2024 filed with the Securities and Exchange Commission on the date hereof (the “Report”), I, Harvey M. Schwartz, Chief Executive Officer of the Company, certify, pursuant to 18 U.S.C. §1350, as adopted pursuant to §906 of the Sarbanes-Oxley Act of 2002, that:</w:t>
      </w:r>
    </w:p>
    <w:p>
      <w:pPr>
        <w:spacing w:after="0" w:line="180" w:lineRule="exact"/>
        <w:rPr>
          <w:sz w:val="20"/>
          <w:szCs w:val="20"/>
          <w:color w:val="auto"/>
        </w:rPr>
      </w:pPr>
    </w:p>
    <w:p>
      <w:pPr>
        <w:ind w:left="260" w:hanging="253"/>
        <w:spacing w:after="0"/>
        <w:tabs>
          <w:tab w:leader="none" w:pos="2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60" w:firstLine="7"/>
        <w:spacing w:after="0" w:line="282" w:lineRule="auto"/>
        <w:tabs>
          <w:tab w:leader="none" w:pos="25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Harvey M. Schwartz</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Harvey M. Schwartz</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Carlyle Group Inc.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200" w:lineRule="exact"/>
        <w:rPr>
          <w:sz w:val="20"/>
          <w:szCs w:val="20"/>
          <w:color w:val="auto"/>
        </w:rPr>
      </w:pPr>
    </w:p>
    <w:p>
      <w:pPr>
        <w:spacing w:after="0" w:line="201" w:lineRule="exact"/>
        <w:rPr>
          <w:sz w:val="20"/>
          <w:szCs w:val="20"/>
          <w:color w:val="auto"/>
        </w:rPr>
      </w:pPr>
    </w:p>
    <w:p>
      <w:pPr>
        <w:ind w:left="420" w:right="200" w:hanging="366"/>
        <w:spacing w:after="0" w:line="250" w:lineRule="auto"/>
        <w:tabs>
          <w:tab w:leader="none" w:pos="4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9240"/>
          </w:cols>
          <w:pgMar w:left="1320" w:top="860" w:right="1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716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32320" cy="9071610"/>
                    </a:xfrm>
                    <a:prstGeom prst="rect">
                      <a:avLst/>
                    </a:prstGeom>
                    <a:noFill/>
                  </pic:spPr>
                </pic:pic>
              </a:graphicData>
            </a:graphic>
          </wp:anchor>
        </w:drawing>
        <w:t>Exhibit 32.2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18 U.S.C. Section 1350, As Adopted Pursuant to Section 906 of the Sarbanes-Oxley Act of 2002</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The Carlyle Group Inc. (the “Company”) on Form 10-Q for the quarter ended March 31, 2024 filed with the Securities and Exchange Commission on the date hereof (the “Report”), I, John C. Redett, Chief Financial Officer of the Company, certify, pursuant to 18 U.S.C. §1350, as adopted pursuant to §906 of the Sarbanes-Oxley Act of 2002, that:</w:t>
      </w:r>
    </w:p>
    <w:p>
      <w:pPr>
        <w:spacing w:after="0" w:line="180" w:lineRule="exact"/>
        <w:rPr>
          <w:sz w:val="20"/>
          <w:szCs w:val="20"/>
          <w:color w:val="auto"/>
        </w:rPr>
      </w:pPr>
    </w:p>
    <w:p>
      <w:pPr>
        <w:ind w:left="260" w:hanging="253"/>
        <w:spacing w:after="0"/>
        <w:tabs>
          <w:tab w:leader="none" w:pos="2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60" w:firstLine="7"/>
        <w:spacing w:after="0" w:line="282" w:lineRule="auto"/>
        <w:tabs>
          <w:tab w:leader="none" w:pos="25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C. Redett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C. Redett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Carlyle Group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200" w:lineRule="exact"/>
        <w:rPr>
          <w:sz w:val="20"/>
          <w:szCs w:val="20"/>
          <w:color w:val="auto"/>
        </w:rPr>
      </w:pPr>
    </w:p>
    <w:p>
      <w:pPr>
        <w:spacing w:after="0" w:line="201" w:lineRule="exact"/>
        <w:rPr>
          <w:sz w:val="20"/>
          <w:szCs w:val="20"/>
          <w:color w:val="auto"/>
        </w:rPr>
      </w:pPr>
    </w:p>
    <w:p>
      <w:pPr>
        <w:ind w:left="420" w:right="200" w:hanging="366"/>
        <w:spacing w:after="0" w:line="250" w:lineRule="auto"/>
        <w:tabs>
          <w:tab w:leader="none" w:pos="4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9240"/>
      </w:cols>
      <w:pgMar w:left="1320" w:top="860"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211F2"/>
    <w:multiLevelType w:val="hybridMultilevel"/>
    <w:lvl w:ilvl="0">
      <w:lvlJc w:val="left"/>
      <w:lvlText w:val="☒"/>
      <w:numFmt w:val="bullet"/>
      <w:start w:val="1"/>
    </w:lvl>
  </w:abstractNum>
  <w:abstractNum w:abstractNumId="1">
    <w:nsid w:val="885E1B"/>
    <w:multiLevelType w:val="hybridMultilevel"/>
    <w:lvl w:ilvl="0">
      <w:lvlJc w:val="left"/>
      <w:lvlText w:val="☐"/>
      <w:numFmt w:val="bullet"/>
      <w:start w:val="1"/>
    </w:lvl>
  </w:abstractNum>
  <w:abstractNum w:abstractNumId="2">
    <w:nsid w:val="76272110"/>
    <w:multiLevelType w:val="hybridMultilevel"/>
    <w:lvl w:ilvl="0">
      <w:lvlJc w:val="left"/>
      <w:lvlText w:val="%1"/>
      <w:numFmt w:val="upperLetter"/>
      <w:start w:val="61"/>
    </w:lvl>
  </w:abstractNum>
  <w:abstractNum w:abstractNumId="3">
    <w:nsid w:val="4C04A8AF"/>
    <w:multiLevelType w:val="hybridMultilevel"/>
    <w:lvl w:ilvl="0">
      <w:lvlJc w:val="left"/>
      <w:lvlText w:val="•"/>
      <w:numFmt w:val="bullet"/>
      <w:start w:val="1"/>
    </w:lvl>
  </w:abstractNum>
  <w:abstractNum w:abstractNumId="4">
    <w:nsid w:val="1716703B"/>
    <w:multiLevelType w:val="hybridMultilevel"/>
    <w:lvl w:ilvl="0">
      <w:lvlJc w:val="left"/>
      <w:lvlText w:val="(%1)"/>
      <w:numFmt w:val="lowerLetter"/>
      <w:start w:val="1"/>
    </w:lvl>
  </w:abstractNum>
  <w:abstractNum w:abstractNumId="5">
    <w:nsid w:val="14E17E33"/>
    <w:multiLevelType w:val="hybridMultilevel"/>
    <w:lvl w:ilvl="0">
      <w:lvlJc w:val="left"/>
      <w:lvlText w:val="(%1)"/>
      <w:numFmt w:val="lowerLetter"/>
      <w:start w:val="1"/>
    </w:lvl>
  </w:abstractNum>
  <w:abstractNum w:abstractNumId="6">
    <w:nsid w:val="3222E7CD"/>
    <w:multiLevelType w:val="hybridMultilevel"/>
    <w:lvl w:ilvl="0">
      <w:lvlJc w:val="left"/>
      <w:lvlText w:val="(%1)"/>
      <w:numFmt w:val="lowerLetter"/>
      <w:start w:val="4"/>
    </w:lvl>
  </w:abstractNum>
  <w:abstractNum w:abstractNumId="7">
    <w:nsid w:val="74DE0EE3"/>
    <w:multiLevelType w:val="hybridMultilevel"/>
    <w:lvl w:ilvl="0">
      <w:lvlJc w:val="left"/>
      <w:lvlText w:val="%1."/>
      <w:numFmt w:val="decimal"/>
      <w:start w:val="2"/>
    </w:lvl>
  </w:abstractNum>
  <w:abstractNum w:abstractNumId="8">
    <w:nsid w:val="68EBC550"/>
    <w:multiLevelType w:val="hybridMultilevel"/>
    <w:lvl w:ilvl="0">
      <w:lvlJc w:val="left"/>
      <w:lvlText w:val="•"/>
      <w:numFmt w:val="bullet"/>
      <w:start w:val="1"/>
    </w:lvl>
  </w:abstractNum>
  <w:abstractNum w:abstractNumId="9">
    <w:nsid w:val="2DF6D648"/>
    <w:multiLevelType w:val="hybridMultilevel"/>
    <w:lvl w:ilvl="0">
      <w:lvlJc w:val="left"/>
      <w:lvlText w:val="(%1)"/>
      <w:numFmt w:val="decimal"/>
      <w:start w:val="1"/>
    </w:lvl>
  </w:abstractNum>
  <w:abstractNum w:abstractNumId="10">
    <w:nsid w:val="46B7D447"/>
    <w:multiLevelType w:val="hybridMultilevel"/>
    <w:lvl w:ilvl="0">
      <w:lvlJc w:val="left"/>
      <w:lvlText w:val="(%1)"/>
      <w:numFmt w:val="decimal"/>
      <w:start w:val="1"/>
    </w:lvl>
  </w:abstractNum>
  <w:abstractNum w:abstractNumId="11">
    <w:nsid w:val="4A2AC315"/>
    <w:multiLevelType w:val="hybridMultilevel"/>
    <w:lvl w:ilvl="0">
      <w:lvlJc w:val="left"/>
      <w:lvlText w:val="(%1)"/>
      <w:numFmt w:val="decimal"/>
      <w:start w:val="1"/>
    </w:lvl>
  </w:abstractNum>
  <w:abstractNum w:abstractNumId="12">
    <w:nsid w:val="39EE015C"/>
    <w:multiLevelType w:val="hybridMultilevel"/>
    <w:lvl w:ilvl="0">
      <w:lvlJc w:val="left"/>
      <w:lvlText w:val="(%1)"/>
      <w:numFmt w:val="decimal"/>
      <w:start w:val="1"/>
    </w:lvl>
  </w:abstractNum>
  <w:abstractNum w:abstractNumId="13">
    <w:nsid w:val="57FC4FBB"/>
    <w:multiLevelType w:val="hybridMultilevel"/>
    <w:lvl w:ilvl="0">
      <w:lvlJc w:val="left"/>
      <w:lvlText w:val="(%1)"/>
      <w:numFmt w:val="decimal"/>
      <w:start w:val="1"/>
    </w:lvl>
  </w:abstractNum>
  <w:abstractNum w:abstractNumId="14">
    <w:nsid w:val="CC1016F"/>
    <w:multiLevelType w:val="hybridMultilevel"/>
    <w:lvl w:ilvl="0">
      <w:lvlJc w:val="left"/>
      <w:lvlText w:val="(%1)"/>
      <w:numFmt w:val="decimal"/>
      <w:start w:val="1"/>
    </w:lvl>
  </w:abstractNum>
  <w:abstractNum w:abstractNumId="15">
    <w:nsid w:val="43F18422"/>
    <w:multiLevelType w:val="hybridMultilevel"/>
    <w:lvl w:ilvl="0">
      <w:lvlJc w:val="left"/>
      <w:lvlText w:val="(%1)"/>
      <w:numFmt w:val="decimal"/>
      <w:start w:val="1"/>
    </w:lvl>
  </w:abstractNum>
  <w:abstractNum w:abstractNumId="16">
    <w:nsid w:val="60EF0119"/>
    <w:multiLevelType w:val="hybridMultilevel"/>
    <w:lvl w:ilvl="0">
      <w:lvlJc w:val="left"/>
      <w:lvlText w:val="(%1)"/>
      <w:numFmt w:val="decimal"/>
      <w:start w:val="1"/>
    </w:lvl>
  </w:abstractNum>
  <w:abstractNum w:abstractNumId="17">
    <w:nsid w:val="26F324BA"/>
    <w:multiLevelType w:val="hybridMultilevel"/>
    <w:lvl w:ilvl="0">
      <w:lvlJc w:val="left"/>
      <w:lvlText w:val="(%1)"/>
      <w:numFmt w:val="decimal"/>
      <w:start w:val="1"/>
    </w:lvl>
  </w:abstractNum>
  <w:abstractNum w:abstractNumId="18">
    <w:nsid w:val="7F01579B"/>
    <w:multiLevelType w:val="hybridMultilevel"/>
    <w:lvl w:ilvl="0">
      <w:lvlJc w:val="left"/>
      <w:lvlText w:val="(%1)"/>
      <w:numFmt w:val="decimal"/>
      <w:start w:val="1"/>
    </w:lvl>
  </w:abstractNum>
  <w:abstractNum w:abstractNumId="19">
    <w:nsid w:val="49DA307D"/>
    <w:multiLevelType w:val="hybridMultilevel"/>
    <w:lvl w:ilvl="0">
      <w:lvlJc w:val="left"/>
      <w:lvlText w:val="%1."/>
      <w:numFmt w:val="decimal"/>
      <w:start w:val="8"/>
    </w:lvl>
  </w:abstractNum>
  <w:abstractNum w:abstractNumId="20">
    <w:nsid w:val="7055A5F5"/>
    <w:multiLevelType w:val="hybridMultilevel"/>
    <w:lvl w:ilvl="0">
      <w:lvlJc w:val="left"/>
      <w:lvlText w:val="(%1)"/>
      <w:numFmt w:val="decimal"/>
      <w:start w:val="2"/>
    </w:lvl>
  </w:abstractNum>
  <w:abstractNum w:abstractNumId="21">
    <w:nsid w:val="5FB8370B"/>
    <w:multiLevelType w:val="hybridMultilevel"/>
    <w:lvl w:ilvl="0">
      <w:lvlJc w:val="left"/>
      <w:lvlText w:val="(%1)"/>
      <w:numFmt w:val="decimal"/>
      <w:start w:val="4"/>
    </w:lvl>
  </w:abstractNum>
  <w:abstractNum w:abstractNumId="22">
    <w:nsid w:val="50801EE1"/>
    <w:multiLevelType w:val="hybridMultilevel"/>
    <w:lvl w:ilvl="0">
      <w:lvlJc w:val="left"/>
      <w:lvlText w:val="(%1)"/>
      <w:numFmt w:val="lowerLetter"/>
      <w:start w:val="1"/>
    </w:lvl>
  </w:abstractNum>
  <w:abstractNum w:abstractNumId="23">
    <w:nsid w:val="488AC1A"/>
    <w:multiLevelType w:val="hybridMultilevel"/>
    <w:lvl w:ilvl="0">
      <w:lvlJc w:val="left"/>
      <w:lvlText w:val="%1"/>
      <w:numFmt w:val="lowerLetter"/>
      <w:start w:val="1"/>
    </w:lvl>
    <w:lvl w:ilvl="1">
      <w:lvlJc w:val="left"/>
      <w:lvlText w:val="(%2)"/>
      <w:numFmt w:val="decimal"/>
      <w:start w:val="1"/>
    </w:lvl>
  </w:abstractNum>
  <w:abstractNum w:abstractNumId="24">
    <w:nsid w:val="5FB8011C"/>
    <w:multiLevelType w:val="hybridMultilevel"/>
    <w:lvl w:ilvl="0">
      <w:lvlJc w:val="left"/>
      <w:lvlText w:val="(%1)"/>
      <w:numFmt w:val="lowerLetter"/>
      <w:start w:val="2"/>
    </w:lvl>
    <w:lvl w:ilvl="1">
      <w:lvlJc w:val="left"/>
      <w:lvlText w:val="%2"/>
      <w:numFmt w:val="decimal"/>
      <w:start w:val="1"/>
    </w:lvl>
  </w:abstractNum>
  <w:abstractNum w:abstractNumId="25">
    <w:nsid w:val="6AA78F7F"/>
    <w:multiLevelType w:val="hybridMultilevel"/>
    <w:lvl w:ilvl="0">
      <w:lvlJc w:val="left"/>
      <w:lvlText w:val="(%1)"/>
      <w:numFmt w:val="lowerLetter"/>
      <w:start w:val="3"/>
    </w:lvl>
  </w:abstractNum>
  <w:abstractNum w:abstractNumId="26">
    <w:nsid w:val="7672BD23"/>
    <w:multiLevelType w:val="hybridMultilevel"/>
    <w:lvl w:ilvl="0">
      <w:lvlJc w:val="left"/>
      <w:lvlText w:val="(%1)"/>
      <w:numFmt w:val="lowerLetter"/>
      <w:start w:val="4"/>
    </w:lvl>
  </w:abstractNum>
  <w:abstractNum w:abstractNumId="27">
    <w:nsid w:val="6FC75AF8"/>
    <w:multiLevelType w:val="hybridMultilevel"/>
    <w:lvl w:ilvl="0">
      <w:lvlJc w:val="left"/>
      <w:lvlText w:val="(%1)"/>
      <w:numFmt w:val="decimal"/>
      <w:start w:val="1"/>
    </w:lvl>
  </w:abstractNum>
  <w:abstractNum w:abstractNumId="28">
    <w:nsid w:val="6A5F7029"/>
    <w:multiLevelType w:val="hybridMultilevel"/>
    <w:lvl w:ilvl="0">
      <w:lvlJc w:val="left"/>
      <w:lvlText w:val="%1"/>
      <w:numFmt w:val="decimal"/>
      <w:start w:val="1"/>
    </w:lvl>
    <w:lvl w:ilvl="1">
      <w:lvlJc w:val="left"/>
      <w:lvlText w:val="(%2)"/>
      <w:numFmt w:val="lowerLetter"/>
      <w:start w:val="5"/>
    </w:lvl>
  </w:abstractNum>
  <w:abstractNum w:abstractNumId="29">
    <w:nsid w:val="7D5E18F8"/>
    <w:multiLevelType w:val="hybridMultilevel"/>
    <w:lvl w:ilvl="0">
      <w:lvlJc w:val="left"/>
      <w:lvlText w:val="%1."/>
      <w:numFmt w:val="decimal"/>
      <w:start w:val="16"/>
    </w:lvl>
    <w:lvl w:ilvl="1">
      <w:lvlJc w:val="left"/>
      <w:lvlText w:val="%2"/>
      <w:numFmt w:val="lowerLetter"/>
      <w:start w:val="1"/>
    </w:lvl>
  </w:abstractNum>
  <w:abstractNum w:abstractNumId="30">
    <w:nsid w:val="5F3534A4"/>
    <w:multiLevelType w:val="hybridMultilevel"/>
    <w:lvl w:ilvl="0">
      <w:lvlJc w:val="left"/>
      <w:lvlText w:val="•"/>
      <w:numFmt w:val="bullet"/>
      <w:start w:val="1"/>
    </w:lvl>
  </w:abstractNum>
  <w:abstractNum w:abstractNumId="31">
    <w:nsid w:val="73A1821B"/>
    <w:multiLevelType w:val="hybridMultilevel"/>
    <w:lvl w:ilvl="0">
      <w:lvlJc w:val="left"/>
      <w:lvlText w:val="(%1)"/>
      <w:numFmt w:val="decimal"/>
      <w:start w:val="1"/>
    </w:lvl>
  </w:abstractNum>
  <w:abstractNum w:abstractNumId="32">
    <w:nsid w:val="7DE67713"/>
    <w:multiLevelType w:val="hybridMultilevel"/>
    <w:lvl w:ilvl="0">
      <w:lvlJc w:val="left"/>
      <w:lvlText w:val="(%1)"/>
      <w:numFmt w:val="decimal"/>
      <w:start w:val="7"/>
    </w:lvl>
  </w:abstractNum>
  <w:abstractNum w:abstractNumId="33">
    <w:nsid w:val="555C55B5"/>
    <w:multiLevelType w:val="hybridMultilevel"/>
    <w:lvl w:ilvl="0">
      <w:lvlJc w:val="left"/>
      <w:lvlText w:val="(%1)"/>
      <w:numFmt w:val="lowerLetter"/>
      <w:start w:val="1"/>
    </w:lvl>
  </w:abstractNum>
  <w:abstractNum w:abstractNumId="34">
    <w:nsid w:val="3FA62ACA"/>
    <w:multiLevelType w:val="hybridMultilevel"/>
    <w:lvl w:ilvl="0">
      <w:lvlJc w:val="left"/>
      <w:lvlText w:val="(%1)"/>
      <w:numFmt w:val="lowerLetter"/>
      <w:start w:val="5"/>
    </w:lvl>
  </w:abstractNum>
  <w:abstractNum w:abstractNumId="35">
    <w:nsid w:val="14FCE74E"/>
    <w:multiLevelType w:val="hybridMultilevel"/>
    <w:lvl w:ilvl="0">
      <w:lvlJc w:val="left"/>
      <w:lvlText w:val="(%1)"/>
      <w:numFmt w:val="decimal"/>
      <w:start w:val="1"/>
    </w:lvl>
  </w:abstractNum>
  <w:abstractNum w:abstractNumId="36">
    <w:nsid w:val="6A3DD3E8"/>
    <w:multiLevelType w:val="hybridMultilevel"/>
    <w:lvl w:ilvl="0">
      <w:lvlJc w:val="left"/>
      <w:lvlText w:val="(%1)"/>
      <w:numFmt w:val="decimal"/>
      <w:start w:val="1"/>
    </w:lvl>
  </w:abstractNum>
  <w:abstractNum w:abstractNumId="37">
    <w:nsid w:val="71C91298"/>
    <w:multiLevelType w:val="hybridMultilevel"/>
    <w:lvl w:ilvl="0">
      <w:lvlJc w:val="left"/>
      <w:lvlText w:val="(%1)"/>
      <w:numFmt w:val="lowerLetter"/>
      <w:start w:val="1"/>
    </w:lvl>
  </w:abstractNum>
  <w:abstractNum w:abstractNumId="38">
    <w:nsid w:val="9DAF632"/>
    <w:multiLevelType w:val="hybridMultilevel"/>
    <w:lvl w:ilvl="0">
      <w:lvlJc w:val="left"/>
      <w:lvlText w:val="(%1)"/>
      <w:numFmt w:val="decimal"/>
      <w:start w:val="1"/>
    </w:lvl>
  </w:abstractNum>
  <w:abstractNum w:abstractNumId="39">
    <w:nsid w:val="53299938"/>
    <w:multiLevelType w:val="hybridMultilevel"/>
    <w:lvl w:ilvl="0">
      <w:lvlJc w:val="left"/>
      <w:lvlText w:val="(%1)"/>
      <w:numFmt w:val="decimal"/>
      <w:start w:val="1"/>
    </w:lvl>
  </w:abstractNum>
  <w:abstractNum w:abstractNumId="40">
    <w:nsid w:val="1FBFE8E0"/>
    <w:multiLevelType w:val="hybridMultilevel"/>
    <w:lvl w:ilvl="0">
      <w:lvlJc w:val="left"/>
      <w:lvlText w:val="•"/>
      <w:numFmt w:val="bullet"/>
      <w:start w:val="1"/>
    </w:lvl>
  </w:abstractNum>
  <w:abstractNum w:abstractNumId="41">
    <w:nsid w:val="5092CA79"/>
    <w:multiLevelType w:val="hybridMultilevel"/>
    <w:lvl w:ilvl="0">
      <w:lvlJc w:val="left"/>
      <w:lvlText w:val="•"/>
      <w:numFmt w:val="bullet"/>
      <w:start w:val="1"/>
    </w:lvl>
  </w:abstractNum>
  <w:abstractNum w:abstractNumId="42">
    <w:nsid w:val="1D545C4D"/>
    <w:multiLevelType w:val="hybridMultilevel"/>
    <w:lvl w:ilvl="0">
      <w:lvlJc w:val="left"/>
      <w:lvlText w:val="(%1)"/>
      <w:numFmt w:val="decimal"/>
      <w:start w:val="1"/>
    </w:lvl>
  </w:abstractNum>
  <w:abstractNum w:abstractNumId="43">
    <w:nsid w:val="59ADEA3D"/>
    <w:multiLevelType w:val="hybridMultilevel"/>
    <w:lvl w:ilvl="0">
      <w:lvlJc w:val="left"/>
      <w:lvlText w:val="(%1)"/>
      <w:numFmt w:val="decimal"/>
      <w:start w:val="3"/>
    </w:lvl>
  </w:abstractNum>
  <w:abstractNum w:abstractNumId="44">
    <w:nsid w:val="288F1A34"/>
    <w:multiLevelType w:val="hybridMultilevel"/>
    <w:lvl w:ilvl="0">
      <w:lvlJc w:val="left"/>
      <w:lvlText w:val="(%1)"/>
      <w:numFmt w:val="decimal"/>
      <w:start w:val="1"/>
    </w:lvl>
  </w:abstractNum>
  <w:abstractNum w:abstractNumId="45">
    <w:nsid w:val="2A155DBC"/>
    <w:multiLevelType w:val="hybridMultilevel"/>
    <w:lvl w:ilvl="0">
      <w:lvlJc w:val="left"/>
      <w:lvlText w:val="(%1)"/>
      <w:numFmt w:val="decimal"/>
      <w:start w:val="1"/>
    </w:lvl>
  </w:abstractNum>
  <w:abstractNum w:abstractNumId="46">
    <w:nsid w:val="1D9F6E5F"/>
    <w:multiLevelType w:val="hybridMultilevel"/>
    <w:lvl w:ilvl="0">
      <w:lvlJc w:val="left"/>
      <w:lvlText w:val="(%1)"/>
      <w:numFmt w:val="decimal"/>
      <w:start w:val="1"/>
    </w:lvl>
  </w:abstractNum>
  <w:abstractNum w:abstractNumId="47">
    <w:nsid w:val="97E1B4E"/>
    <w:multiLevelType w:val="hybridMultilevel"/>
    <w:lvl w:ilvl="0">
      <w:lvlJc w:val="left"/>
      <w:lvlText w:val="(%1)"/>
      <w:numFmt w:val="decimal"/>
      <w:start w:val="1"/>
    </w:lvl>
  </w:abstractNum>
  <w:abstractNum w:abstractNumId="48">
    <w:nsid w:val="51088277"/>
    <w:multiLevelType w:val="hybridMultilevel"/>
    <w:lvl w:ilvl="0">
      <w:lvlJc w:val="left"/>
      <w:lvlText w:val="(%1)"/>
      <w:numFmt w:val="decimal"/>
      <w:start w:val="1"/>
    </w:lvl>
  </w:abstractNum>
  <w:abstractNum w:abstractNumId="49">
    <w:nsid w:val="1CA0C5FA"/>
    <w:multiLevelType w:val="hybridMultilevel"/>
    <w:lvl w:ilvl="0">
      <w:lvlJc w:val="left"/>
      <w:lvlText w:val="(%1)"/>
      <w:numFmt w:val="decimal"/>
      <w:start w:val="13"/>
    </w:lvl>
  </w:abstractNum>
  <w:abstractNum w:abstractNumId="50">
    <w:nsid w:val="53584BCB"/>
    <w:multiLevelType w:val="hybridMultilevel"/>
    <w:lvl w:ilvl="0">
      <w:lvlJc w:val="left"/>
      <w:lvlText w:val="(%1)"/>
      <w:numFmt w:val="decimal"/>
      <w:start w:val="19"/>
    </w:lvl>
  </w:abstractNum>
  <w:abstractNum w:abstractNumId="51">
    <w:nsid w:val="415E286C"/>
    <w:multiLevelType w:val="hybridMultilevel"/>
    <w:lvl w:ilvl="0">
      <w:lvlJc w:val="left"/>
      <w:lvlText w:val="(%1)"/>
      <w:numFmt w:val="decimal"/>
      <w:start w:val="1"/>
    </w:lvl>
  </w:abstractNum>
  <w:abstractNum w:abstractNumId="52">
    <w:nsid w:val="7C58FD05"/>
    <w:multiLevelType w:val="hybridMultilevel"/>
    <w:lvl w:ilvl="0">
      <w:lvlJc w:val="left"/>
      <w:lvlText w:val="(%1)"/>
      <w:numFmt w:val="decimal"/>
      <w:start w:val="1"/>
    </w:lvl>
  </w:abstractNum>
  <w:abstractNum w:abstractNumId="53">
    <w:nsid w:val="23D86AAC"/>
    <w:multiLevelType w:val="hybridMultilevel"/>
    <w:lvl w:ilvl="0">
      <w:lvlJc w:val="left"/>
      <w:lvlText w:val="(%1)"/>
      <w:numFmt w:val="decimal"/>
      <w:start w:val="1"/>
    </w:lvl>
  </w:abstractNum>
  <w:abstractNum w:abstractNumId="54">
    <w:nsid w:val="45E6D486"/>
    <w:multiLevelType w:val="hybridMultilevel"/>
    <w:lvl w:ilvl="0">
      <w:lvlJc w:val="left"/>
      <w:lvlText w:val="(%1)"/>
      <w:numFmt w:val="decimal"/>
      <w:start w:val="1"/>
    </w:lvl>
  </w:abstractNum>
  <w:abstractNum w:abstractNumId="55">
    <w:nsid w:val="5C10FE21"/>
    <w:multiLevelType w:val="hybridMultilevel"/>
    <w:lvl w:ilvl="0">
      <w:lvlJc w:val="left"/>
      <w:lvlText w:val="(%1)"/>
      <w:numFmt w:val="decimal"/>
      <w:start w:val="12"/>
    </w:lvl>
  </w:abstractNum>
  <w:abstractNum w:abstractNumId="56">
    <w:nsid w:val="E7FFA2B"/>
    <w:multiLevelType w:val="hybridMultilevel"/>
    <w:lvl w:ilvl="0">
      <w:lvlJc w:val="left"/>
      <w:lvlText w:val="(%1)"/>
      <w:numFmt w:val="decimal"/>
      <w:start w:val="1"/>
    </w:lvl>
  </w:abstractNum>
  <w:abstractNum w:abstractNumId="57">
    <w:nsid w:val="3C5991AA"/>
    <w:multiLevelType w:val="hybridMultilevel"/>
    <w:lvl w:ilvl="0">
      <w:lvlJc w:val="left"/>
      <w:lvlText w:val="(%1)"/>
      <w:numFmt w:val="decimal"/>
      <w:start w:val="1"/>
    </w:lvl>
  </w:abstractNum>
  <w:abstractNum w:abstractNumId="58">
    <w:nsid w:val="4BD8591A"/>
    <w:multiLevelType w:val="hybridMultilevel"/>
    <w:lvl w:ilvl="0">
      <w:lvlJc w:val="left"/>
      <w:lvlText w:val="(%1)"/>
      <w:numFmt w:val="decimal"/>
      <w:start w:val="1"/>
    </w:lvl>
  </w:abstractNum>
  <w:abstractNum w:abstractNumId="59">
    <w:nsid w:val="78DF6A55"/>
    <w:multiLevelType w:val="hybridMultilevel"/>
    <w:lvl w:ilvl="0">
      <w:lvlJc w:val="left"/>
      <w:lvlText w:val="(%1)"/>
      <w:numFmt w:val="decimal"/>
      <w:start w:val="1"/>
    </w:lvl>
  </w:abstractNum>
  <w:abstractNum w:abstractNumId="60">
    <w:nsid w:val="39B7AAA2"/>
    <w:multiLevelType w:val="hybridMultilevel"/>
    <w:lvl w:ilvl="0">
      <w:lvlJc w:val="left"/>
      <w:lvlText w:val="(%1)"/>
      <w:numFmt w:val="decimal"/>
      <w:start w:val="8"/>
    </w:lvl>
  </w:abstractNum>
  <w:abstractNum w:abstractNumId="61">
    <w:nsid w:val="2B0D8DBE"/>
    <w:multiLevelType w:val="hybridMultilevel"/>
    <w:lvl w:ilvl="0">
      <w:lvlJc w:val="left"/>
      <w:lvlText w:val="(%1)"/>
      <w:numFmt w:val="decimal"/>
      <w:start w:val="1"/>
    </w:lvl>
  </w:abstractNum>
  <w:abstractNum w:abstractNumId="62">
    <w:nsid w:val="6C80EC70"/>
    <w:multiLevelType w:val="hybridMultilevel"/>
    <w:lvl w:ilvl="0">
      <w:lvlJc w:val="left"/>
      <w:lvlText w:val="(%1)"/>
      <w:numFmt w:val="decimal"/>
      <w:start w:val="1"/>
    </w:lvl>
  </w:abstractNum>
  <w:abstractNum w:abstractNumId="63">
    <w:nsid w:val="379E21B5"/>
    <w:multiLevelType w:val="hybridMultilevel"/>
    <w:lvl w:ilvl="0">
      <w:lvlJc w:val="left"/>
      <w:lvlText w:val="(%1)"/>
      <w:numFmt w:val="decimal"/>
      <w:start w:val="1"/>
    </w:lvl>
  </w:abstractNum>
  <w:abstractNum w:abstractNumId="64">
    <w:nsid w:val="69E373"/>
    <w:multiLevelType w:val="hybridMultilevel"/>
    <w:lvl w:ilvl="0">
      <w:lvlJc w:val="left"/>
      <w:lvlText w:val="(%1)"/>
      <w:numFmt w:val="decimal"/>
      <w:start w:val="1"/>
    </w:lvl>
  </w:abstractNum>
  <w:abstractNum w:abstractNumId="65">
    <w:nsid w:val="2C27173B"/>
    <w:multiLevelType w:val="hybridMultilevel"/>
    <w:lvl w:ilvl="0">
      <w:lvlJc w:val="left"/>
      <w:lvlText w:val="•"/>
      <w:numFmt w:val="bullet"/>
      <w:start w:val="1"/>
    </w:lvl>
  </w:abstractNum>
  <w:abstractNum w:abstractNumId="66">
    <w:nsid w:val="4C9B0904"/>
    <w:multiLevelType w:val="hybridMultilevel"/>
    <w:lvl w:ilvl="0">
      <w:lvlJc w:val="left"/>
      <w:lvlText w:val="•"/>
      <w:numFmt w:val="bullet"/>
      <w:start w:val="1"/>
    </w:lvl>
  </w:abstractNum>
  <w:abstractNum w:abstractNumId="67">
    <w:nsid w:val="6AA7B75C"/>
    <w:multiLevelType w:val="hybridMultilevel"/>
    <w:lvl w:ilvl="0">
      <w:lvlJc w:val="left"/>
      <w:lvlText w:val="(%1)"/>
      <w:numFmt w:val="decimal"/>
      <w:start w:val="1"/>
    </w:lvl>
  </w:abstractNum>
  <w:abstractNum w:abstractNumId="68">
    <w:nsid w:val="1DF029D3"/>
    <w:multiLevelType w:val="hybridMultilevel"/>
    <w:lvl w:ilvl="0">
      <w:lvlJc w:val="left"/>
      <w:lvlText w:val="(%1)"/>
      <w:numFmt w:val="decimal"/>
      <w:start w:val="1"/>
    </w:lvl>
  </w:abstractNum>
  <w:abstractNum w:abstractNumId="69">
    <w:nsid w:val="5675FF36"/>
    <w:multiLevelType w:val="hybridMultilevel"/>
    <w:lvl w:ilvl="0">
      <w:lvlJc w:val="left"/>
      <w:lvlText w:val="(%1)"/>
      <w:numFmt w:val="decimal"/>
      <w:start w:val="2"/>
    </w:lvl>
  </w:abstractNum>
  <w:abstractNum w:abstractNumId="70">
    <w:nsid w:val="3DD15094"/>
    <w:multiLevelType w:val="hybridMultilevel"/>
    <w:lvl w:ilvl="0">
      <w:lvlJc w:val="left"/>
      <w:lvlText w:val="%1"/>
      <w:numFmt w:val="decimal"/>
      <w:start w:val="104"/>
    </w:lvl>
  </w:abstractNum>
  <w:abstractNum w:abstractNumId="71">
    <w:nsid w:val="3DB012B3"/>
    <w:multiLevelType w:val="hybridMultilevel"/>
    <w:lvl w:ilvl="0">
      <w:lvlJc w:val="left"/>
      <w:lvlText w:val="*"/>
      <w:numFmt w:val="bullet"/>
      <w:start w:val="1"/>
    </w:lvl>
  </w:abstractNum>
  <w:abstractNum w:abstractNumId="72">
    <w:nsid w:val="2708C9AF"/>
    <w:multiLevelType w:val="hybridMultilevel"/>
    <w:lvl w:ilvl="0">
      <w:lvlJc w:val="left"/>
      <w:lvlText w:val="**"/>
      <w:numFmt w:val="bullet"/>
      <w:start w:val="1"/>
    </w:lvl>
  </w:abstractNum>
  <w:abstractNum w:abstractNumId="73">
    <w:nsid w:val="5B25ACE2"/>
    <w:multiLevelType w:val="hybridMultilevel"/>
    <w:lvl w:ilvl="0">
      <w:lvlJc w:val="left"/>
      <w:lvlText w:val="+"/>
      <w:numFmt w:val="bullet"/>
      <w:start w:val="1"/>
    </w:lvl>
  </w:abstractNum>
  <w:abstractNum w:abstractNumId="74">
    <w:nsid w:val="175DFCF0"/>
    <w:multiLevelType w:val="hybridMultilevel"/>
    <w:lvl w:ilvl="0">
      <w:lvlJc w:val="left"/>
      <w:lvlText w:val="%1."/>
      <w:numFmt w:val="decimal"/>
      <w:start w:val="1"/>
    </w:lvl>
  </w:abstractNum>
  <w:abstractNum w:abstractNumId="75">
    <w:nsid w:val="4F97E3E4"/>
    <w:multiLevelType w:val="hybridMultilevel"/>
    <w:lvl w:ilvl="0">
      <w:lvlJc w:val="left"/>
      <w:lvlText w:val="(%1)"/>
      <w:numFmt w:val="lowerLetter"/>
      <w:start w:val="3"/>
    </w:lvl>
  </w:abstractNum>
  <w:abstractNum w:abstractNumId="76">
    <w:nsid w:val="53B0A9E"/>
    <w:multiLevelType w:val="hybridMultilevel"/>
    <w:lvl w:ilvl="0">
      <w:lvlJc w:val="left"/>
      <w:lvlText w:val="%1"/>
      <w:numFmt w:val="decimal"/>
      <w:start w:val="1"/>
    </w:lvl>
    <w:lvl w:ilvl="1">
      <w:lvlJc w:val="left"/>
      <w:lvlText w:val="(%2)"/>
      <w:numFmt w:val="lowerLetter"/>
      <w:start w:val="5"/>
    </w:lvl>
  </w:abstractNum>
  <w:abstractNum w:abstractNumId="77">
    <w:nsid w:val="34FD6B4F"/>
    <w:multiLevelType w:val="hybridMultilevel"/>
    <w:lvl w:ilvl="0">
      <w:lvlJc w:val="left"/>
      <w:lvlText w:val="%1."/>
      <w:numFmt w:val="decimal"/>
      <w:start w:val="3"/>
    </w:lvl>
    <w:lvl w:ilvl="1">
      <w:lvlJc w:val="left"/>
      <w:lvlText w:val="(%2)"/>
      <w:numFmt w:val="lowerLetter"/>
      <w:start w:val="1"/>
    </w:lvl>
  </w:abstractNum>
  <w:abstractNum w:abstractNumId="78">
    <w:nsid w:val="5915FF32"/>
    <w:multiLevelType w:val="hybridMultilevel"/>
    <w:lvl w:ilvl="0">
      <w:lvlJc w:val="left"/>
      <w:lvlText w:val="(%1)"/>
      <w:numFmt w:val="lowerRoman"/>
      <w:start w:val="1"/>
    </w:lvl>
  </w:abstractNum>
  <w:abstractNum w:abstractNumId="79">
    <w:nsid w:val="56438D15"/>
    <w:multiLevelType w:val="hybridMultilevel"/>
    <w:lvl w:ilvl="0">
      <w:lvlJc w:val="left"/>
      <w:lvlText w:val="(%1)"/>
      <w:numFmt w:val="lowerLetter"/>
      <w:start w:val="3"/>
    </w:lvl>
  </w:abstractNum>
  <w:abstractNum w:abstractNumId="80">
    <w:nsid w:val="519E3149"/>
    <w:multiLevelType w:val="hybridMultilevel"/>
    <w:lvl w:ilvl="0">
      <w:lvlJc w:val="left"/>
      <w:lvlText w:val="%1."/>
      <w:numFmt w:val="decimal"/>
      <w:start w:val="4"/>
    </w:lvl>
    <w:lvl w:ilvl="1">
      <w:lvlJc w:val="left"/>
      <w:lvlText w:val="(%2)"/>
      <w:numFmt w:val="lowerLetter"/>
      <w:start w:val="1"/>
    </w:lvl>
  </w:abstractNum>
  <w:abstractNum w:abstractNumId="81">
    <w:nsid w:val="2C6E4AFD"/>
    <w:multiLevelType w:val="hybridMultilevel"/>
    <w:lvl w:ilvl="0">
      <w:lvlJc w:val="left"/>
      <w:lvlText w:val="(%1)"/>
      <w:numFmt w:val="lowerLetter"/>
      <w:start w:val="2"/>
    </w:lvl>
  </w:abstractNum>
  <w:abstractNum w:abstractNumId="82">
    <w:nsid w:val="17A1B582"/>
    <w:multiLevelType w:val="hybridMultilevel"/>
    <w:lvl w:ilvl="0">
      <w:lvlJc w:val="left"/>
      <w:lvlText w:val="%1."/>
      <w:numFmt w:val="decimal"/>
      <w:start w:val="5"/>
    </w:lvl>
  </w:abstractNum>
  <w:abstractNum w:abstractNumId="83">
    <w:nsid w:val="4DF72E4E"/>
    <w:multiLevelType w:val="hybridMultilevel"/>
    <w:lvl w:ilvl="0">
      <w:lvlJc w:val="left"/>
      <w:lvlText w:val="(%1)"/>
      <w:numFmt w:val="lowerRoman"/>
      <w:start w:val="1"/>
    </w:lvl>
    <w:lvl w:ilvl="1">
      <w:lvlJc w:val="left"/>
      <w:lvlText w:val="%2."/>
      <w:numFmt w:val="decimal"/>
      <w:start w:val="7"/>
    </w:lvl>
  </w:abstractNum>
  <w:abstractNum w:abstractNumId="84">
    <w:nsid w:val="5046B5A9"/>
    <w:multiLevelType w:val="hybridMultilevel"/>
    <w:lvl w:ilvl="0">
      <w:lvlJc w:val="left"/>
      <w:lvlText w:val="(%1)"/>
      <w:numFmt w:val="lowerLetter"/>
      <w:start w:val="2"/>
    </w:lvl>
  </w:abstractNum>
  <w:abstractNum w:abstractNumId="85">
    <w:nsid w:val="5D888A08"/>
    <w:multiLevelType w:val="hybridMultilevel"/>
    <w:lvl w:ilvl="0">
      <w:lvlJc w:val="left"/>
      <w:lvlText w:val="(%1)"/>
      <w:numFmt w:val="lowerLetter"/>
      <w:start w:val="4"/>
    </w:lvl>
  </w:abstractNum>
  <w:abstractNum w:abstractNumId="86">
    <w:nsid w:val="2A082C70"/>
    <w:multiLevelType w:val="hybridMultilevel"/>
    <w:lvl w:ilvl="0">
      <w:lvlJc w:val="left"/>
      <w:lvlText w:val="(%1)"/>
      <w:numFmt w:val="lowerLetter"/>
      <w:start w:val="9"/>
    </w:lvl>
  </w:abstractNum>
  <w:abstractNum w:abstractNumId="87">
    <w:nsid w:val="5EC6AFD4"/>
    <w:multiLevelType w:val="hybridMultilevel"/>
    <w:lvl w:ilvl="0">
      <w:lvlJc w:val="left"/>
      <w:lvlText w:val="(%1)"/>
      <w:numFmt w:val="lowerLetter"/>
      <w:start w:val="12"/>
    </w:lvl>
  </w:abstractNum>
  <w:abstractNum w:abstractNumId="88">
    <w:nsid w:val="19E21B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9">
    <w:nsid w:val="75E0858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0">
    <w:nsid w:val="57A61A29"/>
    <w:multiLevelType w:val="hybridMultilevel"/>
    <w:lvl w:ilvl="0">
      <w:lvlJc w:val="left"/>
      <w:lvlText w:val="(%1)"/>
      <w:numFmt w:val="lowerLetter"/>
      <w:start w:val="2"/>
    </w:lvl>
  </w:abstractNum>
  <w:abstractNum w:abstractNumId="91">
    <w:nsid w:val="5399C654"/>
    <w:multiLevelType w:val="hybridMultilevel"/>
    <w:lvl w:ilvl="0">
      <w:lvlJc w:val="left"/>
      <w:lvlText w:val="%1"/>
      <w:numFmt w:val="lowerRoman"/>
      <w:start w:val="1"/>
    </w:lvl>
    <w:lvl w:ilvl="1">
      <w:lvlJc w:val="left"/>
      <w:lvlText w:val="(%2)"/>
      <w:numFmt w:val="lowerLetter"/>
      <w:start w:val="3"/>
    </w:lvl>
  </w:abstractNum>
  <w:abstractNum w:abstractNumId="92">
    <w:nsid w:val="20EE1348"/>
    <w:multiLevelType w:val="hybridMultilevel"/>
    <w:lvl w:ilvl="0">
      <w:lvlJc w:val="left"/>
      <w:lvlText w:val="(%1)"/>
      <w:numFmt w:val="lowerRoman"/>
      <w:start w:val="4"/>
    </w:lvl>
    <w:lvl w:ilvl="1">
      <w:lvlJc w:val="left"/>
      <w:lvlText w:val="%2"/>
      <w:numFmt w:val="lowerLetter"/>
      <w:start w:val="1"/>
    </w:lvl>
  </w:abstractNum>
  <w:abstractNum w:abstractNumId="93">
    <w:nsid w:val="4427069A"/>
    <w:multiLevelType w:val="hybridMultilevel"/>
    <w:lvl w:ilvl="0">
      <w:lvlJc w:val="left"/>
      <w:lvlText w:val="%1."/>
      <w:numFmt w:val="decimal"/>
      <w:start w:val="11"/>
    </w:lvl>
  </w:abstractNum>
  <w:abstractNum w:abstractNumId="94">
    <w:nsid w:val="B37E80A"/>
    <w:multiLevelType w:val="hybridMultilevel"/>
    <w:lvl w:ilvl="0">
      <w:lvlJc w:val="left"/>
      <w:lvlText w:val="%1."/>
      <w:numFmt w:val="decimal"/>
      <w:start w:val="13"/>
    </w:lvl>
    <w:lvl w:ilvl="1">
      <w:lvlJc w:val="left"/>
      <w:lvlText w:val="(%2)"/>
      <w:numFmt w:val="lowerLetter"/>
      <w:start w:val="1"/>
    </w:lvl>
  </w:abstractNum>
  <w:abstractNum w:abstractNumId="95">
    <w:nsid w:val="2157F6BC"/>
    <w:multiLevelType w:val="hybridMultilevel"/>
    <w:lvl w:ilvl="0">
      <w:lvlJc w:val="left"/>
      <w:lvlText w:val="%1"/>
      <w:numFmt w:val="decimal"/>
      <w:start w:val="1"/>
    </w:lvl>
    <w:lvl w:ilvl="1">
      <w:lvlJc w:val="left"/>
      <w:lvlText w:val="(%2)"/>
      <w:numFmt w:val="lowerLetter"/>
      <w:start w:val="2"/>
    </w:lvl>
  </w:abstractNum>
  <w:abstractNum w:abstractNumId="96">
    <w:nsid w:val="704E1DD5"/>
    <w:multiLevelType w:val="hybridMultilevel"/>
    <w:lvl w:ilvl="0">
      <w:lvlJc w:val="left"/>
      <w:lvlText w:val="%1."/>
      <w:numFmt w:val="decimal"/>
      <w:start w:val="15"/>
    </w:lvl>
    <w:lvl w:ilvl="1">
      <w:lvlJc w:val="left"/>
      <w:lvlText w:val="%2"/>
      <w:numFmt w:val="lowerLetter"/>
      <w:start w:val="1"/>
    </w:lvl>
  </w:abstractNum>
  <w:abstractNum w:abstractNumId="97">
    <w:nsid w:val="57D2F10E"/>
    <w:multiLevelType w:val="hybridMultilevel"/>
    <w:lvl w:ilvl="0">
      <w:lvlJc w:val="left"/>
      <w:lvlText w:val="%1."/>
      <w:numFmt w:val="decimal"/>
      <w:start w:val="16"/>
    </w:lvl>
  </w:abstractNum>
  <w:abstractNum w:abstractNumId="98">
    <w:nsid w:val="BFFAE18"/>
    <w:multiLevelType w:val="hybridMultilevel"/>
    <w:lvl w:ilvl="0">
      <w:lvlJc w:val="left"/>
      <w:lvlText w:val="%1."/>
      <w:numFmt w:val="decimal"/>
      <w:start w:val="17"/>
    </w:lvl>
  </w:abstractNum>
  <w:abstractNum w:abstractNumId="99">
    <w:nsid w:val="E3E47A8"/>
    <w:multiLevelType w:val="hybridMultilevel"/>
    <w:lvl w:ilvl="0">
      <w:lvlJc w:val="left"/>
      <w:lvlText w:val="%1."/>
      <w:numFmt w:val="decimal"/>
      <w:start w:val="18"/>
    </w:lvl>
  </w:abstractNum>
  <w:abstractNum w:abstractNumId="100">
    <w:nsid w:val="2E48F044"/>
    <w:multiLevelType w:val="hybridMultilevel"/>
    <w:lvl w:ilvl="0">
      <w:lvlJc w:val="left"/>
      <w:lvlText w:val="%1."/>
      <w:numFmt w:val="decimal"/>
      <w:start w:val="23"/>
    </w:lvl>
  </w:abstractNum>
  <w:abstractNum w:abstractNumId="101">
    <w:nsid w:val="49D0FEAC"/>
    <w:multiLevelType w:val="hybridMultilevel"/>
    <w:lvl w:ilvl="0">
      <w:lvlJc w:val="left"/>
      <w:lvlText w:val="%1."/>
      <w:numFmt w:val="decimal"/>
      <w:start w:val="24"/>
    </w:lvl>
  </w:abstractNum>
  <w:abstractNum w:abstractNumId="102">
    <w:nsid w:val="4BEE5A5B"/>
    <w:multiLevelType w:val="hybridMultilevel"/>
    <w:lvl w:ilvl="0">
      <w:lvlJc w:val="left"/>
      <w:lvlText w:val="%1"/>
      <w:numFmt w:val="decimal"/>
      <w:start w:val="1"/>
    </w:lvl>
    <w:lvl w:ilvl="1">
      <w:lvlJc w:val="left"/>
      <w:lvlText w:val="%2."/>
      <w:numFmt w:val="decimal"/>
      <w:start w:val="28"/>
    </w:lvl>
  </w:abstractNum>
  <w:abstractNum w:abstractNumId="103">
    <w:nsid w:val="5551B9F3"/>
    <w:multiLevelType w:val="hybridMultilevel"/>
    <w:lvl w:ilvl="0">
      <w:lvlJc w:val="left"/>
      <w:lvlText w:val="%1."/>
      <w:numFmt w:val="decimal"/>
      <w:start w:val="30"/>
    </w:lvl>
    <w:lvl w:ilvl="1">
      <w:lvlJc w:val="left"/>
      <w:lvlText w:val="%2"/>
      <w:numFmt w:val="decimal"/>
      <w:start w:val="1"/>
    </w:lvl>
  </w:abstractNum>
  <w:abstractNum w:abstractNumId="104">
    <w:nsid w:val="24F6AB8E"/>
    <w:multiLevelType w:val="hybridMultilevel"/>
    <w:lvl w:ilvl="0">
      <w:lvlJc w:val="left"/>
      <w:lvlText w:val="1"/>
      <w:numFmt w:val="bullet"/>
      <w:start w:val="1"/>
    </w:lvl>
  </w:abstractNum>
  <w:abstractNum w:abstractNumId="105">
    <w:nsid w:val="634C574C"/>
    <w:multiLevelType w:val="hybridMultilevel"/>
    <w:lvl w:ilvl="0">
      <w:lvlJc w:val="left"/>
      <w:lvlText w:val="%1."/>
      <w:numFmt w:val="decimal"/>
      <w:start w:val="1"/>
    </w:lvl>
  </w:abstractNum>
  <w:abstractNum w:abstractNumId="106">
    <w:nsid w:val="24E99DD7"/>
    <w:multiLevelType w:val="hybridMultilevel"/>
    <w:lvl w:ilvl="0">
      <w:lvlJc w:val="left"/>
      <w:lvlText w:val="(%1)"/>
      <w:numFmt w:val="lowerLetter"/>
      <w:start w:val="6"/>
    </w:lvl>
  </w:abstractNum>
  <w:abstractNum w:abstractNumId="107">
    <w:nsid w:val="2A31B62D"/>
    <w:multiLevelType w:val="hybridMultilevel"/>
    <w:lvl w:ilvl="0">
      <w:lvlJc w:val="left"/>
      <w:lvlText w:val="%1."/>
      <w:numFmt w:val="decimal"/>
      <w:start w:val="3"/>
    </w:lvl>
    <w:lvl w:ilvl="1">
      <w:lvlJc w:val="left"/>
      <w:lvlText w:val="(%2)"/>
      <w:numFmt w:val="lowerLetter"/>
      <w:start w:val="1"/>
    </w:lvl>
  </w:abstractNum>
  <w:abstractNum w:abstractNumId="108">
    <w:nsid w:val="1849C29B"/>
    <w:multiLevelType w:val="hybridMultilevel"/>
    <w:lvl w:ilvl="0">
      <w:lvlJc w:val="left"/>
      <w:lvlText w:val="(%1)"/>
      <w:numFmt w:val="lowerRoman"/>
      <w:start w:val="1"/>
    </w:lvl>
  </w:abstractNum>
  <w:abstractNum w:abstractNumId="109">
    <w:nsid w:val="7DFF9D09"/>
    <w:multiLevelType w:val="hybridMultilevel"/>
    <w:lvl w:ilvl="0">
      <w:lvlJc w:val="left"/>
      <w:lvlText w:val="(%1)"/>
      <w:numFmt w:val="lowerLetter"/>
      <w:start w:val="3"/>
    </w:lvl>
  </w:abstractNum>
  <w:abstractNum w:abstractNumId="110">
    <w:nsid w:val="754342"/>
    <w:multiLevelType w:val="hybridMultilevel"/>
    <w:lvl w:ilvl="0">
      <w:lvlJc w:val="left"/>
      <w:lvlText w:val="%1"/>
      <w:numFmt w:val="decimal"/>
      <w:start w:val="1"/>
    </w:lvl>
    <w:lvl w:ilvl="1">
      <w:lvlJc w:val="left"/>
      <w:lvlText w:val="(%2)"/>
      <w:numFmt w:val="lowerLetter"/>
      <w:start w:val="5"/>
    </w:lvl>
  </w:abstractNum>
  <w:abstractNum w:abstractNumId="111">
    <w:nsid w:val="69E7F3E5"/>
    <w:multiLevelType w:val="hybridMultilevel"/>
    <w:lvl w:ilvl="0">
      <w:lvlJc w:val="left"/>
      <w:lvlText w:val="%1."/>
      <w:numFmt w:val="decimal"/>
      <w:start w:val="4"/>
    </w:lvl>
    <w:lvl w:ilvl="1">
      <w:lvlJc w:val="left"/>
      <w:lvlText w:val="(%2)"/>
      <w:numFmt w:val="lowerLetter"/>
      <w:start w:val="1"/>
    </w:lvl>
  </w:abstractNum>
  <w:abstractNum w:abstractNumId="112">
    <w:nsid w:val="2A6DE806"/>
    <w:multiLevelType w:val="hybridMultilevel"/>
    <w:lvl w:ilvl="0">
      <w:lvlJc w:val="left"/>
      <w:lvlText w:val="(%1)"/>
      <w:numFmt w:val="lowerLetter"/>
      <w:start w:val="2"/>
    </w:lvl>
  </w:abstractNum>
  <w:abstractNum w:abstractNumId="113">
    <w:nsid w:val="1816F8C4"/>
    <w:multiLevelType w:val="hybridMultilevel"/>
    <w:lvl w:ilvl="0">
      <w:lvlJc w:val="left"/>
      <w:lvlText w:val="(%1)"/>
      <w:numFmt w:val="lowerLetter"/>
      <w:start w:val="3"/>
    </w:lvl>
  </w:abstractNum>
  <w:abstractNum w:abstractNumId="114">
    <w:nsid w:val="37DF2233"/>
    <w:multiLevelType w:val="hybridMultilevel"/>
    <w:lvl w:ilvl="0">
      <w:lvlJc w:val="left"/>
      <w:lvlText w:val="%1."/>
      <w:numFmt w:val="decimal"/>
      <w:start w:val="5"/>
    </w:lvl>
  </w:abstractNum>
  <w:abstractNum w:abstractNumId="115">
    <w:nsid w:val="7AB49DAF"/>
    <w:multiLevelType w:val="hybridMultilevel"/>
    <w:lvl w:ilvl="0">
      <w:lvlJc w:val="left"/>
      <w:lvlText w:val="%1"/>
      <w:numFmt w:val="lowerRoman"/>
      <w:start w:val="1"/>
    </w:lvl>
    <w:lvl w:ilvl="1">
      <w:lvlJc w:val="left"/>
      <w:lvlText w:val="%2."/>
      <w:numFmt w:val="decimal"/>
      <w:start w:val="6"/>
    </w:lvl>
  </w:abstractNum>
  <w:abstractNum w:abstractNumId="116">
    <w:nsid w:val="759F82CD"/>
    <w:multiLevelType w:val="hybridMultilevel"/>
    <w:lvl w:ilvl="0">
      <w:lvlJc w:val="left"/>
      <w:lvlText w:val="(%1)"/>
      <w:numFmt w:val="lowerRoman"/>
      <w:start w:val="1"/>
    </w:lvl>
    <w:lvl w:ilvl="1">
      <w:lvlJc w:val="left"/>
      <w:lvlText w:val="%2."/>
      <w:numFmt w:val="decimal"/>
      <w:start w:val="7"/>
    </w:lvl>
  </w:abstractNum>
  <w:abstractNum w:abstractNumId="117">
    <w:nsid w:val="61E74EA3"/>
    <w:multiLevelType w:val="hybridMultilevel"/>
    <w:lvl w:ilvl="0">
      <w:lvlJc w:val="left"/>
      <w:lvlText w:val="(%1)"/>
      <w:numFmt w:val="lowerLetter"/>
      <w:start w:val="2"/>
    </w:lvl>
  </w:abstractNum>
  <w:abstractNum w:abstractNumId="118">
    <w:nsid w:val="597B4D84"/>
    <w:multiLevelType w:val="hybridMultilevel"/>
    <w:lvl w:ilvl="0">
      <w:lvlJc w:val="left"/>
      <w:lvlText w:val="(%1)"/>
      <w:numFmt w:val="lowerLetter"/>
      <w:start w:val="3"/>
    </w:lvl>
  </w:abstractNum>
  <w:abstractNum w:abstractNumId="119">
    <w:nsid w:val="F819E7F"/>
    <w:multiLevelType w:val="hybridMultilevel"/>
    <w:lvl w:ilvl="0">
      <w:lvlJc w:val="left"/>
      <w:lvlText w:val="(%1)"/>
      <w:numFmt w:val="lowerLetter"/>
      <w:start w:val="9"/>
    </w:lvl>
  </w:abstractNum>
  <w:abstractNum w:abstractNumId="120">
    <w:nsid w:val="57C7D42D"/>
    <w:multiLevelType w:val="hybridMultilevel"/>
    <w:lvl w:ilvl="0">
      <w:lvlJc w:val="left"/>
      <w:lvlText w:val="(%1)"/>
      <w:numFmt w:val="lowerLetter"/>
      <w:start w:val="12"/>
    </w:lvl>
    <w:lvl w:ilvl="1">
      <w:lvlJc w:val="left"/>
      <w:lvlText w:val="(%2)"/>
      <w:numFmt w:val="lowerLetter"/>
      <w:start w:val="9"/>
    </w:lvl>
  </w:abstractNum>
  <w:abstractNum w:abstractNumId="121">
    <w:nsid w:val="312167AD"/>
    <w:multiLevelType w:val="hybridMultilevel"/>
    <w:lvl w:ilvl="0">
      <w:lvlJc w:val="left"/>
      <w:lvlText w:val="(%1)"/>
      <w:numFmt w:val="lowerRoman"/>
      <w:start w:val="2"/>
    </w:lvl>
  </w:abstractNum>
  <w:abstractNum w:abstractNumId="122">
    <w:nsid w:val="631B64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23">
    <w:nsid w:val="78B5E776"/>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24">
    <w:nsid w:val="75486E47"/>
    <w:multiLevelType w:val="hybridMultilevel"/>
    <w:lvl w:ilvl="0">
      <w:lvlJc w:val="left"/>
      <w:lvlText w:val="%1"/>
      <w:numFmt w:val="lowerRoman"/>
      <w:start w:val="1"/>
    </w:lvl>
    <w:lvl w:ilvl="1">
      <w:lvlJc w:val="left"/>
      <w:lvlText w:val="(%2)"/>
      <w:numFmt w:val="lowerLetter"/>
      <w:start w:val="3"/>
    </w:lvl>
  </w:abstractNum>
  <w:abstractNum w:abstractNumId="125">
    <w:nsid w:val="6E534CDE"/>
    <w:multiLevelType w:val="hybridMultilevel"/>
    <w:lvl w:ilvl="0">
      <w:lvlJc w:val="left"/>
      <w:lvlText w:val="(%1)"/>
      <w:numFmt w:val="lowerRoman"/>
      <w:start w:val="4"/>
    </w:lvl>
    <w:lvl w:ilvl="1">
      <w:lvlJc w:val="left"/>
      <w:lvlText w:val="%2"/>
      <w:numFmt w:val="lowerLetter"/>
      <w:start w:val="1"/>
    </w:lvl>
  </w:abstractNum>
  <w:abstractNum w:abstractNumId="126">
    <w:nsid w:val="1A0DDE32"/>
    <w:multiLevelType w:val="hybridMultilevel"/>
    <w:lvl w:ilvl="0">
      <w:lvlJc w:val="left"/>
      <w:lvlText w:val="%1."/>
      <w:numFmt w:val="decimal"/>
      <w:start w:val="11"/>
    </w:lvl>
  </w:abstractNum>
  <w:abstractNum w:abstractNumId="127">
    <w:nsid w:val="65968C1C"/>
    <w:multiLevelType w:val="hybridMultilevel"/>
    <w:lvl w:ilvl="0">
      <w:lvlJc w:val="left"/>
      <w:lvlText w:val="%1."/>
      <w:numFmt w:val="decimal"/>
      <w:start w:val="13"/>
    </w:lvl>
    <w:lvl w:ilvl="1">
      <w:lvlJc w:val="left"/>
      <w:lvlText w:val="(%2)"/>
      <w:numFmt w:val="lowerLetter"/>
      <w:start w:val="1"/>
    </w:lvl>
  </w:abstractNum>
  <w:abstractNum w:abstractNumId="128">
    <w:nsid w:val="46263DEC"/>
    <w:multiLevelType w:val="hybridMultilevel"/>
    <w:lvl w:ilvl="0">
      <w:lvlJc w:val="left"/>
      <w:lvlText w:val="%1"/>
      <w:numFmt w:val="decimal"/>
      <w:start w:val="1"/>
    </w:lvl>
    <w:lvl w:ilvl="1">
      <w:lvlJc w:val="left"/>
      <w:lvlText w:val="(%2)"/>
      <w:numFmt w:val="lowerLetter"/>
      <w:start w:val="2"/>
    </w:lvl>
  </w:abstractNum>
  <w:abstractNum w:abstractNumId="129">
    <w:nsid w:val="260D8C4A"/>
    <w:multiLevelType w:val="hybridMultilevel"/>
    <w:lvl w:ilvl="0">
      <w:lvlJc w:val="left"/>
      <w:lvlText w:val="%1."/>
      <w:numFmt w:val="decimal"/>
      <w:start w:val="15"/>
    </w:lvl>
    <w:lvl w:ilvl="1">
      <w:lvlJc w:val="left"/>
      <w:lvlText w:val="%2"/>
      <w:numFmt w:val="lowerLetter"/>
      <w:start w:val="1"/>
    </w:lvl>
  </w:abstractNum>
  <w:abstractNum w:abstractNumId="130">
    <w:nsid w:val="73D4D3C4"/>
    <w:multiLevelType w:val="hybridMultilevel"/>
    <w:lvl w:ilvl="0">
      <w:lvlJc w:val="left"/>
      <w:lvlText w:val="%1."/>
      <w:numFmt w:val="decimal"/>
      <w:start w:val="16"/>
    </w:lvl>
  </w:abstractNum>
  <w:abstractNum w:abstractNumId="131">
    <w:nsid w:val="746F2E30"/>
    <w:multiLevelType w:val="hybridMultilevel"/>
    <w:lvl w:ilvl="0">
      <w:lvlJc w:val="left"/>
      <w:lvlText w:val="%1."/>
      <w:numFmt w:val="decimal"/>
      <w:start w:val="17"/>
    </w:lvl>
  </w:abstractNum>
  <w:abstractNum w:abstractNumId="132">
    <w:nsid w:val="6FDE8AF6"/>
    <w:multiLevelType w:val="hybridMultilevel"/>
    <w:lvl w:ilvl="0">
      <w:lvlJc w:val="left"/>
      <w:lvlText w:val="%1."/>
      <w:numFmt w:val="decimal"/>
      <w:start w:val="19"/>
    </w:lvl>
  </w:abstractNum>
  <w:abstractNum w:abstractNumId="133">
    <w:nsid w:val="3FC32E20"/>
    <w:multiLevelType w:val="hybridMultilevel"/>
    <w:lvl w:ilvl="0">
      <w:lvlJc w:val="left"/>
      <w:lvlText w:val="%1."/>
      <w:numFmt w:val="decimal"/>
      <w:start w:val="23"/>
    </w:lvl>
  </w:abstractNum>
  <w:abstractNum w:abstractNumId="134">
    <w:nsid w:val="49C0E823"/>
    <w:multiLevelType w:val="hybridMultilevel"/>
    <w:lvl w:ilvl="0">
      <w:lvlJc w:val="left"/>
      <w:lvlText w:val="%1."/>
      <w:numFmt w:val="decimal"/>
      <w:start w:val="25"/>
    </w:lvl>
  </w:abstractNum>
  <w:abstractNum w:abstractNumId="135">
    <w:nsid w:val="14D53685"/>
    <w:multiLevelType w:val="hybridMultilevel"/>
    <w:lvl w:ilvl="0">
      <w:lvlJc w:val="left"/>
      <w:lvlText w:val="%1"/>
      <w:numFmt w:val="decimal"/>
      <w:start w:val="1"/>
    </w:lvl>
    <w:lvl w:ilvl="1">
      <w:lvlJc w:val="left"/>
      <w:lvlText w:val="%2."/>
      <w:numFmt w:val="decimal"/>
      <w:start w:val="29"/>
    </w:lvl>
  </w:abstractNum>
  <w:abstractNum w:abstractNumId="136">
    <w:nsid w:val="230F856C"/>
    <w:multiLevelType w:val="hybridMultilevel"/>
    <w:lvl w:ilvl="0">
      <w:lvlJc w:val="left"/>
      <w:lvlText w:val="%1."/>
      <w:numFmt w:val="decimal"/>
      <w:start w:val="30"/>
    </w:lvl>
    <w:lvl w:ilvl="1">
      <w:lvlJc w:val="left"/>
      <w:lvlText w:val="%2"/>
      <w:numFmt w:val="decimal"/>
      <w:start w:val="1"/>
    </w:lvl>
  </w:abstractNum>
  <w:abstractNum w:abstractNumId="137">
    <w:nsid w:val="6EAA85FB"/>
    <w:multiLevelType w:val="hybridMultilevel"/>
    <w:lvl w:ilvl="0">
      <w:lvlJc w:val="left"/>
      <w:lvlText w:val="1"/>
      <w:numFmt w:val="bullet"/>
      <w:start w:val="1"/>
    </w:lvl>
  </w:abstractNum>
  <w:abstractNum w:abstractNumId="138">
    <w:nsid w:val="3F06ECB2"/>
    <w:multiLevelType w:val="hybridMultilevel"/>
    <w:lvl w:ilvl="0">
      <w:lvlJc w:val="left"/>
      <w:lvlText w:val="%1."/>
      <w:numFmt w:val="decimal"/>
      <w:start w:val="1"/>
    </w:lvl>
    <w:lvl w:ilvl="1">
      <w:lvlJc w:val="left"/>
      <w:lvlText w:val="(%2)"/>
      <w:numFmt w:val="lowerLetter"/>
      <w:start w:val="1"/>
    </w:lvl>
  </w:abstractNum>
  <w:abstractNum w:abstractNumId="139">
    <w:nsid w:val="3B594807"/>
    <w:multiLevelType w:val="hybridMultilevel"/>
    <w:lvl w:ilvl="0">
      <w:lvlJc w:val="left"/>
      <w:lvlText w:val="(%1)"/>
      <w:numFmt w:val="lowerRoman"/>
      <w:start w:val="8"/>
    </w:lvl>
  </w:abstractNum>
  <w:abstractNum w:abstractNumId="140">
    <w:nsid w:val="6CAA230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41">
    <w:nsid w:val="3F7C2FF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42">
    <w:nsid w:val="25413BEC"/>
    <w:multiLevelType w:val="hybridMultilevel"/>
    <w:lvl w:ilvl="0">
      <w:lvlJc w:val="left"/>
      <w:lvlText w:val="(%1)"/>
      <w:numFmt w:val="lowerLetter"/>
      <w:start w:val="3"/>
    </w:lvl>
  </w:abstractNum>
  <w:abstractNum w:abstractNumId="143">
    <w:nsid w:val="17180B0B"/>
    <w:multiLevelType w:val="hybridMultilevel"/>
    <w:lvl w:ilvl="0">
      <w:lvlJc w:val="left"/>
      <w:lvlText w:val="%1"/>
      <w:numFmt w:val="decimal"/>
      <w:start w:val="1"/>
    </w:lvl>
    <w:lvl w:ilvl="1">
      <w:lvlJc w:val="left"/>
      <w:lvlText w:val="(%2)"/>
      <w:numFmt w:val="lowerLetter"/>
      <w:start w:val="4"/>
    </w:lvl>
  </w:abstractNum>
  <w:abstractNum w:abstractNumId="144">
    <w:nsid w:val="579328B9"/>
    <w:multiLevelType w:val="hybridMultilevel"/>
    <w:lvl w:ilvl="0">
      <w:lvlJc w:val="left"/>
      <w:lvlText w:val="%1."/>
      <w:numFmt w:val="decimal"/>
      <w:start w:val="4"/>
    </w:lvl>
    <w:lvl w:ilvl="1">
      <w:lvlJc w:val="left"/>
      <w:lvlText w:val="(%2)"/>
      <w:numFmt w:val="lowerLetter"/>
      <w:start w:val="1"/>
    </w:lvl>
  </w:abstractNum>
  <w:abstractNum w:abstractNumId="145">
    <w:nsid w:val="5D205E20"/>
    <w:multiLevelType w:val="hybridMultilevel"/>
    <w:lvl w:ilvl="0">
      <w:lvlJc w:val="left"/>
      <w:lvlText w:val="%1."/>
      <w:numFmt w:val="decimal"/>
      <w:start w:val="5"/>
    </w:lvl>
  </w:abstractNum>
  <w:abstractNum w:abstractNumId="146">
    <w:nsid w:val="11CCA8BA"/>
    <w:multiLevelType w:val="hybridMultilevel"/>
    <w:lvl w:ilvl="0">
      <w:lvlJc w:val="left"/>
      <w:lvlText w:val="%1."/>
      <w:numFmt w:val="decimal"/>
      <w:start w:val="6"/>
    </w:lvl>
  </w:abstractNum>
  <w:abstractNum w:abstractNumId="147">
    <w:nsid w:val="4D32AB86"/>
    <w:multiLevelType w:val="hybridMultilevel"/>
    <w:lvl w:ilvl="0">
      <w:lvlJc w:val="left"/>
      <w:lvlText w:val="(%1)"/>
      <w:numFmt w:val="lowerLetter"/>
      <w:start w:val="1"/>
    </w:lvl>
  </w:abstractNum>
  <w:abstractNum w:abstractNumId="148">
    <w:nsid w:val="3F07ACC3"/>
    <w:multiLevelType w:val="hybridMultilevel"/>
    <w:lvl w:ilvl="0">
      <w:lvlJc w:val="left"/>
      <w:lvlText w:val="(%1)"/>
      <w:numFmt w:val="lowerLetter"/>
      <w:start w:val="9"/>
    </w:lvl>
  </w:abstractNum>
  <w:abstractNum w:abstractNumId="149">
    <w:nsid w:val="6B47F63E"/>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150">
    <w:nsid w:val="5CB44A05"/>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51">
    <w:nsid w:val="16CF80F1"/>
    <w:multiLevelType w:val="hybridMultilevel"/>
    <w:lvl w:ilvl="0">
      <w:lvlJc w:val="left"/>
      <w:lvlText w:val="(%1)"/>
      <w:numFmt w:val="lowerLetter"/>
      <w:start w:val="1"/>
    </w:lvl>
  </w:abstractNum>
  <w:abstractNum w:abstractNumId="152">
    <w:nsid w:val="1C695DEC"/>
    <w:multiLevelType w:val="hybridMultilevel"/>
    <w:lvl w:ilvl="0">
      <w:lvlJc w:val="left"/>
      <w:lvlText w:val="%1"/>
      <w:numFmt w:val="lowerRoman"/>
      <w:start w:val="1"/>
    </w:lvl>
    <w:lvl w:ilvl="1">
      <w:lvlJc w:val="left"/>
      <w:lvlText w:val="(%2)"/>
      <w:numFmt w:val="lowerLetter"/>
      <w:start w:val="2"/>
    </w:lvl>
  </w:abstractNum>
  <w:abstractNum w:abstractNumId="153">
    <w:nsid w:val="3FCFAED9"/>
    <w:multiLevelType w:val="hybridMultilevel"/>
    <w:lvl w:ilvl="0">
      <w:lvlJc w:val="left"/>
      <w:lvlText w:val="(%1)"/>
      <w:numFmt w:val="lowerRoman"/>
      <w:start w:val="4"/>
    </w:lvl>
    <w:lvl w:ilvl="1">
      <w:lvlJc w:val="left"/>
      <w:lvlText w:val="%2"/>
      <w:numFmt w:val="lowerLetter"/>
      <w:start w:val="1"/>
    </w:lvl>
  </w:abstractNum>
  <w:abstractNum w:abstractNumId="154">
    <w:nsid w:val="F856867"/>
    <w:multiLevelType w:val="hybridMultilevel"/>
    <w:lvl w:ilvl="0">
      <w:lvlJc w:val="left"/>
      <w:lvlText w:val="%1."/>
      <w:numFmt w:val="decimal"/>
      <w:start w:val="12"/>
    </w:lvl>
    <w:lvl w:ilvl="1">
      <w:lvlJc w:val="left"/>
      <w:lvlText w:val="(%2)"/>
      <w:numFmt w:val="lowerLetter"/>
      <w:start w:val="1"/>
    </w:lvl>
  </w:abstractNum>
  <w:abstractNum w:abstractNumId="155">
    <w:nsid w:val="11B1CC33"/>
    <w:multiLevelType w:val="hybridMultilevel"/>
    <w:lvl w:ilvl="0">
      <w:lvlJc w:val="left"/>
      <w:lvlText w:val="(%1)"/>
      <w:numFmt w:val="lowerLetter"/>
      <w:start w:val="2"/>
    </w:lvl>
  </w:abstractNum>
  <w:abstractNum w:abstractNumId="156">
    <w:nsid w:val="2E22FBB7"/>
    <w:multiLevelType w:val="hybridMultilevel"/>
    <w:lvl w:ilvl="0">
      <w:lvlJc w:val="left"/>
      <w:lvlText w:val="%1."/>
      <w:numFmt w:val="decimal"/>
      <w:start w:val="16"/>
    </w:lvl>
  </w:abstractNum>
  <w:abstractNum w:abstractNumId="157">
    <w:nsid w:val="29934699"/>
    <w:multiLevelType w:val="hybridMultilevel"/>
    <w:lvl w:ilvl="0">
      <w:lvlJc w:val="left"/>
      <w:lvlText w:val="%1."/>
      <w:numFmt w:val="decimal"/>
      <w:start w:val="17"/>
    </w:lvl>
  </w:abstractNum>
  <w:abstractNum w:abstractNumId="158">
    <w:nsid w:val="77485850"/>
    <w:multiLevelType w:val="hybridMultilevel"/>
    <w:lvl w:ilvl="0">
      <w:lvlJc w:val="left"/>
      <w:lvlText w:val="%1."/>
      <w:numFmt w:val="decimal"/>
      <w:start w:val="18"/>
    </w:lvl>
    <w:lvl w:ilvl="1">
      <w:lvlJc w:val="left"/>
      <w:lvlText w:val="%2."/>
      <w:numFmt w:val="decimal"/>
      <w:start w:val="17"/>
    </w:lvl>
  </w:abstractNum>
  <w:abstractNum w:abstractNumId="159">
    <w:nsid w:val="744939A3"/>
    <w:multiLevelType w:val="hybridMultilevel"/>
    <w:lvl w:ilvl="0">
      <w:lvlJc w:val="left"/>
      <w:lvlText w:val="%1."/>
      <w:numFmt w:val="decimal"/>
      <w:start w:val="18"/>
    </w:lvl>
    <w:lvl w:ilvl="1">
      <w:lvlJc w:val="left"/>
      <w:lvlText w:val="%2."/>
      <w:numFmt w:val="decimal"/>
      <w:start w:val="20"/>
    </w:lvl>
  </w:abstractNum>
  <w:abstractNum w:abstractNumId="160">
    <w:nsid w:val="4FA0D2E3"/>
    <w:multiLevelType w:val="hybridMultilevel"/>
    <w:lvl w:ilvl="0">
      <w:lvlJc w:val="left"/>
      <w:lvlText w:val="%1."/>
      <w:numFmt w:val="decimal"/>
      <w:start w:val="21"/>
    </w:lvl>
  </w:abstractNum>
  <w:abstractNum w:abstractNumId="161">
    <w:nsid w:val="6B1D2C14"/>
    <w:multiLevelType w:val="hybridMultilevel"/>
    <w:lvl w:ilvl="0">
      <w:lvlJc w:val="left"/>
      <w:lvlText w:val="%1."/>
      <w:numFmt w:val="decimal"/>
      <w:start w:val="22"/>
    </w:lvl>
  </w:abstractNum>
  <w:abstractNum w:abstractNumId="162">
    <w:nsid w:val="68B867D3"/>
    <w:multiLevelType w:val="hybridMultilevel"/>
    <w:lvl w:ilvl="0">
      <w:lvlJc w:val="left"/>
      <w:lvlText w:val="%1."/>
      <w:numFmt w:val="decimal"/>
      <w:start w:val="25"/>
    </w:lvl>
  </w:abstractNum>
  <w:abstractNum w:abstractNumId="163">
    <w:nsid w:val="3F7F5DD9"/>
    <w:multiLevelType w:val="hybridMultilevel"/>
    <w:lvl w:ilvl="0">
      <w:lvlJc w:val="left"/>
      <w:lvlText w:val="%1."/>
      <w:numFmt w:val="decimal"/>
      <w:start w:val="29"/>
    </w:lvl>
  </w:abstractNum>
  <w:abstractNum w:abstractNumId="164">
    <w:nsid w:val="2AE05A34"/>
    <w:multiLevelType w:val="hybridMultilevel"/>
    <w:lvl w:ilvl="0">
      <w:lvlJc w:val="left"/>
      <w:lvlText w:val="%1."/>
      <w:numFmt w:val="decimal"/>
      <w:start w:val="31"/>
    </w:lvl>
  </w:abstractNum>
  <w:abstractNum w:abstractNumId="165">
    <w:nsid w:val="32794FF7"/>
    <w:multiLevelType w:val="hybridMultilevel"/>
    <w:lvl w:ilvl="0">
      <w:lvlJc w:val="left"/>
      <w:lvlText w:val="%1."/>
      <w:numFmt w:val="decimal"/>
      <w:start w:val="1"/>
    </w:lvl>
    <w:lvl w:ilvl="1">
      <w:lvlJc w:val="left"/>
      <w:lvlText w:val="(%2)"/>
      <w:numFmt w:val="lowerLetter"/>
      <w:start w:val="1"/>
    </w:lvl>
  </w:abstractNum>
  <w:abstractNum w:abstractNumId="166">
    <w:nsid w:val="5454945E"/>
    <w:multiLevelType w:val="hybridMultilevel"/>
    <w:lvl w:ilvl="0">
      <w:lvlJc w:val="left"/>
      <w:lvlText w:val="%1."/>
      <w:numFmt w:val="decimal"/>
      <w:start w:val="1"/>
    </w:lvl>
    <w:lvl w:ilvl="1">
      <w:lvlJc w:val="left"/>
      <w:lvlText w:val="(%2)"/>
      <w:numFmt w:val="lowerLetter"/>
      <w:start w:val="1"/>
    </w:lvl>
  </w:abstractNum>
  <w:abstractNum w:abstractNumId="167">
    <w:nsid w:val="4DEFDFA0"/>
    <w:multiLevelType w:val="hybridMultilevel"/>
    <w:lvl w:ilvl="0">
      <w:lvlJc w:val="left"/>
      <w:lvlText w:val="(%1)"/>
      <w:numFmt w:val="decimal"/>
      <w:start w:val="1"/>
    </w:lvl>
  </w:abstractNum>
  <w:abstractNum w:abstractNumId="168">
    <w:nsid w:val="2123D5F2"/>
    <w:multiLevelType w:val="hybridMultilevel"/>
    <w:lvl w:ilvl="0">
      <w:lvlJc w:val="left"/>
      <w:lvlText w:val="*"/>
      <w:numFmt w:val="bullet"/>
      <w:start w:val="1"/>
    </w:lvl>
  </w:abstractNum>
  <w:abstractNum w:abstractNumId="169">
    <w:nsid w:val="135B8110"/>
    <w:multiLevelType w:val="hybridMultilevel"/>
    <w:lvl w:ilvl="0">
      <w:lvlJc w:val="left"/>
      <w:lvlText w:val="(%1)"/>
      <w:numFmt w:val="decimal"/>
      <w:start w:val="1"/>
    </w:lvl>
  </w:abstractNum>
  <w:abstractNum w:abstractNumId="170">
    <w:nsid w:val="94927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40" Type="http://schemas.openxmlformats.org/officeDocument/2006/relationships/hyperlink" Target="https://www.sec.gov/Archives/edgar/data/1527166/000152716623000068/cg202305318-kxexhibit31.htm" TargetMode="External"/><Relationship Id="rId241" Type="http://schemas.openxmlformats.org/officeDocument/2006/relationships/hyperlink" Target="https://www.sec.gov/Archives/edgar/data/1527166/000119312520000160/d854789dex33.htm" TargetMode="External"/><Relationship Id="rId242" Type="http://schemas.openxmlformats.org/officeDocument/2006/relationships/hyperlink" Target="http://www.sec.gov/Archives/edgar/data/1527166/000119312520000160/d854789d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2024-05-07T15:59:27Z</dcterms:created>
  <dcterms:modified xsi:type="dcterms:W3CDTF">2024-05-07T15:59:27Z</dcterms:modified>
</cp:coreProperties>
</file>