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gif" ContentType="image/gif"/>
  <Override PartName="/word/media/image3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10-Q</w:t>
      </w:r>
      <w:r>
        <w:rPr>
          <w:caps w:val="false"/>
          <w:smallCaps w:val="false"/>
          <w:sz w:val="24"/>
        </w:rPr>
        <w:t xml:space="preserve"> 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(Mark One)</w:t>
      </w:r>
    </w:p>
    <w:tbl>
      <w:tblPr>
        <w:tblW w:w="9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68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☒</w:t>
            </w:r>
          </w:p>
        </w:tc>
        <w:tc>
          <w:tcPr>
            <w:tcW w:w="86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QUARTERLY REPORT PURSUANT TO SECTION 13 OR 15(d) OF THE SECURITIES EXCHANGE ACT OF 1934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FOR THE QUARTERLY PERIOD ENDED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OR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67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6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TRANSITION REPORT PURSUANT TO SECTION 13 OR 15(d) OF THE SECURITIES EXCHANGE ACT OF 1934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FOR THE TRANSITION PERIOD FROM                      TO                     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Commission File Number: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001-35538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44675" cy="24701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24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i-1"/>
      <w:bookmarkEnd w:id="0"/>
    </w:p>
    <w:p>
      <w:pPr>
        <w:pStyle w:val="TextBody"/>
        <w:bidi w:val="0"/>
        <w:spacing w:lineRule="atLeast" w:line="320" w:before="0" w:after="0"/>
        <w:jc w:val="left"/>
        <w:rPr>
          <w:sz w:val="32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2"/>
        </w:rPr>
        <w:t xml:space="preserve">The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</w:rPr>
        <w:t>Carlyle Group Inc.</w:t>
      </w:r>
      <w:r>
        <w:rPr>
          <w:caps w:val="false"/>
          <w:smallCaps w:val="false"/>
          <w:sz w:val="32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</w:rPr>
        <w:t>(Exact name of registrant as specified in its charter)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15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46"/>
        <w:gridCol w:w="146"/>
        <w:gridCol w:w="1561"/>
      </w:tblGrid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Delaware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45-2832612</w:t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(State or other jurisdiction 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incorporation or organization)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(I.R.S. Employer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Identification No.)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1001 Pennsylvania Avenue, NW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Washington</w:t>
      </w:r>
      <w:r>
        <w:rPr>
          <w:rFonts w:ascii="Times New Roman;serif" w:hAnsi="Times New Roman;serif"/>
          <w:b/>
          <w:i w:val="false"/>
          <w:caps w:val="false"/>
          <w:smallCaps w:val="false"/>
          <w:sz w:val="18"/>
        </w:rPr>
        <w:t xml:space="preserve">,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DC</w:t>
      </w:r>
      <w:r>
        <w:rPr>
          <w:rFonts w:ascii="Times New Roman;serif" w:hAnsi="Times New Roman;serif"/>
          <w:b/>
          <w:i w:val="false"/>
          <w:caps w:val="false"/>
          <w:smallCaps w:val="false"/>
          <w:sz w:val="18"/>
        </w:rPr>
        <w:t xml:space="preserve">,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20004-2505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(Address of principal executive offices) (Zip Code)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)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729-5626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(Registrant’s telephone number, including area code)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 Applicable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(Former name, former address and former fiscal year, if changed since last report)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Securities registered pursuant to Section 12(b) of the Act:</w:t>
      </w:r>
      <w:r>
        <w:rPr>
          <w:caps w:val="false"/>
          <w:smallCaps w:val="false"/>
        </w:rPr>
        <w:t xml:space="preserve"> </w:t>
      </w:r>
    </w:p>
    <w:tbl>
      <w:tblPr>
        <w:tblW w:w="83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56"/>
        <w:gridCol w:w="1456"/>
        <w:gridCol w:w="3316"/>
      </w:tblGrid>
      <w:tr>
        <w:trPr/>
        <w:tc>
          <w:tcPr>
            <w:tcW w:w="3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Title of each class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Trading Symbol(s)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Stock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CG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Nasdaq Global Select Market</w:t>
            </w:r>
          </w:p>
        </w:tc>
      </w:tr>
      <w:tr>
        <w:trPr/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4.625% Subordinated Notes due 2061 of Carlyle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L.L.C.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CGABL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Nasdaq Global Select Market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August 4,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, there were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356,332,798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shares of common stock of the registrant outstanding.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Indicate by check mark whether the registrant (1) has filed all reports required to be filed by Section 13 or 15(d) of the Securities Exchange Act of 1934 during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the preceding 12 months (or for such shorter period that the registrant was required to file such reports), and (2) has been subject to such filing requirements for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the past 90 days.   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Yes</w:t>
      </w:r>
      <w:r>
        <w:rPr>
          <w:caps w:val="false"/>
          <w:smallCaps w:val="false"/>
          <w:sz w:val="24"/>
        </w:rPr>
        <w:t>  ☒   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No  </w:t>
      </w:r>
      <w:r>
        <w:rPr>
          <w:caps w:val="false"/>
          <w:smallCaps w:val="false"/>
          <w:sz w:val="24"/>
        </w:rPr>
        <w:t>☐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Indicate by check mark whether the registrant has submitted electronically every Interactive Data File required to be submitted pursuant to Rule 405 of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Regulation S-T (§232.405 of this chapter) during the preceding 12 months (or for such shorter period that the registrant was required to submit such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files).   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Yes</w:t>
      </w:r>
      <w:r>
        <w:rPr>
          <w:caps w:val="false"/>
          <w:smallCaps w:val="false"/>
          <w:sz w:val="24"/>
        </w:rPr>
        <w:t>  ☒   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No  </w:t>
      </w:r>
      <w:r>
        <w:rPr>
          <w:caps w:val="false"/>
          <w:smallCaps w:val="false"/>
          <w:sz w:val="24"/>
        </w:rPr>
        <w:t>☐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Indicate by check mark whether the registrant is a large accelerated filer, an accelerated filer, a non-accelerated filer, smaller reporting company or an emerging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growth company.  See the definitions of “large accelerated filer,” “accelerated filer,” “smaller reporting company,” and “emerging growth company” in Rule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12b-2 of the Exchange Act.</w:t>
      </w:r>
    </w:p>
    <w:tbl>
      <w:tblPr>
        <w:tblW w:w="48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6"/>
        <w:gridCol w:w="146"/>
        <w:gridCol w:w="316"/>
        <w:gridCol w:w="206"/>
        <w:gridCol w:w="2026"/>
        <w:gridCol w:w="146"/>
        <w:gridCol w:w="361"/>
      </w:tblGrid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Large accelerated filer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☒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 </w:t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Accelerated filer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</w:tr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Non-accelerated filer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 </w:t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Smaller reporting company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</w:tr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Emerging growth company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If an emerging growth company, indicate by check mark if the registrant has elected not to use the extended transition period for complying with any new or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revised financial accounting standards provided pursuant to Section 13(a) of the Exchange Act. </w:t>
      </w:r>
      <w:r>
        <w:rPr>
          <w:caps w:val="false"/>
          <w:smallCaps w:val="false"/>
        </w:rPr>
        <w:t>☐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Indicate by check mark whether the registrant is a shell company (as defined in Rule 12b-2 of the Exchange Act).    Yes  </w:t>
      </w:r>
      <w:r>
        <w:rPr>
          <w:caps w:val="false"/>
          <w:smallCaps w:val="false"/>
          <w:sz w:val="24"/>
        </w:rPr>
        <w:t>☐   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No 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☒</w:t>
      </w:r>
      <w:r>
        <w:rPr>
          <w:caps w:val="false"/>
          <w:smallCaps w:val="false"/>
          <w:sz w:val="24"/>
        </w:rPr>
        <w:t xml:space="preserve">   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TABLE OF CONTENTS</w:t>
      </w:r>
    </w:p>
    <w:p>
      <w:pPr>
        <w:pStyle w:val="TextBody"/>
        <w:bidi w:val="0"/>
        <w:spacing w:lineRule="atLeast" w:line="24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7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1"/>
        <w:gridCol w:w="7366"/>
        <w:gridCol w:w="571"/>
      </w:tblGrid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Page</w:t>
            </w:r>
          </w:p>
        </w:tc>
      </w:tr>
      <w:tr>
        <w:trPr/>
        <w:tc>
          <w:tcPr>
            <w:tcW w:w="817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13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PART I – FINANCIAL INFORMATION</w:t>
              </w:r>
            </w:hyperlink>
          </w:p>
        </w:tc>
        <w:tc>
          <w:tcPr>
            <w:tcW w:w="57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1.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1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Financial Statements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13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5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Unaudited Condensed Consolidated Financial Statements –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June 30,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and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:</w:t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1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Condensed Consolidated Balance Sheets as of June 30, 2026 and December 31, 2025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1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5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Condensed Consolidated Statements of Operations for the Three and Six Months Ended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June 30, 2026 and 2025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6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Condensed Consolidated Statements of Comprehensive Income (Loss) for the Three and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Six Months Ended June 30, 2026 and 2025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7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Condensed Consolidated Statements of Changes in Equity for the Three and Six Months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Ended June 30, 2026 and 2025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8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3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Condensed Consolidated Statements of Cash Flows for the Six Months Ended June 30,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3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2026 and 2025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3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10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34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Notes to the Condensed Consolidated Financial Statements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34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2.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127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Management’s Discussion and Analysis of Financial Condition and Results of Operations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127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68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3.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19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Quantitative and Qualitative Disclosures About Market Risk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19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120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4.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0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Controls and Procedures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0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120</w:t>
              </w:r>
            </w:hyperlink>
          </w:p>
        </w:tc>
      </w:tr>
      <w:tr>
        <w:trPr/>
        <w:tc>
          <w:tcPr>
            <w:tcW w:w="817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7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05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PART II – OTHER INFORMATION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1.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0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Legal Proceedings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0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122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1A.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1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Risk Factors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1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122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2.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14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Unregistered Sales of Equity Securities and Use of Proceeds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14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122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3.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17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Defaults Upon Senior Securities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17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122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4.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20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Mine Safety Disclosures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20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122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5.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23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Other Information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23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122</w:t>
              </w:r>
            </w:hyperlink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6.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2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Exhibits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2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123</w:t>
              </w:r>
            </w:hyperlink>
          </w:p>
        </w:tc>
      </w:tr>
      <w:tr>
        <w:trPr/>
        <w:tc>
          <w:tcPr>
            <w:tcW w:w="817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7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3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SIGNATURES</w:t>
              </w:r>
            </w:hyperlink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afb00052f0ed424eaab8b899d03d2762_23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124</w:t>
              </w:r>
            </w:hyperlink>
          </w:p>
        </w:tc>
      </w:tr>
      <w:tr>
        <w:trPr/>
        <w:tc>
          <w:tcPr>
            <w:tcW w:w="817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Forward-Looking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This Quarterly Report on Form 10-Q may contain forward-looking statements within the meaning of Section 27A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Securities Act of 1933, as amended, and Section 21E of the Securities Exchange Act of 1934, as amended. These statements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include, but are not limited to, statements related to our expectations, estimates, beliefs, projections, future plans and strategies,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anticipated events or trends, and similar expressions and statements that are not historical facts, including our expectations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regarding the performance of our business, our financial results, our liquidity and capital resources, contingencies, and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dividend policy. You can identify these forward-looking statements by the use of words such as “outlook,” “believes,”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expects,” “potential,” “continues,” “may,” “will,” “should,” “seeks,” “approximately,” “predicts,” “intends,” “plans,”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estimates,” “anticipates,” or the negative version of these words or other comparable words. Such forward-looking statements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are subject to various risks, uncertainties, and assumptions. Accordingly, there are or will be important factors that could cause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actual outcomes or results to differ materially from those indicated in these statements including, but not limited to, those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described in this Quarterly Report on Form 10-Q and under the section entitled “Risk Factors” in our Annual Report on Form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10-K for the year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filed with the U.S. Securities and Exchange Commission (“SEC”) on February 27,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2026, as such factors may be updated from time to time in our periodic filings with the SEC, which are accessible on the SEC’s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website at www.sec.gov. These factors should not be construed as exhaustive and should be read in conjunction with the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cautionary statements that are included in this Quarterly Report on Form 10-Q and in our other periodic filings with the SEC.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undertake no obligation to publicly update or review any forward-looking statements, whether as a result of new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information, future developments, or otherwise, except as required by applicable law.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Website and Social Media Disclosure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use our website (www.carlyle.com), our corporate Facebook page (www.facebook.com/onecarlyle), our corporate X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account (@OneCarlyle or www.x.com/onecarlyle), our corporate Instagram account (@onecarlyle or www.instagram.com/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onecarlyle), our corporate LinkedIn account (www.linkedin.com/company/the-carlyle-group), our corporate YouTube channel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(www.youtube.com/user/onecarlyle), and our corporate WeChat account (ID: gh_3e34f090ec20) as channels of distribution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material company information. For example, financial and other material information regarding our company is routinely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posted on and accessible at www.carlyle.com. Accordingly, investors should monitor these channels, in addition to following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press releases, SEC filings, and public conference calls and webcasts. In addition, you may automatically receive email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alerts and other information about Carlyle when you enroll your email address by visiting the “Email Alerts” section at http://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ir.carlyle.com/email-alerts. The contents of our website and social media channels are not, however, a part of this Quarterly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Report on Form 10-Q and are not incorporated by reference herein.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Carlyle does not conduct any public solicitations (including print and online articles, advertisements, or postings on social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media sites, messaging applications such as Telegram, WeChat, or WhatsApp, or other public platforms) with respect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investments, fundraising, cryptocurrency, or opening accounts on social media sites. Any investment-related communication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received from these platforms purporting to be from a Carlyle professional is fraudulent and should be reported to authorities.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Carlyle Group Inc. was formed in Delaware as a partnership on July 18, 2011. On January 1, 2020, we completed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conversion from a Delaware limited partnership named The Carlyle Group L.P. into a Delaware Corporation named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Carlyle Group Inc. (the conversion, together with such restructuring steps and related transactions, the “Conversion”).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Unless the context suggests otherwise, references in this Quarterly Report on Form 10-Q to “Carlyle,” the “Company,”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we,” “us,” and “our” refer to The Carlyle Group Inc. and its consolidated subsidiaries. When we refer to our “senior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professionals,” we are referring to the partner-level personnel of our firm. References in this Quarterly Report on Form 10-Q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ownership of the senior Carlyle professionals include the ownership of personal planning vehicles of these individuals.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When we refer to the “Carlyle Holdings partnerships” or “Carlyle Holdings,” we are referring to Carlyle Holdings I L.P.,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Carlyle Holdings II L.P., and Carlyle Holdings III L.P., which prior to the Conversion were the holding partnerships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which the Company and our senior Carlyle professionals and other holders of Carlyle Holdings partnership units owned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respective interests in our business.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Carlyle funds,” “our funds,” and “our investment funds” refer to the investment funds and vehicles advised by Carlyle.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Carry funds” generally refers to closed-end investment vehicles, in which commitments are drawn down over a specified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 period, and in which the general partner receives a special residual allocation of income from limited partners,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which we refer to as carried interest, in the event that specified investment returns are achieved by the fund. Disclosures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referring to carry funds will also include the impact of certain commitments that do not earn carried interest, but are either part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or associated with our carry funds. The rate of carried interest, as well as the share of carried interest allocated to Carlyle,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may vary across the carry fund platform. Carry funds generally include the following investment vehicles across our three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business segments: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Global Private Equity: Buyout, growth, real estate, and infrastructure &amp; natural resources funds advised by Carlyle,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well as certain energy funds advised by our strategic partner NGP Energy Capital Management (“NGP”) in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Carlyle is entitled to receive a share of carried interest (“NGP Carry Funds”);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Global Credit: Opportunistic credit, aviation finance, infrastructure credit, and other closed-end credit funds advised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Carlyle;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Carlyle AlpInvest: Funds and vehicles advised by AlpInvest Partners B.V. and its affiliates (“AlpInvest”),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include global private equity programs that pursue secondary purchases and financing of existing portfolios, managed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co-investment programs, and primary fund investments.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Carry funds specifically exclude certain legacy Abingworth funds in which Carlyle is not entitled to receive a share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carried interest, collateralized loan obligation vehicles (“CLOs”), our business development companies and associated managed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accounts, as well as capital raised from strategic third-party investors which directly invest in Fortitude (defined below)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alongside a carry fund.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an explanation of the fund acronyms used throughout this Quarterly Report on Form 10-Q, refer to “Item 2.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Management’s Discussion and Analysis of Financial Condition and Results of Operations – Our Global Investment Offerings.”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Fortitude” refers to FGH Parent, L.P. (“FGH Parent”), the direct parent of Fortitude Group Holdings, LLC (“Fortitude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Holdings”). 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condensed consolidated financial statements in Part I, Item 1 of this Quarterly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Report on Form 10-Q for more information regarding the Company’s strategic investment in Fortitude.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assets under management” or “Fee-earning AUM” refers to the assets we manage or advise from which we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derive recurring fund management fees. Our Fee-earning AUM is generally based on one of the following, once fees have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activated: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(a)the amount of limited partner capital commitments, generally for carry funds where the original investment period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has not expired and for AlpInvest carry funds during the commitment fee period;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(b)the remaining amount of limited partner invested capital at cost, generally for carry funds and certain co-investment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vehicles where the original investment period has expired;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(c)the amount of aggregate fee-earning collateral balance of our CLOs and other securitization vehicles, as defined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fund indentures (pre-2020 CLO vintages are generally exclusive of equities and defaulted positions) as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quarterly cut-off date;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(d)the external investor portion of the net asset value of certain carry funds and evergreen products;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(e)the fair value of Fortitude’s general account assets invested under the strategic advisory services agreement;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(f)the gross assets (including assets acquired with leverage) of certain cross-platform credit and direct lending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products, excluding cash and cash equivalents for one of our business development companies; and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(g)the lower of cost or fair value of invested capital, generally for AlpInvest carry funds where the commitment fee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period has expired and certain carry funds where the investment period has expired.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Assets under management” or “AUM” refers to the assets we manage or advise. Our AUM generally equals the sum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following: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(a)the aggregate fair value of our carry funds and related co-investment vehicles, and separately managed accounts,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plus the capital that Carlyle is entitled to call from investors in those funds and vehicles (including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commitments to those funds and vehicles and those of senior Carlyle professionals and employees) pursuant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terms of their capital commitments to those funds and vehicles;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(b) the amount of aggregate collateral balance and principal cash or aggregate principal amount of the notes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CLOs and other structured products (inclusive of all positions);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(c) the net asset value of certain carry funds and evergreen products;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(d)the fair value of Fortitude’s general account assets covered by the strategic advisory services agreement; and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(e) the gross assets (including assets acquired with leverage) of certain cross-platform credit and direct lending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products, plus the capital that Carlyle is entitled to call from investors in those vehicles pursuant to the terms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capital commitments to those vehicles.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include in our calculation of AUM and Fee-earning AUM the NGP Carry Funds that are advised by NGP.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calculation of AUM also includes third-party capital raised for the investment in Fortitude through a Carlyle-affiliated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investment fund and from strategic investors which directly invest in Fortitude alongside the fund. The total AUM and Fee-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earning AUM related to the strategic advisory services agreement with Fortitude is inclusive of the net asset value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investments in Carlyle products. These amounts are also reflected in the AUM and Fee-earning AUM of the strategy in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they are invested.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most of our carry funds, total AUM includes the fair value of the capital invested, whereas Fee-earning AUM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includes the amount of capital commitments or the remaining amount of invested capital, depending on whether the original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 period for the fund has expired. As such, Fee-earning AUM may be greater than total AUM when the aggregate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value of the remaining investments is less than the cost of those investments.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calculations of AUM and Fee-earning AUM may differ from the calculations of other asset managers. As a result,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these measures may not be comparable to similar measures presented by other asset managers. In addition, our calculation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AUM (but not Fee-earning AUM) includes uncalled commitments to, and the fair value of invested capital in, our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 from Carlyle and our personnel, regardless of whether such commitments or invested capital are subject to 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fees, incentive fees or performance allocations. Our calculations of AUM or Fee-earning AUM are not based on any definition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 AUM or Fee-earning AUM that is set forth in the agreements governing the investment funds that we manage or advise.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Performance Fee Eligible AUM” represents the AUM of funds for which we are entitled to receive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allocations, inclusive of the fair value of investments in those funds (which we refer to as “Performance Fee Eligible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Value”) and their Available Capital. Performance Fee Eligible Fair Value is “Performance Fee-Generating” when the associated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 has achieved the specified investment returns required under the terms of the fund’s agreement and is accruing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performance revenue as of the quarter-end reporting date. Funds whose performance allocations are treated as fee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performance allocations are excluded from these metrics.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Perpetual Capital” refers to the assets we manage or advise which have an indefinite term and for which there is no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immediate requirement to return capital to investors upon the realization of investments made with such capital, except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required by applicable law. Perpetual Capital may be materially reduced or terminated under certain conditions,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reductions from changes in valuations and payments to investors, including through elections by investors to redeem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investments, dividend payments, and other payment obligations, as well as the termination of or failure to renew the respective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advisory agreements. Perpetual Capital includes: (a) assets managed under the strategic advisory services agreement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 Fortitude, (b) our Core Plus real estate fund, (c) our business development companies and certain other direct lending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products, (d) Carlyle Tactical Private Credit Fund (“CTAC”), (e) our closed-end tender offer Carlyle AlpInvest Private Markets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(“CAPM”) funds and Carlyle AlpInvest Private Markets Secondaries (“CAPS”) funds, and (f) certain other structured credit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asset-backed finance products.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Legacy Energy Funds” include Energy III, Energy IV, and Renew II and are managed with Riverstone and its affiliates.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investment periods for these funds have expired and the remaining investments in each fund are being disposed of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ordinary course of business. The impact of these funds is no longer significant to our results of operations.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Metropolitan” or “MRE” refers to Metropolitan Real Estate Management, LLC, which was included in the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AlpInvest business segment prior to its sale on April 1, 2021.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PART I – FINANCIAL INFORMATION</w:t>
      </w:r>
    </w:p>
    <w:p>
      <w:pPr>
        <w:pStyle w:val="TextBody"/>
        <w:bidi w:val="0"/>
        <w:spacing w:lineRule="atLeast" w:line="24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1. Financial Statements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Condensed Consolidated Balance Sheets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(Dollars in millions)</w:t>
      </w:r>
    </w:p>
    <w:tbl>
      <w:tblPr>
        <w:tblW w:w="88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481"/>
        <w:gridCol w:w="1051"/>
        <w:gridCol w:w="109"/>
        <w:gridCol w:w="1186"/>
      </w:tblGrid>
      <w:tr>
        <w:trPr/>
        <w:tc>
          <w:tcPr>
            <w:tcW w:w="6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December 31,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64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(Unaudited)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Assets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$1,256.5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$1,970.2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 held at Consolidated Funds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784.1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1,235.1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Investments, including accrued performance allocations of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$6,608.2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$7,620.3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as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June 30,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December 31, 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, respectively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10,231.6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11,152.7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of Consolidated Funds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13,320.3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12,519.8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from affiliates and other receivables, net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1,181.2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834.8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from affiliates and other receivables of Consolidated Funds, net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290.3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206.4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Fixed assets, net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224.9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Lease right-of-use assets, net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320.4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331.9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Deposits and other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100.9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Intangible assets, net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507.1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tax assets</w:t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32.2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$28,195.6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$29,116.0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Liabilities and equity</w:t>
            </w:r>
          </w:p>
        </w:tc>
        <w:tc>
          <w:tcPr>
            <w:tcW w:w="105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Debt obligations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$2,998.8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$2,997.0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Loans payable of Consolidated Funds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10,804.4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10,426.0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Accounts payable, accrued expenses and other liabilities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591.8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543.7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compensation and benefits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5,007.6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5,849.4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to affiliates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203.9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revenue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135.5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129.2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tax liabilities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106.3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liabilities of Consolidated Funds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642.8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1,260.4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Lease liabilities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450.5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470.2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giveback obligations</w:t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72.8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liabilities</w:t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20,982.8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22,058.9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Commitments and contingencies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Common stock,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$0.01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par value,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100,000,000,000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shares authorized 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353,389,038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357,374,023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shares issued and outstanding as of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June 30,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December 31, 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respectively)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3.6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Additional paid-in-capital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4,557.4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4,285.8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Retained earnings</w:t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873.8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1,642.3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Accumulated other comprehensive loss</w:t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(192.6)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(170.2)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Non-controlling interests in consolidated entities</w:t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1,970.7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1,295.6</w:t>
            </w:r>
          </w:p>
        </w:tc>
      </w:tr>
      <w:tr>
        <w:trPr/>
        <w:tc>
          <w:tcPr>
            <w:tcW w:w="6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equity</w:t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7,212.8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7,057.1</w:t>
            </w:r>
          </w:p>
        </w:tc>
      </w:tr>
      <w:tr>
        <w:trPr/>
        <w:tc>
          <w:tcPr>
            <w:tcW w:w="6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liabilities and equity</w:t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$28,195.6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$29,116.0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See accompanying notes.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Condensed Consolidated Statements of Operations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(Dollars in millions, except share and per share data)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09"/>
        <w:gridCol w:w="1006"/>
        <w:gridCol w:w="109"/>
        <w:gridCol w:w="1006"/>
        <w:gridCol w:w="109"/>
        <w:gridCol w:w="1006"/>
        <w:gridCol w:w="109"/>
        <w:gridCol w:w="1051"/>
      </w:tblGrid>
      <w:tr>
        <w:trPr/>
        <w:tc>
          <w:tcPr>
            <w:tcW w:w="58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2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80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$657.0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$620.4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$1,241.0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$1,206.5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Incentive fees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150.6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83.7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 income (loss)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(636.4)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861.7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(7.9)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investment income (loss)</w:t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113.9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(502.8)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853.8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116.5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105.6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 of Consolidated Funds</w:t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296.4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1,123.5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1,572.9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1,377.5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2,546.0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489.0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456.8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Equity-based compensation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116.0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235.8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196.4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 and incentive fee related compensation</w:t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(274.3)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615.0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471.5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774.9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450.5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1,268.2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General, administrative and other expenses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205.5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387.5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379.1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55.8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expenses of Consolidated Funds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329.7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284.3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non-operating income</w:t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875.9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1,179.1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1,244.5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1,987.3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 (loss)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investment income (loss) of Consolidated Funds</w:t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(38.2)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52.9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before provision for income taxes</w:t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273.8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440.6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611.6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Provision for income taxes</w:t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124.9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224.8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328.1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486.7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non-controlling interests in consolidated entities</w:t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37.0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The Carlyle Group Inc.</w:t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$137.1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$319.7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$449.7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The Carlyle Group Inc. per common share (see Note 11)</w:t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006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$0.38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$0.89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$1.25</w:t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1006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$0.37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$0.87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$1.23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Weighted-average common shares</w:t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00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357,772,352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360,359,241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358,478,614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359,914,229</w:t>
            </w:r>
          </w:p>
        </w:tc>
      </w:tr>
      <w:tr>
        <w:trPr/>
        <w:tc>
          <w:tcPr>
            <w:tcW w:w="5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1006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367,301,542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366,967,197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368,081,014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366,654,517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Substantially all revenue is earned from affiliates of the Company. See accompanying notes.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Condensed Consolidated Statements of Comprehensive Income (Loss)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(Dollars in millions)</w:t>
      </w:r>
    </w:p>
    <w:p>
      <w:pPr>
        <w:pStyle w:val="TextBody"/>
        <w:bidi w:val="0"/>
        <w:spacing w:lineRule="atLeast" w:line="24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3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36"/>
        <w:gridCol w:w="805"/>
        <w:gridCol w:w="145"/>
        <w:gridCol w:w="805"/>
        <w:gridCol w:w="109"/>
        <w:gridCol w:w="724"/>
        <w:gridCol w:w="125"/>
        <w:gridCol w:w="741"/>
      </w:tblGrid>
      <w:tr>
        <w:trPr/>
        <w:tc>
          <w:tcPr>
            <w:tcW w:w="4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9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$224.8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$328.1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$82.9</w:t>
            </w:r>
          </w:p>
        </w:tc>
        <w:tc>
          <w:tcPr>
            <w:tcW w:w="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$486.7</w:t>
            </w:r>
          </w:p>
        </w:tc>
      </w:tr>
      <w:tr>
        <w:trPr/>
        <w:tc>
          <w:tcPr>
            <w:tcW w:w="4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comprehensive income (loss)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Foreign currency translation adjustments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(13.8)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105.5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(32.8)</w:t>
            </w:r>
          </w:p>
        </w:tc>
        <w:tc>
          <w:tcPr>
            <w:tcW w:w="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152.5</w:t>
            </w:r>
          </w:p>
        </w:tc>
      </w:tr>
      <w:tr>
        <w:trPr/>
        <w:tc>
          <w:tcPr>
            <w:tcW w:w="4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Defined benefit plans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 income (loss) for the period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1.1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</w:t>
            </w:r>
          </w:p>
        </w:tc>
        <w:tc>
          <w:tcPr>
            <w:tcW w:w="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(0.6)</w:t>
            </w:r>
          </w:p>
        </w:tc>
      </w:tr>
      <w:tr>
        <w:trPr/>
        <w:tc>
          <w:tcPr>
            <w:tcW w:w="4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Reclassification adjustment for gain during the period, included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 expense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(0.2)</w:t>
            </w:r>
          </w:p>
        </w:tc>
        <w:tc>
          <w:tcPr>
            <w:tcW w:w="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</w:tr>
      <w:tr>
        <w:trPr/>
        <w:tc>
          <w:tcPr>
            <w:tcW w:w="4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comprehensive income (loss)</w:t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(12.8)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(32.7)</w:t>
            </w:r>
          </w:p>
        </w:tc>
        <w:tc>
          <w:tcPr>
            <w:tcW w:w="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151.8</w:t>
            </w:r>
          </w:p>
        </w:tc>
      </w:tr>
      <w:tr>
        <w:trPr/>
        <w:tc>
          <w:tcPr>
            <w:tcW w:w="4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Comprehensive income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212.0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434.1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50.2</w:t>
            </w:r>
          </w:p>
        </w:tc>
        <w:tc>
          <w:tcPr>
            <w:tcW w:w="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638.5</w:t>
            </w:r>
          </w:p>
        </w:tc>
      </w:tr>
      <w:tr>
        <w:trPr/>
        <w:tc>
          <w:tcPr>
            <w:tcW w:w="4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Comprehensive income attributable to non-controlling interests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entities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86.3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67.7</w:t>
            </w:r>
          </w:p>
        </w:tc>
        <w:tc>
          <w:tcPr>
            <w:tcW w:w="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48.5</w:t>
            </w:r>
          </w:p>
        </w:tc>
      </w:tr>
      <w:tr>
        <w:trPr/>
        <w:tc>
          <w:tcPr>
            <w:tcW w:w="4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Comprehensive income (loss) attributable to The Carlyle Group Inc.</w:t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$125.7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$418.9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$(17.5)</w:t>
            </w:r>
          </w:p>
        </w:tc>
        <w:tc>
          <w:tcPr>
            <w:tcW w:w="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$590.0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See accompanying notes.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Condensed Consolidated Statements of Changes in Equity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(Dollars and shares in millions)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77"/>
        <w:gridCol w:w="808"/>
        <w:gridCol w:w="109"/>
        <w:gridCol w:w="808"/>
        <w:gridCol w:w="109"/>
        <w:gridCol w:w="913"/>
        <w:gridCol w:w="109"/>
        <w:gridCol w:w="793"/>
        <w:gridCol w:w="109"/>
        <w:gridCol w:w="1216"/>
        <w:gridCol w:w="109"/>
        <w:gridCol w:w="1051"/>
        <w:gridCol w:w="109"/>
        <w:gridCol w:w="785"/>
      </w:tblGrid>
      <w:tr>
        <w:trPr/>
        <w:tc>
          <w:tcPr>
            <w:tcW w:w="31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Common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Common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Stock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Additional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Paid-in-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Retained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Earnings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Accumulated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Comprehensive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controlling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Interests in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Entities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at March 31, 2026</w:t>
            </w:r>
          </w:p>
        </w:tc>
        <w:tc>
          <w:tcPr>
            <w:tcW w:w="80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359.8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$4,408.4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$1,172.7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$(181.2)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$1,971.1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$7,374.6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 repurchased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(299.9)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(300.0)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shares issued for equity-based awards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(4.1)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Equity-based compensation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112.9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112.9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Dividend-equivalent rights on certain equity-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based awards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Initial consolidation of Consolidated Entities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222.0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222.0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Contributions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337.7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Dividends and distributions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(125.7)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(71.3)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(197.0)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income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137.1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224.8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Transfer of interests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Deconsolidation of Consolidated Entities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(545.3)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(545.3)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Currency translation adjustments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(13.8)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Defined benefit plans, net</w:t>
            </w:r>
          </w:p>
        </w:tc>
        <w:tc>
          <w:tcPr>
            <w:tcW w:w="8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1.0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at June 30, 2026</w:t>
            </w:r>
          </w:p>
        </w:tc>
        <w:tc>
          <w:tcPr>
            <w:tcW w:w="8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353.4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$4,557.4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$873.8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$(192.6)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$1,970.7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$7,212.8</w:t>
            </w:r>
          </w:p>
        </w:tc>
      </w:tr>
      <w:tr>
        <w:trPr/>
        <w:tc>
          <w:tcPr>
            <w:tcW w:w="31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Common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Common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Stock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Additional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Paid-in-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Retained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Earnings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Accumulated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Comprehensive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controlling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Interests in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Entities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at December 31, 2025</w:t>
            </w:r>
          </w:p>
        </w:tc>
        <w:tc>
          <w:tcPr>
            <w:tcW w:w="80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357.4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$4,285.8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$1,642.3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$(170.2)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$1,295.6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$7,057.1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 repurchased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(364.9)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(365.0)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shares issued for equity-based awards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(143.9)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(143.9)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Equity-based compensation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229.3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229.3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Dividend-equivalent rights on certain equity-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based awards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Initial consolidation of Consolidated Entities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544.1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544.1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Contributions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799.5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799.5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Dividends and distributions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(252.1)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(161.1)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(413.2)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loss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78.0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82.9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Transfer of interests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Deconsolidation of Consolidated Entities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(545.3)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(545.3)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Currency translation adjustments</w:t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(22.5)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(10.3)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(32.8)</w:t>
            </w:r>
          </w:p>
        </w:tc>
      </w:tr>
      <w:tr>
        <w:trPr/>
        <w:tc>
          <w:tcPr>
            <w:tcW w:w="31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Defined benefit plans, net</w:t>
            </w:r>
          </w:p>
        </w:tc>
        <w:tc>
          <w:tcPr>
            <w:tcW w:w="8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0.1</w:t>
            </w:r>
          </w:p>
        </w:tc>
      </w:tr>
      <w:tr>
        <w:trPr/>
        <w:tc>
          <w:tcPr>
            <w:tcW w:w="317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at June 30, 2026</w:t>
            </w:r>
          </w:p>
        </w:tc>
        <w:tc>
          <w:tcPr>
            <w:tcW w:w="8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353.4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$4,557.4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$873.8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$(192.6)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$1,970.7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$7,212.8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01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56"/>
        <w:gridCol w:w="766"/>
        <w:gridCol w:w="109"/>
        <w:gridCol w:w="766"/>
        <w:gridCol w:w="109"/>
        <w:gridCol w:w="871"/>
        <w:gridCol w:w="109"/>
        <w:gridCol w:w="751"/>
        <w:gridCol w:w="109"/>
        <w:gridCol w:w="1261"/>
        <w:gridCol w:w="109"/>
        <w:gridCol w:w="1051"/>
        <w:gridCol w:w="109"/>
        <w:gridCol w:w="781"/>
      </w:tblGrid>
      <w:tr>
        <w:trPr/>
        <w:tc>
          <w:tcPr>
            <w:tcW w:w="3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Stock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Additional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Paid-in-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Retained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Earnings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Accumulated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Comprehensive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controlling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Interests in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Entities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at March 31, 2025</w:t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$3,997.7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$1,864.8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$(288.7)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$807.8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$6,385.2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 repurchased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(100.0)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(100.0)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shares issued for equity-based awards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(3.6)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Equity-based compensation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94.1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94.1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Dividend-equivalent rights on certain equity-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based awards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Contributions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68.3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Dividends and distributions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(126.3)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(34.2)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(160.5)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income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319.7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328.1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Currency translation adjustments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98.7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105.5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Defined benefit plans, net</w:t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0.5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at June 30, 2025</w:t>
            </w:r>
          </w:p>
        </w:tc>
        <w:tc>
          <w:tcPr>
            <w:tcW w:w="76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359.0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$4,096.4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$1,950.0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$(189.5)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$857.1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$6,717.6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Stock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Additional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Paid-in-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Retained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Earnings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Accumulated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Comprehensive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controlling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Interests in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Entities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at December 31, 2024</w:t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$3,892.3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$2,040.8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$(329.8)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$740.7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$6,347.6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 repurchased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(125.0)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(125.0)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shares issued for equity-based awards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(155.1)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(155.1)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Equity-based compensation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196.4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196.4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Dividend-equivalent rights on certain equity-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based awards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Initial consolidation of a Consolidated Entity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35.0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Contributions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231.3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231.3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Dividends and distributions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(252.7)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(198.4)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(451.1)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income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449.7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486.7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Currency translation adjustments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152.5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Defined benefit plans, net</w:t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(0.7)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(0.7)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at June 30, 2025</w:t>
            </w:r>
          </w:p>
        </w:tc>
        <w:tc>
          <w:tcPr>
            <w:tcW w:w="7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359.0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$4,096.4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$1,950.0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$(189.5)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$857.1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$6,717.6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See accompanying notes.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Condensed Consolidated Statements of Cash Flows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(Dollars in millions)</w:t>
      </w:r>
    </w:p>
    <w:tbl>
      <w:tblPr>
        <w:tblW w:w="801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31"/>
        <w:gridCol w:w="1036"/>
        <w:gridCol w:w="147"/>
        <w:gridCol w:w="1097"/>
      </w:tblGrid>
      <w:tr>
        <w:trPr/>
        <w:tc>
          <w:tcPr>
            <w:tcW w:w="5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28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57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flows from operating activities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$82.9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$486.7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Adjustments to reconcile net income to net cash flows from operating activities: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101.8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94.6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Equity-based compensation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235.8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196.4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Non-cash performance allocations and incentive fees, net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338.9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(250.6)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Non-cash principal investment (income) loss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(121.5)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32.6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non-cash amounts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(6.4)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36.8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Funds related: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Realized/unrealized (gain) loss on investments of Consolidated Funds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102.0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(11.6)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Realized/unrealized (gain) loss from loans payable of Consolidated Funds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(63.8)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(41.3)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Purchases of investments by Consolidated Funds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(6,140.0)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(4,033.2)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Proceeds from sales and settlements of investments by Consolidated Funds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4,398.1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2,311.1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Non-cash interest income, net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(9.5)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(8.7)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cash and cash equivalents held at Consolidated Funds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658.4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405.4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other receivables held at Consolidated Funds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(81.1)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10.5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other liabilities held at Consolidated Funds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(461.0)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(14.0)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Purchases of investments 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(283.6)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(144.3)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Proceeds from the sale of investments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321.1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469.6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Payments of contingent consideration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(1.0)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deferred taxes, net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(72.4)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(16.5)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due from affiliates and other receivables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(65.4)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(16.3)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deposits and other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7.5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(24.9)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accounts payable, accrued expenses and other liabilities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55.1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39.1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accrued compensation and benefits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(243.1)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(116.2)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due to affiliates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3.9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23.6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lease right-of-use assets and lease liabilities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(7.9)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(6.3)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deferred revenue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7.3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57.6</w:t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operating activities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(1,242.9)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(520.9)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flows from investing activities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Purchases of fixed assets, net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(60.1)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(34.2)</w:t>
            </w:r>
          </w:p>
        </w:tc>
      </w:tr>
      <w:tr>
        <w:trPr/>
        <w:tc>
          <w:tcPr>
            <w:tcW w:w="5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investing activities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(60.1)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(34.2)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80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06"/>
        <w:gridCol w:w="1032"/>
        <w:gridCol w:w="152"/>
        <w:gridCol w:w="1095"/>
      </w:tblGrid>
      <w:tr>
        <w:trPr/>
        <w:tc>
          <w:tcPr>
            <w:tcW w:w="5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27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5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3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5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flows from financing activities</w:t>
            </w:r>
          </w:p>
        </w:tc>
        <w:tc>
          <w:tcPr>
            <w:tcW w:w="10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Payments on CLO borrowings</w:t>
            </w:r>
          </w:p>
        </w:tc>
        <w:tc>
          <w:tcPr>
            <w:tcW w:w="10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(37.6)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(40.1)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Proceeds from CLO borrowings, net of financing costs</w:t>
            </w:r>
          </w:p>
        </w:tc>
        <w:tc>
          <w:tcPr>
            <w:tcW w:w="10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47.8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15.1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borrowings on loans payable of Consolidated Funds</w:t>
            </w:r>
          </w:p>
        </w:tc>
        <w:tc>
          <w:tcPr>
            <w:tcW w:w="10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949.6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1,055.1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Dividends to common stockholders</w:t>
            </w:r>
          </w:p>
        </w:tc>
        <w:tc>
          <w:tcPr>
            <w:tcW w:w="10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(252.1)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(252.7)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Contributions from non-controlling interest holders</w:t>
            </w:r>
          </w:p>
        </w:tc>
        <w:tc>
          <w:tcPr>
            <w:tcW w:w="10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799.5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231.3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Distributions to non-controlling interest holders</w:t>
            </w:r>
          </w:p>
        </w:tc>
        <w:tc>
          <w:tcPr>
            <w:tcW w:w="10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(161.1)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(198.4)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 shares repurchased and net share settlement of equity-based awards</w:t>
            </w:r>
          </w:p>
        </w:tc>
        <w:tc>
          <w:tcPr>
            <w:tcW w:w="10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(508.9)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(280.1)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 in due to/from affiliates financing activities</w:t>
            </w:r>
          </w:p>
        </w:tc>
        <w:tc>
          <w:tcPr>
            <w:tcW w:w="103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(208.7)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(3.4)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financing activities</w:t>
            </w:r>
          </w:p>
        </w:tc>
        <w:tc>
          <w:tcPr>
            <w:tcW w:w="103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628.5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526.8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Effect of foreign exchange rate changes</w:t>
            </w:r>
          </w:p>
        </w:tc>
        <w:tc>
          <w:tcPr>
            <w:tcW w:w="103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(41.1)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38.7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(decrease) in cash, cash equivalents and restricted cash</w:t>
            </w:r>
          </w:p>
        </w:tc>
        <w:tc>
          <w:tcPr>
            <w:tcW w:w="103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(715.6)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10.4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Cash, cash equivalents and restricted cash, beginning of period</w:t>
            </w:r>
          </w:p>
        </w:tc>
        <w:tc>
          <w:tcPr>
            <w:tcW w:w="103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1,973.6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1,266.5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Cash, cash equivalents and restricted cash, end of period</w:t>
            </w:r>
          </w:p>
        </w:tc>
        <w:tc>
          <w:tcPr>
            <w:tcW w:w="103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$1,258.0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$1,276.9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Supplemental non-cash disclosures</w:t>
            </w:r>
          </w:p>
        </w:tc>
        <w:tc>
          <w:tcPr>
            <w:tcW w:w="1032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Initial consolidation of Consolidated Funds</w:t>
            </w:r>
          </w:p>
        </w:tc>
        <w:tc>
          <w:tcPr>
            <w:tcW w:w="1032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$750.2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$55.0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asset impact of deconsolidation of Consolidated Funds</w:t>
            </w:r>
          </w:p>
        </w:tc>
        <w:tc>
          <w:tcPr>
            <w:tcW w:w="1032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$(731.8)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$(26.6)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Reconciliation of cash, cash equivalents and restricted cash, end of period:</w:t>
            </w:r>
          </w:p>
        </w:tc>
        <w:tc>
          <w:tcPr>
            <w:tcW w:w="10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</w:t>
            </w:r>
          </w:p>
        </w:tc>
        <w:tc>
          <w:tcPr>
            <w:tcW w:w="10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$1,256.5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$1,275.8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Restricted cash</w:t>
            </w:r>
          </w:p>
        </w:tc>
        <w:tc>
          <w:tcPr>
            <w:tcW w:w="103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1.5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1.1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cash, cash equivalents and restricted cash, end of period</w:t>
            </w:r>
          </w:p>
        </w:tc>
        <w:tc>
          <w:tcPr>
            <w:tcW w:w="103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$1,258.0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$1,276.9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 held at Consolidated Funds</w:t>
            </w:r>
          </w:p>
        </w:tc>
        <w:tc>
          <w:tcPr>
            <w:tcW w:w="1032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$784.1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$463.1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See accompanying notes.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1. Organization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Carlyle is one of the world’s largest global investment firms that deploys private capital across its business and conducts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its operations through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reportable segments: Global Private Equity, Global Credit, and Carlyle AlpInvest (see Note 14,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Segment Reporting). The Global Private Equity segment advises buyout, growth, real estate, and infrastructure &amp; natural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resources funds. The Global Private Equity segment also includes the NGP Carry Funds advised by NGP. The Global Credit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segment advises funds and vehicles that pursue investment strategies including insurance solutions, liquid credit, opportunistic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credit, direct lending, asset-backed finance, aviation finance, infrastructure credit, cross-platform credit products, and global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capital markets. The Carlyle AlpInvest segment advises global private equity programs that pursue secondary purchases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financing of existing portfolios, managed co-investment programs, and primary fund investments. Carlyle typically serves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general partner, investment manager, or collateral manager, making day-to-day investment decisions concerning the assets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these products.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2. Summary of Significant Accounting Policies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Basis of Presentation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accompanying condensed consolidated financial statements are prepared in accordance with accounting principles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generally accepted in the United States (“U.S. GAAP”) and include the accounts of the Company and its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subsidiaries. In addition, certain Carlyle-affiliated funds, related co-investment entities, and certain CLOs managed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(collectively, the “Consolidated Funds”) have been consolidated in the accompanying financial statements.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Generally, the consolidation of the Consolidated Funds has a gross-up effect on assets, liabilities and cash flows, but has no net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effect on the net income attributable to the Company beyond the capital contributed by the Company to the Consolidated Funds.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economic ownership interests of the other investors in the Consolidated Funds are reflected as non-controlling interests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consolidated entities in the accompanying condensed consolidated financial statements. All of the investments held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Consolidated Funds and notes issued by the consolidated CLOs are presented at their estimated fair values in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condensed consolidated balance sheets. Interest and other income of the Consolidated Funds, interest expense and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expenses of the Consolidated Funds, and net investment income (losses) of Consolidated Funds are included in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statements of operations.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has determined that the Company’s funds are investment companies under U.S. GAAP for the purposes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financial reporting. U.S. GAAP for an investment company requires investments to be recorded at estimated fair value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unrealized gains and/or losses in an investment’s fair value are recognized on a current basis in the statements of operations.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Additionally, the funds do not consolidate their majority-owned and controlled investments. In the preparation of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financial statements, the Company has retained the specialized accounting for the 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accompanying condensed consolidated financial statements have been prepared in accordance with U.S. GAAP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interim financial information. These statements, including notes, have not been audited, exclude some of the disclosures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required for annual financial statements, and should be read in conjunction with the audited consolidated financial statements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in the Company’s Annual Report on Form 10-K for the year ended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filed with the U.S.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Exchange Commission (“SEC”) on February 27, 2026. The operating results presented for interim periods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necessarily indicative of the results that may be expected for any other interim period or for the entire year. In the opinion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management, the condensed consolidated financial statements reflect all adjustments, consisting of normal recurring accruals,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are necessary for the fair presentation of the financial condition and results of operations for the interim periods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presented.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Principles of Consolidation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consolidates all entities that it controls either through a majority voting interest or as the primary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beneficiary of variable interest entities (“VIEs”).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evaluates (1) whether it holds a variable interest in an entity, (2) whether the entity is a VIE, and (3)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whether the Company’s involvement would make it the primary beneficiary. In evaluating whether the Company holds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variable interest, fees (including management fees, incentive fees and performance allocations) that are customary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commensurate with the level of services provided, and where the Company does not hold other economic interests in the entity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that would absorb more than an insignificant amount of the expected losses or returns of the entity, are not considered variable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interests. The Company considers all economic interests, including indirect interests, to determine if a fee is considered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variable interest.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those entities where the Company holds a variable interest, the Company determines whether each of these entities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qualifies as a VIE and, if so, whether or not the Company is the primary beneficiary. The assessment of whether the entity is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VIE is generally performed qualitatively, which requires judgment. These judgments include: (a) determining whether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equity investment at risk is sufficient to permit the entity to finance its activities without additional subordinated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support, (b) evaluating whether the equity holders, as a group, can make decisions that have a significant effect on the economic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 of the entity, (c) determining whether two or more parties’ equity interests should be aggregated, and (d)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determining whether the equity investors have proportionate voting rights to their obligations to absorb losses or rights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receive returns from an entity.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entities that are determined to be VIEs, the Company consolidates those entities where it has concluded it is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primary beneficiary. The primary beneficiary is defined as the variable interest holder with (a) the power to direct the activities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a VIE that most significantly impact the entity’s economic performance and (b) the obligation to absorb losses of the entity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the right to receive benefits from the entity that could potentially be significant to the VIE. In evaluating whether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is the primary beneficiary, the Company evaluates its economic interests in the entity held either directly or indirectly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by the Company.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of June 30, 2026, assets and liabilities of the consolidated VIEs reflected in the condensed consolidated balance sheets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 $14.4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$11.5 billion, respectively. As of December 31, 2025, assets and liabilities of the consolidated VIEs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reflected in the consolidated balance sheets were $14.0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$11.7 billion, respectively. Except to the extent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assets of the VIEs, the holders of the consolidated VIEs’ liabilities generally do not have recourse to the Company.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Consolidated Funds are primarily CLOs, which are VIEs that issue loans payable that are backed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diversified collateral asset portfolios consisting primarily of loans or structured debt. In exchange for managing the collateral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CLOs, the Company earns investment management fees, including in some cases subordinated management fees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contingent incentive fees. In cases where the Company consolidates the CLOs (primarily because of a retained interest that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significant to the CLO), those management fees and contingent incentive fees have been eliminated as intercompany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transactions.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June 30, 2026, the Company held $477.4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investments in these CLOs which represents 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maximum risk of loss. The Company’s investments in these CLOs are generally subordinated to other interests in the entities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entitle the Company to receive a pro rata portion of the residual cash flows, if any, from the entities. Investors in the CLOs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have no recourse against the Company for any losses sustained in the CLO structure. The Company’s Consolidated Funds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include certain investment funds in the Global Private Equity segment that are accounted for as consolidated VIEs due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providing financing to bridge investment purchases. As of June 30, 2026, the Company held $1.1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notes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receivable and investments related to these investment funds which represents its maximum risk of loss.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Consolidated Funds also include certain funds in the Global Credit and Carlyle AlpInvest segments that are accounted for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consolidated VIEs due to the Company having either a significant direct interest in these funds or significant indirect 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via the Company’s investment in Fortitude (see Note 4, Investments).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Entities that do not qualify as VIEs are generally assessed for consolidation as voting interest entities. Under the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entity model, the Company consolidates those entities it controls through a majority voting interest.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 significant inter-entity transactions and balances of entities consolidated have been eliminated.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in Unconsolidated Variable Interest Entities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holds variable interests in certain VIEs that are not consolidated because the Company is not the primary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beneficiary, including its investments in certain credit vehicles and certain Carlyle AlpInvest vehicles, as well as its strategic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in NGP Management Company, L.L.C. (“NGP Management” and, together with its affiliates, “NGP”). Refer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Note 4, Investments, for information on the strategic investment in NGP. The Company’s involvement with such entities is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form of direct or indirect equity interests and fee arrangements. The maximum exposure to loss represents the loss of assets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recognized by the Company relating to its variable interests in these unconsolidated entities.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assets recognized in the Company’s condensed consolidated balance sheets related to the Company’s variable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interests in these non-consolidated VIEs were as follows: </w:t>
      </w:r>
    </w:p>
    <w:tbl>
      <w:tblPr>
        <w:tblW w:w="45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46"/>
        <w:gridCol w:w="796"/>
        <w:gridCol w:w="109"/>
        <w:gridCol w:w="1231"/>
      </w:tblGrid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3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3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$714.7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$776.5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performance allocations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756.0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Management fee receivables</w:t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57.2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79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$1,548.5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$1,589.7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These amounts represent the Company’s maximum exposure to loss related to the unconsolidated VIEs as of June 30,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Use of Estimates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preparation of financial statements in conformity with U.S. GAAP requires management to make assumptions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estimates that affect the reported amounts of assets and liabilities and disclosure of contingent assets and liabilities at the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condensed consolidated financial statements and the reported amounts of revenues and expenses during the reporting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period. Management’s estimates are based on historical experiences and other factors, including expectations of future events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that management believes to be reasonable under the circumstances. It also requires management to exercise judgment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process of applying the Company’s accounting policies. Assumptions and estimates regarding the valuation of investments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their resulting impact on performance allocations and incentive fees involve a higher degree of judgment and complexity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these assumptions and estimates may be significant to the condensed consolidated financial statements and the resulting impact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performance allocations and incentive fees. Actual results could differ from these estimates and such differences could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material.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 Recognition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recognizes revenue in accordance with Accounting Standards Codification (“ASC”) 606,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Revenue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Contracts with Customers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Revenue is recognized when the Company transfers promised goods or services to customers in 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amount that reflects the consideration to which the Company expects to be entitled in exchange for those goods or services.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ASC 606 includes a five-step framework that requires an entity to: (i) identify the contract(s) with a customer, which includes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assessing the collectability of the consideration to which it will be entitled in exchange for the goods or services transferred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customer, (ii) identify the performance obligations in the contract, (iii) determine the transaction price, (iv) allocate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 price to the performance obligations in the contract, and (v) recognize revenue when the entity satisfies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obligation.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accounts for performance allocations that represent a performance-based capital allocation from fund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limited partners to the Company (commonly known as “carried interest”) as earnings from financial assets within the scope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ASC 323,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Investments—Equity Method and Joint Ventures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, and therefore are not in the scope of ASC 606. In accordance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ASC 323, the Company records equity method income (losses) as a component of investment income based on the change in 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proportionate claim on net assets of the investment fund, including performance allocations, assuming the investment fund was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liquidated as of each reporting date pursuant to each fund’s governing agreements. See Note 4, Investments, for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information on the components of investments and investment income. Performance fees that do not meet the definition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performance-based capital allocations are in the scope of ASC 606 and are included in incentive fees in the condensed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operations.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calculation of unrealized performance revenues utilizes investment valuations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funds’ underlying investments, which are derived using the policies, methodologies and templates prepared by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valuation group, as described in Note 3, Fair Value Measurement.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While the determination of who is the customer in a contractual arrangement will be made on a contract-by-contract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basis, the customer will generally be the investment fund for the Company’s significant management and advisory contracts.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customer determination impacts the Company’s analysis of the accounting for contract costs.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Fund Management Fees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provides management services to funds in which it holds a general partner interest or to funds or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portfolio companies with which it has an investment advisory or investment management agreement. The Company considers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performance obligations in its contracts with its funds to be the promise to provide (or to arrange for third parties to provide)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management services related to the management, policies and operations of the 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it relates to the Company’s performance obligation to provide investment management services,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typically satisfies this performance obligation over time as the services are rendered, as the funds simultaneously receive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consume the benefits provided as the Company performs the service. The transaction price is the amount of consideration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the Company expects to be entitled in exchange for transferring the promised services to the funds. Management fees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earned from each investment management contract over the contract life represent variable consideration because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consideration the Company is entitled to varies based on fluctuations in the basis for the management fee, for example fund net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asset value (“NAV”) or assets under management (“AUM”). Given that the management fee basis is susceptible to market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factors outside of the Company’s influence, management fees are constrained and, therefore, estimates of future period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fees are generally not included in the transaction price. Revenue recognized for the investment 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services provided is generally the amount determined at the end of the period because that is when the uncertainty for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period is resolved.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fees may be charged in advance or arrears, and at a monthly, quarterly, or semi-annual cadence pursuant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terms of the investment management agreement. The range of management fee rates and the base on which they are earned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vary based on the product’s strategy, expected term, and other factors, but generally encompass the following: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closed-end carry funds in the Global Private Equity and Global Credit segments: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the fund’s commitment period, generally 1.0%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2.0%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limited partners’ capital commitments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case of Global Private Equity and invested capital in the case of Global Credit,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Following the expiration or termination of the investment period, generally 0.5%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2.0%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lower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cost or fair value of invested capital.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carry funds and other fund vehicles in the Carlyle AlpInvest segment: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the fund’s commitment period, generally 0.25%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1.5%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vehicle’s capital commitments,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Following the expiration of the commitment fee period, generally 0.25%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1.5%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(i) the net invested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capital, (ii) the lower of cost or net asset value of the capital invested, or (iii) the net asset value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unrealized investments.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CLOs and other structured products in the Global Credit segment, 0.4%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0.5%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based on the total par amount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assets or the aggregate principal amount of the notes in the CLO.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certain of the Company’s perpetual capital strategies and separately managed accounts in the Global Credit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segment, 0.10%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0.75%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based on invested capital or the fair value of the underlying assets.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certain cross platform products as well as the company’s business development companies in the Global Credit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segment, 1.0%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1.5%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gross assets, excluding cash and cash equivalents, or net asset value.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Company’s retail-oriented perpetual capital products, including CTAC, CAPM, and CAPS funds, generally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1.25%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net asset value.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also provides transaction advisory and portfolio advisory services to the portfolio companies, and where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covered by separate contractual agreements, recognizes fees for these services when the performance obligation has been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satisfied and collection is reasonably assured.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is generally required to offset its fund management fees earned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from the funds that have invested in the portfolio companies to which the service has been provided by a percentage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 and advisory fees allocable to those funds. This amount is referred to as the “rebate offset,” and is generally 100%.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 and advisory fees allocable to funds that do not pay fund management fees do not have a rebate offset.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also recognizes underwriting fees from the Company’s loan syndication and capital markets business, Carlyle Global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Markets.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 management fees include transaction and portfolio advisory fees, as well as capital markets fees,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$108.5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$45.8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 months ended June 30, 2026 and 2025, respectively, and $157.8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$122.5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ended June 30, 2026 and 2025, respectively, net of rebate offsets as defined in the respective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 limited partnership agreements.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 management fees exclude the reimbursement of any partnership expenses paid by the Company on behalf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Carlyle funds pursuant to the limited partnership agreements, including amounts related to the pursuit of actual, proposed,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unconsummated investments, professional fees, expenses associated with the acquisition, holding and disposition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investments, and other fund administrative expenses. For the professional fees that the Company arranges for the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funds, the Company concluded that the nature of its promise is to arrange for the services to be provided and it does not control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services provided by third parties before they are transferred to the customer. Therefore, the Company concluded it is acting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capacity of an agent. Accordingly, the reimbursement for these professional fees paid on behalf of the investment funds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presented on a net basis in general, administrative and other expenses in the condensed consolidated statements of operations.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also incurs certain costs, primarily employee travel and entertainment costs, employee compensation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systems costs, for which it receives reimbursement from the investment funds in connection with its performance obligation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provide investment and management services. For reimbursable travel, compensation and systems costs,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concluded it controls the services provided by its employees and the resources used to develop applicable systems before they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are transferred to the customer and therefore is a principal. Accordingly, the reimbursement for these costs incurred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to manage the fund limited partnerships are presented on a gross basis in interest and other income in the condensed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consolidated statements of operations and the expense in general, administrative and other expenses or cash-based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and benefits expenses in the condensed consolidated statements of operations.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Incentive Fees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is also entitled to receive performance-based incentive fees when the return on assets under 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exceeds certain benchmark returns or other performance targets. In such arrangements, the Company is entitled to an incentive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fee generally between 10.0%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17.5%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either pre-incentive investment income or net profits, in most instances subject to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quarterly hurdle rate and catch-up, payable quarterly.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Incentive fees are recognized when the performance benchmark has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achieved. Incentive fees are variable consideration because they are contingent upon the investment vehicle achieving stipulated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return hurdles. Investment returns are highly susceptible to market factors outside of the Company’s influence.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Accordingly, incentive fees are constrained until all uncertainty is resolved. Estimates of future period incentive fees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generally not included in the transaction price because these estimates are constrained. The transaction price for incentive fees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is generally the amount determined at the end of each accounting period to which they relate because that is when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uncertainty for that period is resolved, as these fees are not subject to clawback.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Investment Income (Loss), including Performance Allocations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income (loss) represents the unrealized and realized gains and losses resulting from the Company’s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method investments, including any associated general partner performance allocations, and other principal investments,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CLOs.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General partner performance allocations consist of the allocation of profits from certain of the funds to which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is entitled (commonly known as carried interest).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closed-end carry funds in the Global Private Equity and Global Credit segments, the Company is generally entitled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20%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allocation (or approximately 2%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12.5%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most of the Carlyle AlpInvest segment carry fund vehicles) of the net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realized income or gain as a carried interest after returning the invested capital, the allocation of preferred returns of generally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9%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return of certain fund costs (generally subject to catch-up provisions as set forth in the fund limited partnership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agreement). These terms may vary on longer-dated funds, certain credit funds, and external co-investment vehicles. Carried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 is recognized upon appreciation of the funds’ investment values above certain return hurdles set forth in each respective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partnership agreement. The Company recognizes revenues attributable to performance allocations based upon the amount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would be due pursuant to the fund partnership agreement at each period end as if the funds were terminated at that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Accordingly, the amount recognized as investment income for performance allocations reflects the Company’s share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gains and losses of the associated funds’ underlying investments measured at their then-current fair values relative to the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values as of the end of the prior period. Because of the inherent uncertainty, these estimated values may differ significantly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from the values that would have been used had a ready market for the investments existed, and it is reasonably possible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difference could be material.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Carried interest is ultimately realized when: (i) an underlying investment is profitably disposed of, (ii) certain costs borne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by the limited partner investors have been reimbursed, (iii) the fund’s cumulative returns are in excess of the preferred return,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(iv) the Company has decided to collect carry rather than return additional capital to limited partner investors.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carried interest may be required to be returned by the Company in future periods if the fund’s investment values decline below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certain levels. When the fair value of a fund’s investments remains constant or falls below certain return hurdles, previously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recognized performance allocations are reversed. In all cases, each fund is considered separately in this regard, and for a given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fund, performance allocations can never be negative over the life of a fund. If upon a hypothetical liquidation of a fund’s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 at their then-current fair values, previously recognized and distributed carried interest would be required to be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returned, a liability is established for the potential giveback obligation.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December 31, 2025,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accrued $92.4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$72.8 million, respectively, for giveback obligations.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Principal investment income (loss) is realized when the Company redeems all or a portion of its investment or when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receives or is due cash income, such as dividends or distributions. Unrealized principal investment income (loss)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results from the Company’s proportionate share of the investee’s unrealized earnings, including changes in the fair value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underlying investment, as well as the reversal of unrealized gain (loss) at the time an investment is realized. As it relates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investments in NGP (see Note 4, Investments), principal investment income includes the related amortization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basis difference between the Company’s carrying value of its investment and the Company’s share of underlying net assets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investee, as well as the compensation expense associated with compensatory arrangements provided by the Company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employees of its equity method investee, and impairment charges.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Interest Income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 income is recognized when earned. For debt securities representing non-investment grade beneficial interests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securitizations, the effective yield is determined based on the estimated cash flows of the security. Changes in the effective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yield of these securities due to changes in estimated cash flows are recognized on a prospective basis as adjustments to interest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 in future periods.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 income earned by the Company is included in interest and other income in the accompanying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statements of operations.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income of the Consolidated Funds was $178.0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$142.5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 months ended June 30, 2026 and 2025, respectively, and $339.8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$265.5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months ended June 30, 2026 and 2025, respectively, and is included in interest and other income of Consolidated Funds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accompanying condensed consolidated statements of operations.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Credit Losses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measures all expected credit losses for financial assets held at the reporting date in accordance with ASC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326,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Financial Instruments—Credit Losses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, based on historical experience, current conditions, and reasonable and supportable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forecasts. The Company assesses the collection risk characteristics of the outstanding amounts in its due from affiliates balance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into the following pools of receivables: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Reimbursable fund expenses receivables,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Management fee receivables,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Incentive fee receivables,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Transaction fee receivables,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Portfolio fee receivables,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Notes receivable.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generally utilizes either historical credit loss information or discounted cash flows to calculate expected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credit losses for each pool. The Company’s receivables are predominantly with its investment funds, which have low risk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credit loss based on the Company’s historical experience. Historical credit loss data may be adjusted for current conditions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reasonable and supportable forecasts, including the Company’s expectation of near-term realization based on the liquidity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affiliated investment funds.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and Benefits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Cash-Based Compensation and Benefits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Cash-based compensation and benefits includes salaries, bonuses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(discretionary awards and guaranteed amounts), performance payment arrangements, and benefits paid and payable to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employees. Bonuses are accrued over the service period to which they relate.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Equity-Based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expense relating to the issuance of equity-based awards is measured at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value on the grant date. The compensation expense for awards that vest over a future service period is recognized over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relevant service period on a straight-line basis. The compensation expense for awards that do not require future service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recognized immediately. Cash settled equity-based awards are classified as liabilities and are re-measured at the end of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reporting period. The compensation expense for awards that contain performance conditions is recognized when it is probable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that the performance conditions will be achieved. The compensation expense for awards that contain market conditions is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a grant-date fair value that factors in the probability that the market conditions will be achieved and is recognized over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requisite service period on a straight-line basis.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Certain equity-based awards contain dividend-equivalent rights, which are subject to the same terms and conditions,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including with respect to vesting and settlement, that apply to the related award. Dividend-equivalents are accounted for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reclassification from retained earnings to additional paid-in capital at the time dividends are declared and do not result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incremental compensation expense.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Equity-based awards issued to non-employees are generally recognized as general, administrative and other expenses,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except to the extent they are recognized as part of the Company’s equity method earnings because they are issued to employees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equity method investees.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recognizes equity-based award forfeitures in the period they occur as a reversal of previously recognized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expense for awards that vest based on service and/or performance conditions. The reduction in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expense is determined based on the specific awards forfeited during that period. Furthermore, the Company recognizes all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excess tax benefits and deficiencies as income tax benefit or expense in the condensed consolidated statements of operations.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awards with a market condition (e.g., achievement of certain stock price hurdles) that are forfeited due to the market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condition not being achieved, the related equity-based compensation expense is not reversed.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Performance Allocations and Incentive Fee Related Compensation –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portion of the performance allocations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incentive fees and certain other interests earned is due to employees and advisors of the Company. These amounts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accounted for as profit sharing interests in compensation expense in a systematic and rational manner in conjunction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recognition of the related performance allocations and incentive fee revenue and, until paid, are recognized as a component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accrued compensation and benefits liability. The liability is measured assuming the hypothetical liquidation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associated funds’ underlying investments as of the measurement date. Accordingly, upon a reversal of performance allocations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incentive fee revenue, the related compensation expense, if any, is also reversed. As any vesting requirement is accelerated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upon realization, the service period is not considered substantive when recording the liability based on the hypothetical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liquidation value.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2025, the Company recorded a liability of $4.5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$5.1 billion, respectively, related to the portion of accrued performance allocations and incentive fees due to employees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advisors, which was included in accrued compensation and benefits in the accompanying condensed consolidated balance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sheets.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 Taxes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is a corporation for U.S. federal income tax purposes and is subject to U.S. federal, state, and local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corporate income taxes. The Company is subject to periodic audit by U.S. federal, state, local, and foreign taxing authorities.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interim provision for income taxes is generally calculated using an estimated annual effective tax rate applied to year-to-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date ordinary income in accordance with ASC 740,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Income Taxes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Non-controlling Interests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Non-controlling interests in consolidated entities represent the component of equity in consolidated entities held by third-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party investors. These interests are adjusted for general partner allocations which occur during the reporting period. Any change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ownership of a subsidiary while the controlling financial interest is retained is accounted for as an equity transaction between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controlling and non-controlling interests. Transaction costs incurred in connection with such changes in ownership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subsidiary are recorded as a direct charge to equity.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Per Common Share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computes earnings per common share in accordance with ASC 260,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Earnings Per Share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Basic earnings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 common share is calculated by dividing net income (loss) attributable to the common shares of the Company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weighted-average number of common shares outstanding for the period. Diluted earnings per common share reflects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assumed conversion of all dilutive securities. The Company applies the treasury stock method to determine the dilutive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weighted-average common shares outstanding for certain equity-based compensation awards. For certain equity-based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awards that contain performance or market conditions, the number of contingently issuable common shares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included in diluted earnings per common share based on the number of common shares, if any, that would be issuable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terms of the awards if the end of the reporting period were the end of the contingency period, if the result is dilutive.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 of Financial Instruments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underlying entities that the Company manages and invests in (and in certain cases, consolidates) are primarily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companies which account for their investments at estimated fair value.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fair value measurement accounting guidance under ASC 820,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Fair Value Measurement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, establishes a hierarchical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disclosure framework which ranks the observability of market price inputs used in measuring financial instruments at fair value.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observability of inputs is impacted by a number of factors, including the type of financial instrument, the characteristics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specific to the financial instrument and the state of the marketplace, including the existence and transparency of transactions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between market participants. Financial instruments with readily available quoted prices, or for which fair value can be measured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from quoted prices in active markets, will generally have a higher degree of market price observability and a lesser degree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judgment applied in determining fair value.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Financial instruments measured and reported at fair value are classified and disclosed based on the observability of inputs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used in the determination of fair values, as follows: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Level I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inputs to the valuation methodology are quoted prices available in active markets for identical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instruments as of the reporting date. The type of financial instruments in this category include unrestricted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securities, such as equities and derivatives, listed in active markets. The Company does not adjust the quoted price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these instruments, even in situations where the Company holds a large position and a sale could reasonably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impact the quoted price.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Level II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inputs to the valuation methodology are other than quoted prices in active markets, which are either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directly or indirectly observable as of the reporting date. The types of financial instruments in this category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include less liquid and restricted securities listed in active markets, securities traded in other than active markets,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government and agency securities, and certain over-the-counter derivatives where the fair value is based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observable inputs.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Level III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inputs to the valuation methodology are unobservable and significant to overall fair value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measurement. The inputs into the determination of fair value require significant management judgment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estimation. The types of financial instruments in this category include investments in privately-held entities, non-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grade residual interests in securitizations, collateralized loan obligations, and certain over-the-counter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derivatives where the fair value is based on unobservable inputs.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certain cases, the inputs used to measure fair value may fall into different levels of the fair value hierarchy. In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cases, the determination of which category within the fair value hierarchy is appropriate for any given financial instrument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based on the lowest level of input that is significant to the fair value measurement. The Company’s assessment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significance of a particular input to the fair value measurement in its entirety requires judgment and considers factors specific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financial instrument.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certain cases, debt and equity securities (including corporate treasury investments) are valued on the basis of prices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from an orderly transaction between market participants provided by reputable dealers or pricing services. In determining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value of a particular investment, pricing services may use certain information with respect to transactions in such investments,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quotations from dealers, pricing matrices, market transactions in comparable investments, and various relationships between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absence of observable market prices, the Company values its investments and its funds’ investments using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valuation methodologies applied on a consistent basis. For some investments little market activity may exist. Management’s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determination of fair value is then based on the best information available in the circumstances and may incorporate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management’s own assumptions and involve a significant degree of judgment, taking into consideration a combination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internal and external factors, including the appropriate risk adjustments for non-performance and liquidity risks. Investments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market prices are not observable include private investments in the equity and debt of operating companies and real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assets, CLO investments and CLO loans payable, and fund investments. The valuation technique for each of these investments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is described below: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Investments in Operating Companies and Real Assets –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fair values of private investments in operating companies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real assets are generally determined by reference to the income approach (including the discounted cash flow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method and the income capitalization method) and the market approach (including the comparable publicly traded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method and the comparable transaction method). Valuations under these approaches are typically derived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reference to investment-specific inputs (such as projected cash flows, earnings before interest, taxes, depreciation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amortization (“EBITDA”), and net operating income) combined with market-based inputs (such as discount rates,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EBITDA multiples and capitalization rates). In many cases, the investment-specific inputs are unaudited at the time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received. Management may also adjust the market-based inputs to account for differences between the subject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and the companies, assets or investments used to derive the market-based inputs. Adjustments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observable valuation measures are frequently made upon the initial investment to calibrate the initial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valuation to industry observable inputs. Such adjustments are made to align the investment to observable industry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inputs for differences in size, profitability, projected growth rates, geography, capital structure, and other factors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applicable. The adjustments are then reviewed with each subsequent valuation to assess how the investment has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evolved relative to the observable inputs. Additionally, the investment may be subject to certain specific risks and/or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development milestones which are also taken into account in the valuation assessment. Option pricing models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similar tools may also be considered but do not currently drive a significant portion of operating company or real asset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valuations and are used primarily to value warrants, derivatives, certain restrictions, and other atypical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instruments.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Credit-Oriented Investments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fair values of credit-oriented investments (including corporate treasury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investments) are generally determined on the basis of prices between market participants provided by reputable dealers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pricing services. In determining the value of a particular investment, pricing services may use certain information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 respect to transactions in such investments, quotations from dealers, pricing matrices, market transactions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comparable investments, and various relationships between investments. Specifically, for investments in distressed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debt and corporate loans and bonds, the fair values are generally determined by valuations of comparable investments.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some instances, the Company may utilize other valuation techniques, including the discounted cash flow method.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CLO Investments and CLO Loans Payable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measures the financial liabilities of its consolidated CLOs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based on the fair value of the financial assets of its consolidated CLOs, as the Company believes the fair value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financial assets are more observable. The fair values of the CLO loan and bond assets are primarily based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quotations from reputable dealers or relevant pricing services. In situations where valuation quotations are unavailable,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assets are valued based on similar securities, market index changes, and other factors. The Company performs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certain procedures to ensure the reliability of the quotations from pricing services for its CLO assets and CLO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structured asset positions, which generally includes corroborating prices with a discounted cash flow analysis.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Generally, the loan and bond assets of the CLOs are not publicly traded and are classified as Level III. The fair values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CLO structured asset positions are determined based on both discounted cash flow analyses and third-party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quotes. Those analyses consider the position size, liquidity, current financial condition of the CLOs, the third-party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financing environment, reinvestment rates, recovery lags, discount rates, and default forecasts and are compared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broker quotations from market makers and third-party dealers.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measures the CLO loan payables held by third-party beneficial interest holders on the basis of the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value of the financial assets of the CLO and the beneficial interests held by the Company. The Company continues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measure the CLO loans payable that it holds at fair value based on relevant pricing services or discounted cash flow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analyses, as described above.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Fund Investments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primary and secondary investments in external funds are generally valued as 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proportionate share of the most recent net asset value provided by the third-party general partners of the underlying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 partnerships, adjusted for subsequent cash flows received from or distributed to the underlying fund partnerships.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also adjusts for any changes in the market prices of public securities held by the underlying fund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partnerships and may also apply a market adjustment to reflect the estimated change in the fair value of the underlying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 partnerships’ non-public investments from the date of the most recent net asset value provided by the third-party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general partners.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professionals with responsibility for the underlying investments are responsible for preparing the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valuations pursuant to the policies, methodologies, and templates prepared by the Company’s valuation group, which is a team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made up of dedicated valuation professionals reporting to the Company’s Chief Accounting Officer. The valuation group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responsible for maintaining the Company’s valuation policy and related guidance, templates, and systems that are designed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 consistent with the guidance found in ASC 820. These valuations, inputs, and preliminary conclusions are reviewed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 management teams. The valuations are then reviewed and approved by the respective fund valuation subcommittees,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include the respective fund head(s), segment head, Chief Financial Officer, and Chief Accounting Officer, as well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members of the valuation group. The valuation group compiles the aggregate results and significant matters and presents them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review and approval by the global valuation committee, which includes, among others, the Company’s Chief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Officer, Chief Accounting Officer, and the business segment heads, and is observed by the Chief Compliance Officer, the Chief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Audit Executive, the Chief Risk Officer, the Company’s Audit Committee, and others. Additionally, each quarter a sample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valuations are reviewed by external valuation firms. Valuations of the funds’ investments are used in the calculation of accrued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allocations.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Investments, at Fair Value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 include (i) the Company’s ownership interests (typically general partner interests) in the Funds, including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investment in Fortitude held through Carlyle FRL (which are accounted for as equity method investments), (ii) 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investment in NGP (which is accounted for as an equity method investment), (iii) the investments held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Consolidated Funds (which are presented at fair value in the Company’s condensed consolidated financial statements), and (iv)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certain credit-oriented investments, including investments in the CLOs and the common shares of Carlyle Secured Lending,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Inc. (“CGBD,” see Note 4, Investments, to this Quarterly Report on Form 10-Q and Note 9, Related Party Transactions, to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Annual Report on Form 10-K for the year ended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more information), which are accounted for as trading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securities.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Upon the sale of a security or other investment, the realized net gain or loss is computed on a weighted average cost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basis, with the exception of the investments held by the CLOs, which compute the realized net gain or loss on a first in, first out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basis. Securities transactions are recorded on a trade date basis.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 Method Investments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accounts for all investments in which it has or is otherwise presumed to have significant influence,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including investments in unconsolidated investment funds and the Company’s investment in NGP, using the equity method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accounting. The carrying value of equity method investments is determined based on amounts invested by the Company,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adjusted for the equity in earnings or losses of the investee (including performance allocations) allocated based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respective partnership agreement, less distributions received. The Company evaluates its equity method investments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impairment whenever events or changes in circumstances indicate that the carrying amounts of such investments may not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recoverable.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and Cash Equivalents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Cash and cash equivalents include cash held at banks and cash held for distributions, including investments with original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maturities of less than three months when purchased.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is subject to credit risk should a financial institution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unable to fulfil its obligations and if balances held at a financial institution exceed insured limits.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and Cash Equivalents Held at Consolidated Funds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Cash and cash equivalents held at Consolidated Funds consists of cash and cash equivalents held by the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Funds, which, although not legally restricted, is not available to fund the general liquidity needs of the Company.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Restricted Cash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Restricted cash primarily represents cash held by the Company’s foreign subsidiaries due to certain government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regulatory capital requirements as well as certain amounts held on behalf of Carlyle funds.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2025, the Company held restricted cash of $1.5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$3.4 million, respectively, which are included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Deposits and other in the condensed consolidated balance sheets.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Corporate Treasury Investments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Corporate treasury investments represent investments in U.S. Treasury and government agency obligations, commercial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paper, certificates of deposit, other investment grade securities and other investments with original maturities of greater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months when purchased. These investments are accounted for as trading securities in which changes in the fair value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each investment are recorded through investment income (loss). Any interest earned on debt investments is recorded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and other income.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Derivative Instruments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uses derivative instruments primarily to reduce its exposure to changes in foreign currency exchange rates.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Derivative instruments are recognized at fair value in the condensed consolidated balance sheets with changes in fair value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recognized in the condensed consolidated statements of operations for all derivatives not designated as hedging instruments.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Securities Sold Under Agreements to Repurchase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it relates to certain European CLOs sponsored by the Company, securities sold under agreements to repurchase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(“Repurchase Agreements”) are accounted for as collateralized financing transactions. The Company provides securities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counterparties to collateralize amounts borrowed under Repurchase Agreements on terms that permit the counterparties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repledge or resell the securities to others. As of June 30, 2026, $346.1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securities were transferred to counterparties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 Repurchase Agreements and are included within investments in the condensed consolidated balance sheets.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received under Repurchase Agreements is recognized as a liability within debt obligations in the condensed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balance sheets. See Note 5, Borrowings, for additional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Fixed Assets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Fixed assets consist of furniture, fixtures and equipment, leasehold improvements, computer hardware and software,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fractional shares in corporate aircraft, and are stated at cost, less accumulated depreciation and amortization. Depreciation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recognized on a straight-line method over the assets’ estimated useful lives, which for leasehold improvements are the lesser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lease terms or the life of the asset, and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seven years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other fixed assets. Fixed assets are reviewed for impairment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whenever events or changes in circumstances indicate that the carrying amount of an asset may not be recoverable.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Leases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accounts for its leases in accordance with ASC 842,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Leases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, and recognizes a lease liability and right-of-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use (“ROU”) asset in the condensed consolidated balance sheets for contracts that it determines are leases or contain a lease.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leases primarily consist of operating leases for office space in various countries around the world.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also has operating leases for office equipment and vehicles, which are not significant. The Company does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separate non-lease components from lease components for its office space and equipment operating leases and instead accounts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each separate lease component and its associated non-lease component as a single lease component. ROU assets represent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right to use an underlying asset for the lease term and lease liabilities represent the Company’s obligation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make lease payments arising from the leases. The Company’s ROU assets and lease liabilities are recognized at lease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commencement based on the present value of lease payments over the lease term. Lease ROU assets include initial direct costs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incurred by the Company and are presented net of deferred rent and lease incentives. Absent an implicit interest rate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lease, the Company uses its incremental borrowing rate, adjusted for the effects of collateralization, based on the information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available at commencement in determining the present value of lease payments. The Company’s lease terms may include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options to extend or terminate the lease when it is reasonably certain that the Company will exercise those options. Lease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expense for lease payments is recognized on a straight-line basis over the lease term. Lease ROU assets are reviewed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impairment whenever events or changes in circumstances indicate that the carrying amount of the asset may not be recoverable.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does not recognize a lease liability or ROU asset on the balance sheet for short-term leases. Instead,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recognizes short-term lease payments as an expense on a straight-line basis over the lease term. A short-term lease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defined as a lease that, at the commencement date, has a lease term of 12 months or less and does not include an option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 the underlying asset that the lessee is reasonably certain to exercise. When determining whether a lease qualifies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short-term lease, the Company evaluates the lease term and the purchase option in the same manner as all other leases.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2026, the Company entered into an operating lease agreement for office space in New York City, which has a term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is expected to commence during 2028. The total contractual minimum lease payment over the term of the lease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approximately $255 million. The related ROU asset and operating lease liability will be recorded on the lease commencement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date and are not reflected on the Company’s condensed consolidated balance sheets as of June 30,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Intangible Assets and Goodwill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intangible assets consist of acquired contractual rights to earn future fee income, including 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advisory fees, customer relationships, and acquired trademarks. Finite-lived intangible assets are amortized over their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estimated useful lives, which range from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eight years, and are reviewed for impairment whenever events or changes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circumstances indicate that the carrying amount of the asset may not be recoverable. Intangible asset amortization expense was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$32.8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both the three months ended June 30, 2026 and 2025,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$65.6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$65.4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ended June 30, 2026 and 2025, respectively, and is included in general, administrative, and other expenses in the condensed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consolidated statements of operations. Certain intangible assets are held by entities of which the functional currency is not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U.S. dollar. Any corresponding currency translation is recorded in accumulated other comprehensive income (loss).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Goodwill represents the excess of cost over the identifiable net assets of businesses acquired and is recorded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functional currency of the acquired entity. Goodwill is recognized as an asset and is reviewed for impairment annually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October 1 and between annual tests when events and circumstances indicate that impairment may have occurred.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 recorded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impairment losses of intangible assets or goodwill during the three and six months ended June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Deferred Revenue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Deferred revenue represents management fees and other revenue received prior to the balance sheet date, which has not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yet been earned.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Deferred revenue also includes transaction and portfolio advisory fees received by the Company that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required to offset fund management fees pursuant to the related fund agreements.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Accumulated Other Comprehensive Income (Loss)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accumulated other comprehensive income (loss) comprise foreign currency translation adjustments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gains and losses on defined benefit plans sponsored by AlpInvest.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components of accumulated other comprehensive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 (loss)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 as follows:</w:t>
      </w:r>
    </w:p>
    <w:tbl>
      <w:tblPr>
        <w:tblW w:w="51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46"/>
        <w:gridCol w:w="796"/>
        <w:gridCol w:w="109"/>
        <w:gridCol w:w="1231"/>
      </w:tblGrid>
      <w:tr>
        <w:trPr/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3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36" w:type="dxa"/>
            <w:gridSpan w:val="3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0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Currency translation adjustments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$(195.2)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$(172.7)</w:t>
            </w:r>
          </w:p>
        </w:tc>
      </w:tr>
      <w:tr>
        <w:trPr/>
        <w:tc>
          <w:tcPr>
            <w:tcW w:w="30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 gains on defined benefit plans</w:t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2.5</w:t>
            </w:r>
          </w:p>
        </w:tc>
      </w:tr>
      <w:tr>
        <w:trPr/>
        <w:tc>
          <w:tcPr>
            <w:tcW w:w="30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7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$(192.6)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$(170.2)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Foreign Currency Translation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Non-U.S. dollar denominated assets and liabilities are remeasured at period-end rates of exchange, and the condensed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operations are remeasured at rates of exchange in effect throughout the period.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Foreign currency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gains (losses) resulting from transactions outside of the functional currency of an entity of $(1.1)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$(20.9)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three months ended June 30, 2026 and 2025, respectively, and $2.9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$(25.1)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June 30, 2026 and 2025, respectively, are included in general, administrative and other expenses in the condensed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statements of operations.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Recent Accounting Pronouncements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considers the applicability and impact of all accounting standard updates (“ASU”) issued by the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Accounting Standards Board (“FASB”). ASUs not listed below were assessed and either determined to be not applicable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expected to have minimal impact on the Company’s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November 2024, the FASB issued ASU 2024-03,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Disaggregation of Income Statement Expenses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, which requires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disaggregated disclosures of certain categories of expenses on an annual and interim basis including employee compensation,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depreciation, and intangible asset amortization for each income statement line item that contains those expenses. The guidance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is effective for annual periods beginning after December 15, 2026 and interim periods beginning after December 15, 2027.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is currently evaluating the impact of adopting this guidance on its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September 2025, the FASB issued ASU 2025-06,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Targeted Improvements to the Accounting for Internal-Use Software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clarifies the threshold for capitalizing internal-use software costs to be based on when (i) management has authorized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committed to funding the software project and (ii) it is probable that the project will be completed and the software will be used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perform the function intended. The guidance is effective for annual periods beginning after December 15, 2027 and interim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periods within those annual reporting periods. Early adoption is permitted, and the amendments in this update may be applied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a prospective, retrospective or modified basis. The Company is currently evaluating the impact of adopting this guidance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its condensed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3. Fair Value Measurement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summarizes the Company’s assets and liabilities measured at fair value on a recurring basis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 hierarchy levels as disclosed in Note 2, Summary of Significant Accounting Policies, as of June 30, 2026:</w:t>
      </w:r>
    </w:p>
    <w:tbl>
      <w:tblPr>
        <w:tblW w:w="64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631"/>
        <w:gridCol w:w="109"/>
        <w:gridCol w:w="706"/>
        <w:gridCol w:w="109"/>
        <w:gridCol w:w="826"/>
        <w:gridCol w:w="109"/>
        <w:gridCol w:w="871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Level 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Level II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Level III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Assets</w:t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Investments of Consolidated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: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Equity securities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$68.3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$981.8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$1,072.3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Bonds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720.7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720.7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Loans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9,502.2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9,502.2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11,204.7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11,295.2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CLOs and other: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CLOs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321.0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Other investments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123.7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444.7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Foreign currency forward contracts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1.4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Subtotal</w:t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$151.8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$43.8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$11,545.7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$11,741.3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measured at net asset value</w:t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2,033.3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$13,774.6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Liabilities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Loans payable of Consolidated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(4)(5)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$9,837.2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$9,837.2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Foreign currency forward contracts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2.3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$9,837.2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$9,839.5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(1)This balance excludes $2.0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Investments of Consolidated Funds that are included in Investments measured at net asset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value, which relate to certain consolidated investment fund of funds in the Company’s Carlyle AlpInvest segment.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(2)This balance includes $844.3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related to investments that have been bridged by a subsidiary of the Company to investment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funds and are accounted for as consolidated VIEs as of June 30, 2026. The Company’s subsidiary, which is accounted for as a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consolidated VIE, has entered into warehouse agreements with certain funds to transfer certain of these investments at a price agreed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upon by the parties, which may differ from fair value.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(3)The Level III balance excludes $98.1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related to four corporate investments in equity securities which the Company has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elected to account for under the measurement alternative for equity securities without readily determinable fair values pursuant to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ASC 321,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18"/>
          <w:u w:val="none"/>
          <w:effect w:val="none"/>
        </w:rPr>
        <w:t>Investments–Equity Securities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. As a non-recurring fair value measurement, the fair value of these equity securities is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excluded from the tabular Level III rollforward disclosures.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(4)Senior and subordinated notes issued by CLO vehicles are valued based on the more observable fair value of the CLO financial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assets, less (i) the fair value of any beneficial interest held by the Company and (ii) the carrying value of any beneficial interests that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 compensation for services.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(5)Loans payable of Consolidated Funds balance excludes $925.7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senior notes measured at amortized cost and a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$41.5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revolving credit balance, which relate to certain consolidated investment fund of funds in the Company’s Carlyle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AlpInvest segment.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summarizes the Company’s assets and liabilities measured at fair value on a recurring basis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above fair value hierarchy levels as of December 31, 2025:</w:t>
      </w:r>
    </w:p>
    <w:tbl>
      <w:tblPr>
        <w:tblW w:w="64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631"/>
        <w:gridCol w:w="109"/>
        <w:gridCol w:w="706"/>
        <w:gridCol w:w="109"/>
        <w:gridCol w:w="826"/>
        <w:gridCol w:w="109"/>
        <w:gridCol w:w="871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Level 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Level II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Level III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Assets</w:t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Investments of Consolidated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: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Equity securities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$1,094.8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$1,245.0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Bonds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691.2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691.2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Loans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9,249.8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9,249.8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132.0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11,035.8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11,186.0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CLOs and other: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CLOs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349.0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349.0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Other investments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227.5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112.0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576.5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Foreign currency forward contracts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4.8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Subtotal</w:t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$244.0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$43.9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$11,479.4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$11,767.3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measured at net asset value</w:t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1,340.6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$13,107.9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Liabilities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Loans payable of Consolidated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(4)(5)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$9,423.1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$9,423.1</w:t>
            </w:r>
          </w:p>
        </w:tc>
      </w:tr>
      <w:tr>
        <w:trPr/>
        <w:tc>
          <w:tcPr>
            <w:tcW w:w="3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Foreign currency forward contracts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4.4</w:t>
            </w:r>
          </w:p>
        </w:tc>
      </w:tr>
      <w:tr>
        <w:trPr/>
        <w:tc>
          <w:tcPr>
            <w:tcW w:w="3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$9,423.1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$9,427.5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(1)This balance excludes $1.3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Investments of Consolidated Funds that are included in Investments measured at net asset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value, which relate to certain consolidated investment fund of funds in the Company’s Carlyle AlpInvest segment.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(2)This balance includes $989.4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related to investments that have been bridged by a subsidiary of the Company to investment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funds and are accounted for as consolidated VIEs as of December 31, 2025. The Company’s subsidiary, which is accounted for as a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consolidated VIE, has entered into warehouse agreements with certain funds to transfer certain of these investments at a price agreed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upon by the parties, which may differ from fair value.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(3)The Level III balance excludes $63.0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related to three corporate investments in equity securities which the Company has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elected to account for under the measurement alternative for equity securities without readily determinable fair values pursuant to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ASC 321,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18"/>
          <w:u w:val="none"/>
          <w:effect w:val="none"/>
        </w:rPr>
        <w:t>Investments–Equity Securities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. As a non-recurring fair value measurement, the fair value of these equity securities is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excluded from the tabular Level III rollforward disclosures.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(4)Senior and subordinated notes issued by CLO vehicles are valued based on the more observable fair value of the CLO financial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assets, less (i) the fair value of any beneficial interests held by the Company and (ii) the carrying value of any beneficial interests that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 compensation for services.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(5)Loans payable of Consolidated Funds balance excludes $939.9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senior notes measured at amortized cost and a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$63.0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revolving credit balance, which relate to certain consolidated investment fund of funds in the Company’s Carlyle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AlpInvest segment.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changes in financial instruments measured at fair value for which the Company has used Level III inputs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determine fair value are as follows (Dollars in millions):</w:t>
      </w:r>
    </w:p>
    <w:tbl>
      <w:tblPr>
        <w:tblW w:w="101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21"/>
        <w:gridCol w:w="788"/>
        <w:gridCol w:w="112"/>
        <w:gridCol w:w="649"/>
        <w:gridCol w:w="112"/>
        <w:gridCol w:w="850"/>
        <w:gridCol w:w="112"/>
        <w:gridCol w:w="1186"/>
        <w:gridCol w:w="109"/>
        <w:gridCol w:w="946"/>
        <w:gridCol w:w="109"/>
        <w:gridCol w:w="871"/>
      </w:tblGrid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44" w:type="dxa"/>
            <w:gridSpan w:val="11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Financial Assets</w:t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44" w:type="dxa"/>
            <w:gridSpan w:val="11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June 30, 2026</w:t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623" w:type="dxa"/>
            <w:gridSpan w:val="6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 of Consolidated Funds</w:t>
            </w:r>
          </w:p>
        </w:tc>
        <w:tc>
          <w:tcPr>
            <w:tcW w:w="11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8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securities</w:t>
            </w:r>
          </w:p>
        </w:tc>
        <w:tc>
          <w:tcPr>
            <w:tcW w:w="11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Bonds</w:t>
            </w:r>
          </w:p>
        </w:tc>
        <w:tc>
          <w:tcPr>
            <w:tcW w:w="11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Loans</w:t>
            </w:r>
          </w:p>
        </w:tc>
        <w:tc>
          <w:tcPr>
            <w:tcW w:w="11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Investments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CLOs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 beginning of period</w:t>
            </w:r>
          </w:p>
        </w:tc>
        <w:tc>
          <w:tcPr>
            <w:tcW w:w="78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$875.5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$756.2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$10,214.7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$309.9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$12,247.3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Initial deconsolidation of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7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(27.3)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(23.4)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(1,157.1)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(1,193.1)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Purchases</w:t>
            </w:r>
          </w:p>
        </w:tc>
        <w:tc>
          <w:tcPr>
            <w:tcW w:w="7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296.4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108.6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2,360.0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2,799.3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Sales and distributions</w:t>
            </w:r>
          </w:p>
        </w:tc>
        <w:tc>
          <w:tcPr>
            <w:tcW w:w="7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(61.6)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(115.4)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(1,649.1)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(23.5)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(84.1)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(1,933.7)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Settlements</w:t>
            </w:r>
          </w:p>
        </w:tc>
        <w:tc>
          <w:tcPr>
            <w:tcW w:w="7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(336.5)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(336.5)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Realized and unrealized gains (losses), net</w:t>
            </w:r>
          </w:p>
        </w:tc>
        <w:tc>
          <w:tcPr>
            <w:tcW w:w="7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earnings</w:t>
            </w:r>
          </w:p>
        </w:tc>
        <w:tc>
          <w:tcPr>
            <w:tcW w:w="7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(101.2)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1.3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106.3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5.7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other comprehensive income</w:t>
            </w:r>
          </w:p>
        </w:tc>
        <w:tc>
          <w:tcPr>
            <w:tcW w:w="78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(6.6)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(36.1)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(0.6)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(43.3)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 end of period</w:t>
            </w:r>
          </w:p>
        </w:tc>
        <w:tc>
          <w:tcPr>
            <w:tcW w:w="78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$981.8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$720.7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$9,502.2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$321.0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$11,545.7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gains (losses) included in earnings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related to financial assets still held at the reporting date</w:t>
            </w:r>
          </w:p>
        </w:tc>
        <w:tc>
          <w:tcPr>
            <w:tcW w:w="788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$(101.9)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$2.1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$93.5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$0.7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$(3.6)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gains (losses) included in 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comprehensive income related to financial assets still held 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reporting date</w:t>
            </w:r>
          </w:p>
        </w:tc>
        <w:tc>
          <w:tcPr>
            <w:tcW w:w="7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$(5.9)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$(35.7)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$(0.6)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$(42.2)</w:t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44" w:type="dxa"/>
            <w:gridSpan w:val="11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Financial Assets</w:t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44" w:type="dxa"/>
            <w:gridSpan w:val="11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 June 30, 2026</w:t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623" w:type="dxa"/>
            <w:gridSpan w:val="6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 of Consolidated Funds</w:t>
            </w:r>
          </w:p>
        </w:tc>
        <w:tc>
          <w:tcPr>
            <w:tcW w:w="11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restart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8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securities</w:t>
            </w:r>
          </w:p>
        </w:tc>
        <w:tc>
          <w:tcPr>
            <w:tcW w:w="11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Bonds</w:t>
            </w:r>
          </w:p>
        </w:tc>
        <w:tc>
          <w:tcPr>
            <w:tcW w:w="11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Loans</w:t>
            </w:r>
          </w:p>
        </w:tc>
        <w:tc>
          <w:tcPr>
            <w:tcW w:w="11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Investments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CLOs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</w:t>
            </w:r>
          </w:p>
        </w:tc>
        <w:tc>
          <w:tcPr>
            <w:tcW w:w="109" w:type="dxa"/>
            <w:vMerge w:val="continue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 beginning of period</w:t>
            </w:r>
          </w:p>
        </w:tc>
        <w:tc>
          <w:tcPr>
            <w:tcW w:w="78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$1,094.8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$691.2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$9,249.8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$349.0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$94.6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$11,479.4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Initial consolidation/deconsolidation of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7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(27.2)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(5.9)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(795.4)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(813.8)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Purchases</w:t>
            </w:r>
          </w:p>
        </w:tc>
        <w:tc>
          <w:tcPr>
            <w:tcW w:w="7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341.9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269.9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5,002.9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5,650.0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Sales and distributions</w:t>
            </w:r>
          </w:p>
        </w:tc>
        <w:tc>
          <w:tcPr>
            <w:tcW w:w="7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(322.7)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(209.8)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(2,988.8)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(57.7)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(86.9)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(3,665.9)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Settlements</w:t>
            </w:r>
          </w:p>
        </w:tc>
        <w:tc>
          <w:tcPr>
            <w:tcW w:w="7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(775.7)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(775.7)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Realized and unrealized gains (losses), net</w:t>
            </w:r>
          </w:p>
        </w:tc>
        <w:tc>
          <w:tcPr>
            <w:tcW w:w="7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earnings</w:t>
            </w:r>
          </w:p>
        </w:tc>
        <w:tc>
          <w:tcPr>
            <w:tcW w:w="7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(105.0)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(8.5)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(99.2)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(0.2)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(215.0)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other comprehensive income</w:t>
            </w:r>
          </w:p>
        </w:tc>
        <w:tc>
          <w:tcPr>
            <w:tcW w:w="78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(16.2)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(91.4)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(113.3)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 end of period</w:t>
            </w:r>
          </w:p>
        </w:tc>
        <w:tc>
          <w:tcPr>
            <w:tcW w:w="78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$981.8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$720.7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$9,502.2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$321.0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$11,545.7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gains (losses) included in earnings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related to financial assets still held at the reporting date</w:t>
            </w:r>
          </w:p>
        </w:tc>
        <w:tc>
          <w:tcPr>
            <w:tcW w:w="788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$(110.9)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$(8.4)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$(67.3)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$(188.5)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gains (losses) included in 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comprehensive income related to financial assets still held 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reporting date</w:t>
            </w:r>
          </w:p>
        </w:tc>
        <w:tc>
          <w:tcPr>
            <w:tcW w:w="7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$(11.9)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$(79.4)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$(5.9)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$(97.2)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(1)As a result of the deconsolidation of five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funds during the three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(2)As a result of the initial consolidation of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 and deconsolidation of five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funds during the six months ended June 30,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13"/>
        <w:gridCol w:w="843"/>
        <w:gridCol w:w="119"/>
        <w:gridCol w:w="694"/>
        <w:gridCol w:w="119"/>
        <w:gridCol w:w="843"/>
        <w:gridCol w:w="109"/>
        <w:gridCol w:w="1185"/>
        <w:gridCol w:w="109"/>
        <w:gridCol w:w="946"/>
        <w:gridCol w:w="109"/>
        <w:gridCol w:w="816"/>
      </w:tblGrid>
      <w:tr>
        <w:trPr/>
        <w:tc>
          <w:tcPr>
            <w:tcW w:w="4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2" w:type="dxa"/>
            <w:gridSpan w:val="11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Financial Assets</w:t>
            </w:r>
          </w:p>
        </w:tc>
      </w:tr>
      <w:tr>
        <w:trPr/>
        <w:tc>
          <w:tcPr>
            <w:tcW w:w="4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2" w:type="dxa"/>
            <w:gridSpan w:val="11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June 30, 2025</w:t>
            </w:r>
          </w:p>
        </w:tc>
      </w:tr>
      <w:tr>
        <w:trPr/>
        <w:tc>
          <w:tcPr>
            <w:tcW w:w="4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gridSpan w:val="5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 of Consolidated 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securities</w:t>
            </w:r>
          </w:p>
        </w:tc>
        <w:tc>
          <w:tcPr>
            <w:tcW w:w="11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Bonds</w:t>
            </w:r>
          </w:p>
        </w:tc>
        <w:tc>
          <w:tcPr>
            <w:tcW w:w="11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Investments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CLOs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 beginning of period</w:t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$821.7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$495.8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$7,632.6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$365.5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$63.7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$9,379.3</w:t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Deconsolidation of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(76.6)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(424.0)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(477.4)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Purchases</w:t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74.6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226.8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1,293.4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1,619.1</w:t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Sales and distributions</w:t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(19.5)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(111.7)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(386.5)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(45.6)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(20.0)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(583.3)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Settlements</w:t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(0.6)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(350.2)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(350.8)</w:t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Realized and unrealized gains (losses), net</w:t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earnings</w:t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33.3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(0.6)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(50.0)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(15.1)</w:t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other comprehensive income</w:t>
            </w:r>
          </w:p>
        </w:tc>
        <w:tc>
          <w:tcPr>
            <w:tcW w:w="84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36.6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249.4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305.9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 end of period</w:t>
            </w:r>
          </w:p>
        </w:tc>
        <w:tc>
          <w:tcPr>
            <w:tcW w:w="84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$910.1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$569.7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$7,964.7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$366.9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$66.3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$9,877.7</w:t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gains (losses) included in earnings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related to financial assets still held at the reporting date</w:t>
            </w:r>
          </w:p>
        </w:tc>
        <w:tc>
          <w:tcPr>
            <w:tcW w:w="843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$32.8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$(1.3)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$(52.4)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$0.6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$(16.0)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gains (losses) included in 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comprehensive income related to financial assets still held 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reporting date</w:t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$27.9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$199.9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$18.9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$246.7</w:t>
            </w:r>
          </w:p>
        </w:tc>
      </w:tr>
      <w:tr>
        <w:trPr/>
        <w:tc>
          <w:tcPr>
            <w:tcW w:w="4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2" w:type="dxa"/>
            <w:gridSpan w:val="11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Financial Assets</w:t>
            </w:r>
          </w:p>
        </w:tc>
      </w:tr>
      <w:tr>
        <w:trPr/>
        <w:tc>
          <w:tcPr>
            <w:tcW w:w="4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2" w:type="dxa"/>
            <w:gridSpan w:val="11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 June 30, 2025</w:t>
            </w:r>
          </w:p>
        </w:tc>
      </w:tr>
      <w:tr>
        <w:trPr/>
        <w:tc>
          <w:tcPr>
            <w:tcW w:w="431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618" w:type="dxa"/>
            <w:gridSpan w:val="5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 of Consolidated 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431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4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securities</w:t>
            </w:r>
          </w:p>
        </w:tc>
        <w:tc>
          <w:tcPr>
            <w:tcW w:w="11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Bonds</w:t>
            </w:r>
          </w:p>
        </w:tc>
        <w:tc>
          <w:tcPr>
            <w:tcW w:w="11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Investments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CLOs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 beginning of period</w:t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$572.0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$465.1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$6,431.4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$378.9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$85.1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$7,932.5</w:t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Initial consolidation/deconsolidation of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(52.6)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(256.1)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(284.5)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Transfer out related to the Exchange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(50.4)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(50.4)</w:t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Purchases</w:t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327.8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283.2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3,518.7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4,192.9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Sales and distributions</w:t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(28.5)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(184.3)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(1,330.4)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(81.8)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(31.2)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(1,656.2)</w:t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Settlements</w:t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(0.6)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(709.1)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(709.7)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Realized and unrealized gains (losses), net</w:t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earnings</w:t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38.8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3.9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(60.9)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(1.6)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other comprehensive income</w:t>
            </w:r>
          </w:p>
        </w:tc>
        <w:tc>
          <w:tcPr>
            <w:tcW w:w="84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55.0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454.7</w:t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 end of period</w:t>
            </w:r>
          </w:p>
        </w:tc>
        <w:tc>
          <w:tcPr>
            <w:tcW w:w="84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$910.1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$569.7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$7,964.7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$366.9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$66.3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$9,877.7</w:t>
            </w:r>
          </w:p>
        </w:tc>
      </w:tr>
      <w:tr>
        <w:trPr/>
        <w:tc>
          <w:tcPr>
            <w:tcW w:w="43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gains (losses) included in earnings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related to financial assets still held at the reporting date</w:t>
            </w:r>
          </w:p>
        </w:tc>
        <w:tc>
          <w:tcPr>
            <w:tcW w:w="843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$37.3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$1.4</w:t>
            </w:r>
          </w:p>
        </w:tc>
        <w:tc>
          <w:tcPr>
            <w:tcW w:w="11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$(54.2)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$4.7</w:t>
            </w:r>
          </w:p>
        </w:tc>
      </w:tr>
      <w:tr>
        <w:trPr/>
        <w:tc>
          <w:tcPr>
            <w:tcW w:w="43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gains (losses) included in 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comprehensive income related to financial assets still held 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reporting date</w:t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$34.5</w:t>
            </w:r>
          </w:p>
        </w:tc>
        <w:tc>
          <w:tcPr>
            <w:tcW w:w="1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$266.8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$28.6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$329.9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(1)As a result of the deconsolidation of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 during the three months ended June 30, 2025.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(2)As a result of the initial consolidation of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 and deconsolidation of two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funds during the six months ended June 30,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(3)Represents the exchange of the BDC Preferred Shares, which were valued using Level III inputs, for common shares of CGBD, which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were valued using Level I inputs. See Note 9, Related Party Transactions, to our Annual Report on Form 10-K for the year ended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more information.</w:t>
      </w:r>
    </w:p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78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81"/>
        <w:gridCol w:w="1386"/>
        <w:gridCol w:w="183"/>
        <w:gridCol w:w="1311"/>
      </w:tblGrid>
      <w:tr>
        <w:trPr/>
        <w:tc>
          <w:tcPr>
            <w:tcW w:w="4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Financial Liabilities</w:t>
            </w:r>
          </w:p>
        </w:tc>
      </w:tr>
      <w:tr>
        <w:trPr/>
        <w:tc>
          <w:tcPr>
            <w:tcW w:w="4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Loans Payable of Consolidated Funds</w:t>
            </w:r>
          </w:p>
        </w:tc>
      </w:tr>
      <w:tr>
        <w:trPr/>
        <w:tc>
          <w:tcPr>
            <w:tcW w:w="4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June 30,</w:t>
            </w:r>
          </w:p>
        </w:tc>
      </w:tr>
      <w:tr>
        <w:trPr/>
        <w:tc>
          <w:tcPr>
            <w:tcW w:w="49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8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 beginning of period</w:t>
            </w:r>
          </w:p>
        </w:tc>
        <w:tc>
          <w:tcPr>
            <w:tcW w:w="13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$10,156.7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$7,680.3</w:t>
            </w:r>
          </w:p>
        </w:tc>
      </w:tr>
      <w:tr>
        <w:trPr/>
        <w:tc>
          <w:tcPr>
            <w:tcW w:w="4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Initial deconsolidation of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3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(793.8)</w:t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(473.9)</w:t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Borrowings</w:t>
            </w:r>
          </w:p>
        </w:tc>
        <w:tc>
          <w:tcPr>
            <w:tcW w:w="1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2,460.1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1,430.2</w:t>
            </w:r>
          </w:p>
        </w:tc>
      </w:tr>
      <w:tr>
        <w:trPr/>
        <w:tc>
          <w:tcPr>
            <w:tcW w:w="4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Paydowns</w:t>
            </w:r>
          </w:p>
        </w:tc>
        <w:tc>
          <w:tcPr>
            <w:tcW w:w="13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(1,152.7)</w:t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(599.5)</w:t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Sales</w:t>
            </w:r>
          </w:p>
        </w:tc>
        <w:tc>
          <w:tcPr>
            <w:tcW w:w="1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(912.9)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(346.7)</w:t>
            </w:r>
          </w:p>
        </w:tc>
      </w:tr>
      <w:tr>
        <w:trPr/>
        <w:tc>
          <w:tcPr>
            <w:tcW w:w="4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Realized and unrealized (gains) losses, net</w:t>
            </w:r>
          </w:p>
        </w:tc>
        <w:tc>
          <w:tcPr>
            <w:tcW w:w="13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earnings</w:t>
            </w:r>
          </w:p>
        </w:tc>
        <w:tc>
          <w:tcPr>
            <w:tcW w:w="1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120.5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(40.5)</w:t>
            </w:r>
          </w:p>
        </w:tc>
      </w:tr>
      <w:tr>
        <w:trPr/>
        <w:tc>
          <w:tcPr>
            <w:tcW w:w="4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other comprehensive income</w:t>
            </w:r>
          </w:p>
        </w:tc>
        <w:tc>
          <w:tcPr>
            <w:tcW w:w="13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(40.7)</w:t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273.1</w:t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 end of period</w:t>
            </w:r>
          </w:p>
        </w:tc>
        <w:tc>
          <w:tcPr>
            <w:tcW w:w="13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$9,837.2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$7,923.0</w:t>
            </w:r>
          </w:p>
        </w:tc>
      </w:tr>
      <w:tr>
        <w:trPr/>
        <w:tc>
          <w:tcPr>
            <w:tcW w:w="4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(gains) losses included in earnings related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financial liabilities still held at the reporting date</w:t>
            </w:r>
          </w:p>
        </w:tc>
        <w:tc>
          <w:tcPr>
            <w:tcW w:w="138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$97.7</w:t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$(17.3)</w:t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(gains) losses included in other comprehensive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income related to financial liabilities still held at the reporting date</w:t>
            </w:r>
          </w:p>
        </w:tc>
        <w:tc>
          <w:tcPr>
            <w:tcW w:w="1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$(41.7)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$262.5</w:t>
            </w:r>
          </w:p>
        </w:tc>
      </w:tr>
      <w:tr>
        <w:trPr/>
        <w:tc>
          <w:tcPr>
            <w:tcW w:w="4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Financial Liabilities</w:t>
            </w:r>
          </w:p>
        </w:tc>
      </w:tr>
      <w:tr>
        <w:trPr/>
        <w:tc>
          <w:tcPr>
            <w:tcW w:w="4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Loans Payable of Consolidated Funds</w:t>
            </w:r>
          </w:p>
        </w:tc>
      </w:tr>
      <w:tr>
        <w:trPr/>
        <w:tc>
          <w:tcPr>
            <w:tcW w:w="49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88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49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3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8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 beginning of period</w:t>
            </w:r>
          </w:p>
        </w:tc>
        <w:tc>
          <w:tcPr>
            <w:tcW w:w="13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$9,423.1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$6,809.1</w:t>
            </w:r>
          </w:p>
        </w:tc>
      </w:tr>
      <w:tr>
        <w:trPr/>
        <w:tc>
          <w:tcPr>
            <w:tcW w:w="4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Initial consolidation/deconsolidation of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3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(405.4)</w:t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(280.1)</w:t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Borrowings</w:t>
            </w:r>
          </w:p>
        </w:tc>
        <w:tc>
          <w:tcPr>
            <w:tcW w:w="1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4,107.2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2,212.3</w:t>
            </w:r>
          </w:p>
        </w:tc>
      </w:tr>
      <w:tr>
        <w:trPr/>
        <w:tc>
          <w:tcPr>
            <w:tcW w:w="4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Paydowns</w:t>
            </w:r>
          </w:p>
        </w:tc>
        <w:tc>
          <w:tcPr>
            <w:tcW w:w="13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(1,639.6)</w:t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(841.6)</w:t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Sales</w:t>
            </w:r>
          </w:p>
        </w:tc>
        <w:tc>
          <w:tcPr>
            <w:tcW w:w="1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(1,482.3)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(353.2)</w:t>
            </w:r>
          </w:p>
        </w:tc>
      </w:tr>
      <w:tr>
        <w:trPr/>
        <w:tc>
          <w:tcPr>
            <w:tcW w:w="4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Realized and unrealized (gains) losses, net</w:t>
            </w:r>
          </w:p>
        </w:tc>
        <w:tc>
          <w:tcPr>
            <w:tcW w:w="13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earnings</w:t>
            </w:r>
          </w:p>
        </w:tc>
        <w:tc>
          <w:tcPr>
            <w:tcW w:w="1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(63.7)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(39.3)</w:t>
            </w:r>
          </w:p>
        </w:tc>
      </w:tr>
      <w:tr>
        <w:trPr/>
        <w:tc>
          <w:tcPr>
            <w:tcW w:w="4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Included in other comprehensive income</w:t>
            </w:r>
          </w:p>
        </w:tc>
        <w:tc>
          <w:tcPr>
            <w:tcW w:w="13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(102.1)</w:t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415.8</w:t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Balance, end of period</w:t>
            </w:r>
          </w:p>
        </w:tc>
        <w:tc>
          <w:tcPr>
            <w:tcW w:w="13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$9,837.2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$7,923.0</w:t>
            </w:r>
          </w:p>
        </w:tc>
      </w:tr>
      <w:tr>
        <w:trPr/>
        <w:tc>
          <w:tcPr>
            <w:tcW w:w="4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(gains) losses included in earnings related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financial liabilities still held at the reporting date</w:t>
            </w:r>
          </w:p>
        </w:tc>
        <w:tc>
          <w:tcPr>
            <w:tcW w:w="138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$(30.1)</w:t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$(5.0)</w:t>
            </w:r>
          </w:p>
        </w:tc>
      </w:tr>
      <w:tr>
        <w:trPr/>
        <w:tc>
          <w:tcPr>
            <w:tcW w:w="4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Changes in unrealized (gains) losses included in other comprehensive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income related to financial liabilities still held at the reporting date</w:t>
            </w:r>
          </w:p>
        </w:tc>
        <w:tc>
          <w:tcPr>
            <w:tcW w:w="1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$(114.1)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$395.8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(1)As a result of the deconsolidation of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funds during the three months ended June 30, 2026,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deconsolidation of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 during the three months ended June 30, 2025.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(2)As a result of the initial consolidation of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 and the deconsolidation of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funds during the six months ended June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30, 2026, and the initial consolidation of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 and deconsolidation of two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funds during the six months ended June 30,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Realized and unrealized gains and losses included in earnings for Level III investments for investments in CLOs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other investments are included in investment income (loss), and such gains and losses for investments of Consolidated Funds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loans payable of the Consolidated Funds are included in Net investment income of Consolidated Funds in the condensed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operations.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Gains and losses included in other comprehensive income for all Level III financial asset and liabilities are included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accumulated other comprehensive loss and non-controlling interests in consolidated entities.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summarizes quantitative information about the Company’s Level III inputs as of June 30, 2026: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22"/>
        <w:gridCol w:w="1039"/>
        <w:gridCol w:w="109"/>
        <w:gridCol w:w="1751"/>
        <w:gridCol w:w="109"/>
        <w:gridCol w:w="2061"/>
        <w:gridCol w:w="109"/>
        <w:gridCol w:w="1687"/>
        <w:gridCol w:w="109"/>
        <w:gridCol w:w="1109"/>
      </w:tblGrid>
      <w:tr>
        <w:trPr/>
        <w:tc>
          <w:tcPr>
            <w:tcW w:w="21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Fair Value at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Valuation Technique(s)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Unobservable Input(s)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Range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(Weighted Average)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Impact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Valuation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from Increase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 Input</w:t>
            </w:r>
          </w:p>
        </w:tc>
      </w:tr>
      <w:tr>
        <w:trPr/>
        <w:tc>
          <w:tcPr>
            <w:tcW w:w="212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6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6"/>
                <w:u w:val="single"/>
              </w:rPr>
              <w:t>(Dollars in millions)</w:t>
            </w:r>
          </w:p>
        </w:tc>
        <w:tc>
          <w:tcPr>
            <w:tcW w:w="103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Assets</w:t>
            </w:r>
          </w:p>
        </w:tc>
        <w:tc>
          <w:tcPr>
            <w:tcW w:w="103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Investments of Consolidated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Funds:</w:t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 securities</w:t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Consensus Pricing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($ per share)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0.00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547.56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527.79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534.5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19%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Terminal Growth Rate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Comparable Multiple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EBITDA Multiple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2.8x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22.8x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13.0x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 Multiple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2.8x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8.6x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6.1x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7%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24%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12%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Constant Prepayment Rate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16%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Constant Default Rate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5%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Recovery Rate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234.6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Bonds</w:t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720.7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Consensus Pricing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72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96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Loans</w:t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9,261.4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Consensus Pricing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102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97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239.1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Constant Prepayment Rate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11%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Constant Default Rate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Severity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75%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75%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75%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11,204.7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 in CLOs:</w:t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Senior secured notes</w:t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280.4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Consensus Pricing with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102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100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Discount Margins (Basis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Points)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1,400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211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Default Rates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Recovery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Subordinated notes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preferred shares</w:t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Consensus Pricing with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88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32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Default Rates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Recovery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investments:</w:t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Aviation subordinated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notes</w:t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21%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03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$11,545.7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Liabilities</w:t>
            </w:r>
          </w:p>
        </w:tc>
        <w:tc>
          <w:tcPr>
            <w:tcW w:w="1039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Loans payable of Consolidat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ed Funds:</w:t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Senior secured notes</w:t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$9,546.8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Subordinated notes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preferred shares</w:t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290.4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Consensus Pricing with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88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61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15%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11%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Default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Recovery Rates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039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$9,837.2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(1)Fair value approximates transaction price that was in close proximity to the reporting date.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(2)Senior and subordinated notes issued by CLO vehicles are classified based on the more observable fair value of the CLO financial assets,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less (i) the fair value of any beneficial interests held by the Company and (ii) the carrying value of any beneficial interests that represent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for services.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summarizes quantitative information about the Company’s Level III inputs as of December 31, 2025: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23"/>
        <w:gridCol w:w="1400"/>
        <w:gridCol w:w="109"/>
        <w:gridCol w:w="1660"/>
        <w:gridCol w:w="109"/>
        <w:gridCol w:w="2078"/>
        <w:gridCol w:w="109"/>
        <w:gridCol w:w="1545"/>
        <w:gridCol w:w="109"/>
        <w:gridCol w:w="963"/>
      </w:tblGrid>
      <w:tr>
        <w:trPr/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Fair Value at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Valuation Technique(s)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Unobservable Input(s)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Range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(Weighted Average)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Impact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Valuation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Increase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Input</w:t>
            </w:r>
          </w:p>
        </w:tc>
      </w:tr>
      <w:tr>
        <w:trPr/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6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6"/>
                <w:u w:val="single"/>
              </w:rPr>
              <w:t>(Dollars in millions)</w:t>
            </w:r>
          </w:p>
        </w:tc>
        <w:tc>
          <w:tcPr>
            <w:tcW w:w="1400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 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Assets</w:t>
            </w:r>
          </w:p>
        </w:tc>
        <w:tc>
          <w:tcPr>
            <w:tcW w:w="140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Investments of Consolidated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Funds:</w:t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 securities</w:t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Consensus Pricing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($ per share)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0.00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20.38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0.19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789.2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7%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19%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11%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Terminal Growth Rate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Comparable Multiple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EBITDA Multiple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1.5x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23.8x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12.0x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 Multiple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2.8x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2.8x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2.8x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TCF Multiple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22.3x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22.3x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22.3x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112.3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7%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12%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Constant Prepayment Rate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16%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Constant Default Rate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Recovery Rate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21%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Bonds</w:t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691.2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Consensus Pricing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12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96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Loans</w:t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9,028.5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Consensus Pricing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98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216.0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16%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14%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14%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14%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Constant Prepayment Rate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14%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11%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Constant Default Rate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</w:t>
            </w:r>
          </w:p>
        </w:tc>
        <w:tc>
          <w:tcPr>
            <w:tcW w:w="140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11,035.8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 in CLOs</w:t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Senior secured notes</w:t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303.3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Discounted Cash Flow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with Consensus Pricing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92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100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Discount Margins (Basis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Points)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1,060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204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Default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Recovery Rates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Subordinated notes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preferred shares</w:t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45.7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Discounted Cash Flow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with Consensus Pricing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87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38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Default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Recovery Rates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investments:</w:t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Aviation subordinated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notes</w:t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21%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Loans</w:t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Discounted Cash Flow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Consensus Pricing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100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40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$11,479.4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Liabilities</w:t>
            </w:r>
          </w:p>
        </w:tc>
        <w:tc>
          <w:tcPr>
            <w:tcW w:w="1400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Loans payable of Consolidated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Funds:</w:t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Senior secured notes</w:t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$9,032.2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Subordinated notes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preferred shares</w:t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390.9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Discounted Cash Flow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with Consensus Pricing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Indicative Quotes (% of Par)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84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51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Discount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5%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24%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Default Rates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Lower</w:t>
            </w:r>
          </w:p>
        </w:tc>
      </w:tr>
      <w:tr>
        <w:trPr/>
        <w:tc>
          <w:tcPr>
            <w:tcW w:w="21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Recovery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 xml:space="preserve">-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60%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6"/>
              </w:rPr>
              <w:t>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Higher</w:t>
            </w:r>
          </w:p>
        </w:tc>
      </w:tr>
      <w:tr>
        <w:trPr/>
        <w:tc>
          <w:tcPr>
            <w:tcW w:w="21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40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$9,423.1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(1)Fair value approximates transaction price that was in close proximity to the reporting date.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(2)Senior and subordinated notes issued by CLO vehicles are classified based on the more observable fair value of the CLO financial assets,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less (i) the fair value of any beneficial interests held by the Company and (ii) the carrying value of any beneficial interests that represent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for services.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4. Investments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consist of the following: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</w:p>
    <w:tbl>
      <w:tblPr>
        <w:tblW w:w="76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91"/>
        <w:gridCol w:w="1156"/>
        <w:gridCol w:w="109"/>
        <w:gridCol w:w="1231"/>
      </w:tblGrid>
      <w:tr>
        <w:trPr/>
        <w:tc>
          <w:tcPr>
            <w:tcW w:w="5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49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51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1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49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1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performance allocations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$6,608.2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$7,620.3</w:t>
            </w:r>
          </w:p>
        </w:tc>
      </w:tr>
      <w:tr>
        <w:trPr/>
        <w:tc>
          <w:tcPr>
            <w:tcW w:w="51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equity method investments, excluding performance allocations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3,068.8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2,879.5</w:t>
            </w:r>
          </w:p>
        </w:tc>
      </w:tr>
      <w:tr>
        <w:trPr/>
        <w:tc>
          <w:tcPr>
            <w:tcW w:w="51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investments in CLOs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349.0</w:t>
            </w:r>
          </w:p>
        </w:tc>
      </w:tr>
      <w:tr>
        <w:trPr/>
        <w:tc>
          <w:tcPr>
            <w:tcW w:w="51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investments</w:t>
            </w:r>
          </w:p>
        </w:tc>
        <w:tc>
          <w:tcPr>
            <w:tcW w:w="11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303.9</w:t>
            </w:r>
          </w:p>
        </w:tc>
      </w:tr>
      <w:tr>
        <w:trPr/>
        <w:tc>
          <w:tcPr>
            <w:tcW w:w="51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115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$10,231.6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$11,152.7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Accrued Performance Allocations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components of accrued performance allocations are as follows:</w:t>
      </w:r>
    </w:p>
    <w:tbl>
      <w:tblPr>
        <w:tblW w:w="37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796"/>
        <w:gridCol w:w="109"/>
        <w:gridCol w:w="1231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3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3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$3,996.8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$5,021.1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Credit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793.4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724.6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1,818.0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1,874.6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79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$6,608.2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$7,620.3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Approximately 12%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24%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accrued performance allocations 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December 31, 2025, respectively,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 related to Carlyle Partners VII, L.P., one of the Company’s Global Private Equity 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Accrued performance allocations are shown gross of the Company’s accrued performance allocations and incentive fee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related compensation (see Note 6, Accrued Compensation and Benefits) and accrued giveback obligations, which are separately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presented in the condensed consolidated balance sheets, as well as the portion attributable to non-controlling interests.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components of the accrued giveback obligations are as follows:</w:t>
      </w:r>
    </w:p>
    <w:tbl>
      <w:tblPr>
        <w:tblW w:w="37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796"/>
        <w:gridCol w:w="109"/>
        <w:gridCol w:w="1231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3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3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$(66.9)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$(47.3)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Credit</w:t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(25.5)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7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$(92.4)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$(72.8)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Principal Equity Method Investments, Excluding Performance Allocations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principal equity method investments (excluding performance allocations) include its fund investments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Global Private Equity, Global Credit, and Carlyle AlpInvest typically as general partner interests, and its investments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Fortitude through a Carlyle-affiliated fund (included within Global Credit) and NGP (included within Global Private Equity),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which are not consolidated. Principal investments are related to the following segments:</w:t>
      </w:r>
    </w:p>
    <w:tbl>
      <w:tblPr>
        <w:tblW w:w="3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796"/>
        <w:gridCol w:w="109"/>
        <w:gridCol w:w="123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3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3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Global Private Equity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$1,481.5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$1,384.4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Global Credit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1,178.9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1,151.9</w:t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343.2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79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$3,068.8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$2,879.5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(1)The balance includes $679.4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$616.0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December 31, 2025, respectively, related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equity method investments in NGP.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(2)The balance includes $732.7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$722.4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December 31, 2025, respectively, related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investment in Fortitude.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in Fortitude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Carlyle FRL, L.P. (“Carlyle FRL”), a Carlyle-affiliated investment fund, holds a 38.5%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 in Fortitude Holdings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FGH Parent, L.P. (“FGH Parent” or “Fortitude”), an insurance and reinsurance company. The Company indirectly owns 10.5%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Fortitude, and Carlyle FRL and other strategic third-party investors collectively hold a 97.5%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 in Fortitude. As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June 30, 2026, the carrying value of the Company’s investment in Carlyle FRL, which is an investment company that accounts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its investment in Fortitude at fair value, was $732.7 million, relative to equity invested of $666.8 million.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has an asset management relationship with Fortitude pursuant to which Fortitude committed to allocate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assets in asset management strategies and vehicles of the Company and its affiliates. As of June 30, 2026, Fortitude, its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affiliates and certain Fortitude reinsurance counterparties have committed approximately $26.3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capital to-date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various Carlyle strategies. The Company has a strategic advisory services agreement in place with certain subsidiaries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Fortitude through Carlyle Insurance Solutions Management L.L.C. (“CISM”), an investment adviser. Under the agreement,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CISM provides Fortitude with certain services, including business development and growth, transaction origination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execution, and capital management services in exchange for a recurring management fee based on Fortitude’s general account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assets, which adjusts within an agreed range based on Fortitude’s overall profitability.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in NGP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has equity interests in NGP Management Company, L.L.C. (“NGP Management”), the general partners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certain carry funds advised by NGP, and principal investments in certain NGP funds as described below. These investments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included in the Global Private Equity segment. NGP Management serves as the investment advisor to the NGP Energy Funds.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does not control NGP and accounts for its investments in NGP under the equity method of accounting.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investments in NGP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are as follows:</w:t>
      </w:r>
    </w:p>
    <w:tbl>
      <w:tblPr>
        <w:tblW w:w="72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61"/>
        <w:gridCol w:w="796"/>
        <w:gridCol w:w="109"/>
        <w:gridCol w:w="1231"/>
      </w:tblGrid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 in NGP Management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$230.7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$247.4</w:t>
            </w:r>
          </w:p>
        </w:tc>
      </w:tr>
      <w:tr>
        <w:trPr/>
        <w:tc>
          <w:tcPr>
            <w:tcW w:w="5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NGP general partners - accrued performance allocations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401.2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326.2</w:t>
            </w:r>
          </w:p>
        </w:tc>
      </w:tr>
      <w:tr>
        <w:trPr/>
        <w:tc>
          <w:tcPr>
            <w:tcW w:w="5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investments in NGP funds</w:t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42.4</w:t>
            </w:r>
          </w:p>
        </w:tc>
      </w:tr>
      <w:tr>
        <w:trPr/>
        <w:tc>
          <w:tcPr>
            <w:tcW w:w="5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investments in NGP</w:t>
            </w:r>
          </w:p>
        </w:tc>
        <w:tc>
          <w:tcPr>
            <w:tcW w:w="79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$679.4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$616.0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See Note 4, Investments, to our Annual Report on Form 10-K for the year ended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information regarding the restructuring of the terms of the Company’s strategic investment in NGP (the “Restructuring”). As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result of the Restructuring, the six months ended June 30,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a $92.5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impairment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in NGP Management and a $38.0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reduction in accrued performance allocations, which were recorded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Principal investment income (loss) in the condensed consolidated statements of operations and excluded from Distributable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Earnings, as defined in Note 14, Segment Reporting. The Company amortizes basis differences established in connection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Restructuring as a reduction to Principal investment income over their estimated useful lives.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Investment in NGP Management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The Company’s equity interests in NGP Management entitle the Company to 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allocation of income equal to 55.0%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management fee related revenues earned by existing funds prior to the Restructuring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that held an initial closing after December 31, 2024, and up to 55.0%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management fee related revenues on future NGP funds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subsequent to the Restructuring in the aggregate, which are based on a sliding scale, including all management fees being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retained by NGP for the years 2025 through 2028 on such future NGP funds. The Company records investment income (loss)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its equity income allocation from NGP management fee related revenues and also records its share of any allocated expenses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from NGP Management, expenses associated with the compensatory elements of the investment, and any impairment charges.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net investment income (loss) recognized in the Company’s condensed consolidated statements of operations for the three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to its investment in NGP Management were as follows:</w:t>
      </w:r>
    </w:p>
    <w:tbl>
      <w:tblPr>
        <w:tblW w:w="100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66"/>
        <w:gridCol w:w="1105"/>
        <w:gridCol w:w="235"/>
        <w:gridCol w:w="1105"/>
        <w:gridCol w:w="109"/>
        <w:gridCol w:w="930"/>
        <w:gridCol w:w="187"/>
        <w:gridCol w:w="1162"/>
      </w:tblGrid>
      <w:tr>
        <w:trPr/>
        <w:tc>
          <w:tcPr>
            <w:tcW w:w="5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44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52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23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8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2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3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2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Management fee related revenues from NGP Management</w:t>
            </w:r>
          </w:p>
        </w:tc>
        <w:tc>
          <w:tcPr>
            <w:tcW w:w="11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$14.5</w:t>
            </w:r>
          </w:p>
        </w:tc>
        <w:tc>
          <w:tcPr>
            <w:tcW w:w="2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$28.6</w:t>
            </w:r>
          </w:p>
        </w:tc>
        <w:tc>
          <w:tcPr>
            <w:tcW w:w="1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$31.5</w:t>
            </w:r>
          </w:p>
        </w:tc>
      </w:tr>
      <w:tr>
        <w:trPr/>
        <w:tc>
          <w:tcPr>
            <w:tcW w:w="52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 related to the investment in NGP Management</w:t>
            </w:r>
          </w:p>
        </w:tc>
        <w:tc>
          <w:tcPr>
            <w:tcW w:w="11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(2.7)</w:t>
            </w:r>
          </w:p>
        </w:tc>
        <w:tc>
          <w:tcPr>
            <w:tcW w:w="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(5.6)</w:t>
            </w:r>
          </w:p>
        </w:tc>
        <w:tc>
          <w:tcPr>
            <w:tcW w:w="1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(7.2)</w:t>
            </w:r>
          </w:p>
        </w:tc>
      </w:tr>
      <w:tr>
        <w:trPr/>
        <w:tc>
          <w:tcPr>
            <w:tcW w:w="52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Amortization of basis differences and impairment of investment in NGP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Management</w:t>
            </w:r>
          </w:p>
        </w:tc>
        <w:tc>
          <w:tcPr>
            <w:tcW w:w="11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(8.4)</w:t>
            </w:r>
          </w:p>
        </w:tc>
        <w:tc>
          <w:tcPr>
            <w:tcW w:w="2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(17.2)</w:t>
            </w:r>
          </w:p>
        </w:tc>
        <w:tc>
          <w:tcPr>
            <w:tcW w:w="1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(101.3)</w:t>
            </w:r>
          </w:p>
        </w:tc>
      </w:tr>
      <w:tr>
        <w:trPr/>
        <w:tc>
          <w:tcPr>
            <w:tcW w:w="52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investment income (loss) from NGP Management</w:t>
            </w:r>
          </w:p>
        </w:tc>
        <w:tc>
          <w:tcPr>
            <w:tcW w:w="11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$3.4</w:t>
            </w:r>
          </w:p>
        </w:tc>
        <w:tc>
          <w:tcPr>
            <w:tcW w:w="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$5.8</w:t>
            </w:r>
          </w:p>
        </w:tc>
        <w:tc>
          <w:tcPr>
            <w:tcW w:w="1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$(77.0)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fee related revenues from NGP Management were primarily driven by NGP XII, NGP XIII, and NGP XI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 These funds calculate management fees as 1.5%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limited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partners’ commitments less any return of capital or write-offs during the investment period. Following the investment period,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basis on which fund management fees are generally calculated is further reduced by a reserve for future management fees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operating costs.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Investment in the General Partners of NGP Carry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The Company’s investment in the general partners of the NGP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Carry Funds entitle it to up to 47.5%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performance allocations received by NGP Fund general partners. The Company records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its equity income allocation from NGP performance allocations in principal investment income (loss) from equity method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 rather than performance allocations in its condensed consolidated statements of operations. The Company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recognized net investment earnings (losses) related to these performance allocations of $35.8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$27.6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 and 2025, respectively, and $82.3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$(0.9)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ended June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 and 2025, respectively, in its condensed consolidated statements of operations.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six months ended June 30,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a $38.0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reduction related to the Restructuring.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Principal Investments in NGP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The Company also holds principal investments in the NGP Carry Funds.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recognized net investment earnings (losses) related to these investments in principal investment income (loss) in its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statements of operations of $4.8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$4.2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three months ended June 30, 2026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2025, respectively, and $11.2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$5.5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six months ended June 30, 2026 and 2025, respectively.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Principal Investments in CLOs and Other Investments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Principal investments in CLOs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 $321.0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$349.0 million,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respectively, and consisted of investments in CLO senior and subordinated notes. A portion of the Company’s principal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in CLOs is collateral to CLO term loans (see Note 5, Borrowings).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December 31, 2025,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investments included the Company’s investment in common shares of CGBD at fair value of $32.8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$37.5 million, respectively.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Income (Loss)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components of investment income (loss) are as follows:</w:t>
      </w:r>
    </w:p>
    <w:tbl>
      <w:tblPr>
        <w:tblW w:w="1008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51"/>
        <w:gridCol w:w="1125"/>
        <w:gridCol w:w="194"/>
        <w:gridCol w:w="1125"/>
        <w:gridCol w:w="109"/>
        <w:gridCol w:w="1092"/>
        <w:gridCol w:w="165"/>
        <w:gridCol w:w="1023"/>
      </w:tblGrid>
      <w:tr>
        <w:trPr/>
        <w:tc>
          <w:tcPr>
            <w:tcW w:w="5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44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52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9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6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2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3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</w:t>
            </w:r>
          </w:p>
        </w:tc>
        <w:tc>
          <w:tcPr>
            <w:tcW w:w="1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</w:t>
            </w:r>
          </w:p>
        </w:tc>
        <w:tc>
          <w:tcPr>
            <w:tcW w:w="1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$307.0</w:t>
            </w:r>
          </w:p>
        </w:tc>
        <w:tc>
          <w:tcPr>
            <w:tcW w:w="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$116.7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$357.4</w:t>
            </w:r>
          </w:p>
        </w:tc>
        <w:tc>
          <w:tcPr>
            <w:tcW w:w="1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$449.6</w:t>
            </w:r>
          </w:p>
        </w:tc>
      </w:tr>
      <w:tr>
        <w:trPr/>
        <w:tc>
          <w:tcPr>
            <w:tcW w:w="5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</w:t>
            </w:r>
          </w:p>
        </w:tc>
        <w:tc>
          <w:tcPr>
            <w:tcW w:w="112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(262.3)</w:t>
            </w:r>
          </w:p>
        </w:tc>
        <w:tc>
          <w:tcPr>
            <w:tcW w:w="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522.1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(993.8)</w:t>
            </w:r>
          </w:p>
        </w:tc>
        <w:tc>
          <w:tcPr>
            <w:tcW w:w="1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412.1</w:t>
            </w:r>
          </w:p>
        </w:tc>
      </w:tr>
      <w:tr>
        <w:trPr/>
        <w:tc>
          <w:tcPr>
            <w:tcW w:w="52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44.7</w:t>
            </w:r>
          </w:p>
        </w:tc>
        <w:tc>
          <w:tcPr>
            <w:tcW w:w="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638.8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(636.4)</w:t>
            </w:r>
          </w:p>
        </w:tc>
        <w:tc>
          <w:tcPr>
            <w:tcW w:w="1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861.7</w:t>
            </w:r>
          </w:p>
        </w:tc>
      </w:tr>
      <w:tr>
        <w:trPr/>
        <w:tc>
          <w:tcPr>
            <w:tcW w:w="5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Principal investment income (loss) from equity method investments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(excluding performance allocations)</w:t>
            </w:r>
          </w:p>
        </w:tc>
        <w:tc>
          <w:tcPr>
            <w:tcW w:w="1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</w:t>
            </w:r>
          </w:p>
        </w:tc>
        <w:tc>
          <w:tcPr>
            <w:tcW w:w="1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28.1</w:t>
            </w:r>
          </w:p>
        </w:tc>
        <w:tc>
          <w:tcPr>
            <w:tcW w:w="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  <w:tc>
          <w:tcPr>
            <w:tcW w:w="1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148.9</w:t>
            </w:r>
          </w:p>
        </w:tc>
      </w:tr>
      <w:tr>
        <w:trPr/>
        <w:tc>
          <w:tcPr>
            <w:tcW w:w="5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</w:t>
            </w:r>
          </w:p>
        </w:tc>
        <w:tc>
          <w:tcPr>
            <w:tcW w:w="112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42.6</w:t>
            </w:r>
          </w:p>
        </w:tc>
        <w:tc>
          <w:tcPr>
            <w:tcW w:w="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(122.9)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96.2</w:t>
            </w:r>
          </w:p>
        </w:tc>
        <w:tc>
          <w:tcPr>
            <w:tcW w:w="1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(156.2)</w:t>
            </w:r>
          </w:p>
        </w:tc>
      </w:tr>
      <w:tr>
        <w:trPr/>
        <w:tc>
          <w:tcPr>
            <w:tcW w:w="52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70.7</w:t>
            </w:r>
          </w:p>
        </w:tc>
        <w:tc>
          <w:tcPr>
            <w:tcW w:w="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147.0</w:t>
            </w:r>
          </w:p>
        </w:tc>
        <w:tc>
          <w:tcPr>
            <w:tcW w:w="1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(7.3)</w:t>
            </w:r>
          </w:p>
        </w:tc>
      </w:tr>
      <w:tr>
        <w:trPr/>
        <w:tc>
          <w:tcPr>
            <w:tcW w:w="5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Principal investment income (loss) from investments in CLOs and 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</w:t>
            </w:r>
          </w:p>
        </w:tc>
        <w:tc>
          <w:tcPr>
            <w:tcW w:w="1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</w:t>
            </w:r>
          </w:p>
        </w:tc>
        <w:tc>
          <w:tcPr>
            <w:tcW w:w="1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0.2</w:t>
            </w:r>
          </w:p>
        </w:tc>
        <w:tc>
          <w:tcPr>
            <w:tcW w:w="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3.8</w:t>
            </w:r>
          </w:p>
        </w:tc>
        <w:tc>
          <w:tcPr>
            <w:tcW w:w="1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(0.4)</w:t>
            </w:r>
          </w:p>
        </w:tc>
      </w:tr>
      <w:tr>
        <w:trPr/>
        <w:tc>
          <w:tcPr>
            <w:tcW w:w="5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</w:t>
            </w:r>
          </w:p>
        </w:tc>
        <w:tc>
          <w:tcPr>
            <w:tcW w:w="112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(1.7)</w:t>
            </w:r>
          </w:p>
        </w:tc>
        <w:tc>
          <w:tcPr>
            <w:tcW w:w="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(17.2)</w:t>
            </w:r>
          </w:p>
        </w:tc>
        <w:tc>
          <w:tcPr>
            <w:tcW w:w="1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(0.2)</w:t>
            </w:r>
          </w:p>
        </w:tc>
      </w:tr>
      <w:tr>
        <w:trPr/>
        <w:tc>
          <w:tcPr>
            <w:tcW w:w="52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(1.5)</w:t>
            </w:r>
          </w:p>
        </w:tc>
        <w:tc>
          <w:tcPr>
            <w:tcW w:w="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(13.4)</w:t>
            </w:r>
          </w:p>
        </w:tc>
        <w:tc>
          <w:tcPr>
            <w:tcW w:w="1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(0.6)</w:t>
            </w:r>
          </w:p>
        </w:tc>
      </w:tr>
      <w:tr>
        <w:trPr/>
        <w:tc>
          <w:tcPr>
            <w:tcW w:w="5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112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$113.9</w:t>
            </w:r>
          </w:p>
        </w:tc>
        <w:tc>
          <w:tcPr>
            <w:tcW w:w="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$694.0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$(502.8)</w:t>
            </w:r>
          </w:p>
        </w:tc>
        <w:tc>
          <w:tcPr>
            <w:tcW w:w="1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$853.8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performance allocations included in revenues are derived from the following segments: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</w:p>
    <w:tbl>
      <w:tblPr>
        <w:tblW w:w="64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1232"/>
        <w:gridCol w:w="186"/>
        <w:gridCol w:w="1027"/>
        <w:gridCol w:w="109"/>
        <w:gridCol w:w="1114"/>
        <w:gridCol w:w="168"/>
        <w:gridCol w:w="998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44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23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6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4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12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$(101.8)</w:t>
            </w:r>
          </w:p>
        </w:tc>
        <w:tc>
          <w:tcPr>
            <w:tcW w:w="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$476.9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$(799.9)</w:t>
            </w:r>
          </w:p>
        </w:tc>
        <w:tc>
          <w:tcPr>
            <w:tcW w:w="1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$561.9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Credit</w:t>
            </w:r>
          </w:p>
        </w:tc>
        <w:tc>
          <w:tcPr>
            <w:tcW w:w="12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102.6</w:t>
            </w:r>
          </w:p>
        </w:tc>
        <w:tc>
          <w:tcPr>
            <w:tcW w:w="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139.3</w:t>
            </w:r>
          </w:p>
        </w:tc>
        <w:tc>
          <w:tcPr>
            <w:tcW w:w="1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129.8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123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43.9</w:t>
            </w:r>
          </w:p>
        </w:tc>
        <w:tc>
          <w:tcPr>
            <w:tcW w:w="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24.2</w:t>
            </w:r>
          </w:p>
        </w:tc>
        <w:tc>
          <w:tcPr>
            <w:tcW w:w="1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170.0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123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$44.7</w:t>
            </w:r>
          </w:p>
        </w:tc>
        <w:tc>
          <w:tcPr>
            <w:tcW w:w="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$638.8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$(636.4)</w:t>
            </w:r>
          </w:p>
        </w:tc>
        <w:tc>
          <w:tcPr>
            <w:tcW w:w="1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$861.7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tables summarize the funds that are the primary drivers of performance allocations for the three and six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well as the total revenue recognized, including performance allocations, fund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management fees and principal investment income:</w:t>
      </w:r>
    </w:p>
    <w:tbl>
      <w:tblPr>
        <w:tblW w:w="87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1936"/>
        <w:gridCol w:w="721"/>
        <w:gridCol w:w="109"/>
        <w:gridCol w:w="1636"/>
        <w:gridCol w:w="1936"/>
        <w:gridCol w:w="766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08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8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2026</w:t>
            </w:r>
          </w:p>
        </w:tc>
      </w:tr>
      <w:tr>
        <w:trPr/>
        <w:tc>
          <w:tcPr>
            <w:tcW w:w="4308" w:type="dxa"/>
            <w:gridSpan w:val="3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8" w:type="dxa"/>
            <w:gridSpan w:val="3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1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Partners VII, L.P.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$(264.7)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1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Partners VII, L.P.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$(987.8)</w:t>
            </w:r>
          </w:p>
        </w:tc>
      </w:tr>
    </w:tbl>
    <w:tbl>
      <w:tblPr>
        <w:tblW w:w="877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2191"/>
        <w:gridCol w:w="601"/>
        <w:gridCol w:w="109"/>
        <w:gridCol w:w="1636"/>
        <w:gridCol w:w="1936"/>
        <w:gridCol w:w="646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43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8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2025</w:t>
            </w:r>
          </w:p>
        </w:tc>
      </w:tr>
      <w:tr>
        <w:trPr/>
        <w:tc>
          <w:tcPr>
            <w:tcW w:w="4443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8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21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Asia Partners V, L.P.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1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Partners VII, L.P.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$447.7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21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Partners VII, L.P.</w:t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213.7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Carlyle’s income (loss) from its principal equity method investments consists of:</w:t>
      </w:r>
    </w:p>
    <w:tbl>
      <w:tblPr>
        <w:tblW w:w="64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1105"/>
        <w:gridCol w:w="235"/>
        <w:gridCol w:w="1105"/>
        <w:gridCol w:w="109"/>
        <w:gridCol w:w="989"/>
        <w:gridCol w:w="179"/>
        <w:gridCol w:w="1112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44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23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7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4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11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$65.4</w:t>
            </w:r>
          </w:p>
        </w:tc>
        <w:tc>
          <w:tcPr>
            <w:tcW w:w="2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$43.2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$119.5</w:t>
            </w:r>
          </w:p>
        </w:tc>
        <w:tc>
          <w:tcPr>
            <w:tcW w:w="1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$(52.4)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Credit</w:t>
            </w:r>
          </w:p>
        </w:tc>
        <w:tc>
          <w:tcPr>
            <w:tcW w:w="11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3.2</w:t>
            </w:r>
          </w:p>
        </w:tc>
        <w:tc>
          <w:tcPr>
            <w:tcW w:w="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15.1</w:t>
            </w:r>
          </w:p>
        </w:tc>
        <w:tc>
          <w:tcPr>
            <w:tcW w:w="1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18.7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11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2.1</w:t>
            </w:r>
          </w:p>
        </w:tc>
        <w:tc>
          <w:tcPr>
            <w:tcW w:w="2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12.4</w:t>
            </w:r>
          </w:p>
        </w:tc>
        <w:tc>
          <w:tcPr>
            <w:tcW w:w="1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26.4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11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$70.7</w:t>
            </w:r>
          </w:p>
        </w:tc>
        <w:tc>
          <w:tcPr>
            <w:tcW w:w="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$55.4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$147.0</w:t>
            </w:r>
          </w:p>
        </w:tc>
        <w:tc>
          <w:tcPr>
            <w:tcW w:w="1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$(7.3)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of Consolidated Funds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consolidates the financial positions and results of operations of certain CLOs in which it is the primary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beneficiary. During the six months ended June 30, 2026, the Company became the primary beneficiary of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additional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CLOs. Investments in Consolidated Funds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also included $844.3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$989.4 million, respectively, related to investments that have been bridged by the Company to investment funds in the Global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Private Equity and Carlyle AlpInvest segments that are accounted for as consolidated VIEs.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There were no individual investments with a fair value greater than five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percent of the Company’s total assets for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period presented.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and Other Income of Consolidated Funds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components of interest and other income of Consolidated Funds are as follows:</w:t>
      </w:r>
    </w:p>
    <w:tbl>
      <w:tblPr>
        <w:tblW w:w="59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76"/>
        <w:gridCol w:w="805"/>
        <w:gridCol w:w="145"/>
        <w:gridCol w:w="805"/>
        <w:gridCol w:w="109"/>
        <w:gridCol w:w="705"/>
        <w:gridCol w:w="127"/>
        <w:gridCol w:w="757"/>
      </w:tblGrid>
      <w:tr>
        <w:trPr/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53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4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 from investments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$178.0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$339.8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$265.5</w:t>
            </w:r>
          </w:p>
        </w:tc>
      </w:tr>
      <w:tr>
        <w:trPr/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14.5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32.4</w:t>
            </w:r>
          </w:p>
        </w:tc>
        <w:tc>
          <w:tcPr>
            <w:tcW w:w="1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30.9</w:t>
            </w:r>
          </w:p>
        </w:tc>
      </w:tr>
      <w:tr>
        <w:trPr/>
        <w:tc>
          <w:tcPr>
            <w:tcW w:w="24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$192.5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$372.2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$296.4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Investment Income (Loss) of Consolidated Funds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investment income (loss) of Consolidated Funds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includes net realized gains (losses) from sales of investments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unrealized gains (losses) resulting from changes in fair value of the Consolidated Funds’ investments. The components of Net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income (loss) of Consolidated Funds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are as follows: </w:t>
      </w:r>
    </w:p>
    <w:tbl>
      <w:tblPr>
        <w:tblW w:w="753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81"/>
        <w:gridCol w:w="885"/>
        <w:gridCol w:w="153"/>
        <w:gridCol w:w="717"/>
        <w:gridCol w:w="109"/>
        <w:gridCol w:w="827"/>
        <w:gridCol w:w="125"/>
        <w:gridCol w:w="638"/>
      </w:tblGrid>
      <w:tr>
        <w:trPr/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8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5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54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Gains (losses) from investments of Consolidated Funds</w:t>
            </w:r>
          </w:p>
        </w:tc>
        <w:tc>
          <w:tcPr>
            <w:tcW w:w="8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$146.6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$(102.0)</w:t>
            </w:r>
          </w:p>
        </w:tc>
        <w:tc>
          <w:tcPr>
            <w:tcW w:w="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$11.6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Gains (losses) from liabilities of consolidated CLOs</w:t>
            </w:r>
          </w:p>
        </w:tc>
        <w:tc>
          <w:tcPr>
            <w:tcW w:w="88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(120.4)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63.8</w:t>
            </w:r>
          </w:p>
        </w:tc>
        <w:tc>
          <w:tcPr>
            <w:tcW w:w="1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41.3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88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$26.2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7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$(38.2)</w:t>
            </w:r>
          </w:p>
        </w:tc>
        <w:tc>
          <w:tcPr>
            <w:tcW w:w="1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$52.9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presents realized and unrealized gains (losses) earned from investments of the Consolidated Funds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(including consolidated CLOs):</w:t>
      </w:r>
    </w:p>
    <w:tbl>
      <w:tblPr>
        <w:tblW w:w="633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1"/>
        <w:gridCol w:w="808"/>
        <w:gridCol w:w="139"/>
        <w:gridCol w:w="808"/>
        <w:gridCol w:w="109"/>
        <w:gridCol w:w="761"/>
        <w:gridCol w:w="115"/>
        <w:gridCol w:w="714"/>
      </w:tblGrid>
      <w:tr>
        <w:trPr/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0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1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54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8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realized gains (losses)</w:t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$(42.0)</w:t>
            </w:r>
          </w:p>
        </w:tc>
        <w:tc>
          <w:tcPr>
            <w:tcW w:w="1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$(24.5)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$(41.6)</w:t>
            </w:r>
          </w:p>
        </w:tc>
        <w:tc>
          <w:tcPr>
            <w:tcW w:w="1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$(24.9)</w:t>
            </w:r>
          </w:p>
        </w:tc>
      </w:tr>
      <w:tr>
        <w:trPr/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unrealized gains (losses)</w:t>
            </w:r>
          </w:p>
        </w:tc>
        <w:tc>
          <w:tcPr>
            <w:tcW w:w="80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188.6</w:t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(60.4)</w:t>
            </w:r>
          </w:p>
        </w:tc>
        <w:tc>
          <w:tcPr>
            <w:tcW w:w="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36.5</w:t>
            </w:r>
          </w:p>
        </w:tc>
      </w:tr>
      <w:tr>
        <w:trPr/>
        <w:tc>
          <w:tcPr>
            <w:tcW w:w="28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80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$146.6</w:t>
            </w:r>
          </w:p>
        </w:tc>
        <w:tc>
          <w:tcPr>
            <w:tcW w:w="1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$(102.0)</w:t>
            </w:r>
          </w:p>
        </w:tc>
        <w:tc>
          <w:tcPr>
            <w:tcW w:w="1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$11.6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5. Borrowings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borrows and enters into credit agreements for its general operating and investment purposes.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Company’s debt obligations consist of the following:</w:t>
      </w:r>
    </w:p>
    <w:tbl>
      <w:tblPr>
        <w:tblW w:w="74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56"/>
        <w:gridCol w:w="1081"/>
        <w:gridCol w:w="109"/>
        <w:gridCol w:w="811"/>
        <w:gridCol w:w="109"/>
        <w:gridCol w:w="1081"/>
        <w:gridCol w:w="109"/>
        <w:gridCol w:w="856"/>
      </w:tblGrid>
      <w:tr>
        <w:trPr/>
        <w:tc>
          <w:tcPr>
            <w:tcW w:w="3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00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Borrowing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Carrying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Value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Borrowing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Carrying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Value</w:t>
            </w:r>
          </w:p>
        </w:tc>
      </w:tr>
      <w:tr>
        <w:trPr/>
        <w:tc>
          <w:tcPr>
            <w:tcW w:w="3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6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CLO Borrowings</w:t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$350.3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$349.4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3.500%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Senior Notes Due 9/19/2029</w:t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425.0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425.0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423.4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5.050%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Senior Notes Due 9/19/2035</w:t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800.0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791.6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800.0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791.1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5.625%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Senior Notes Due 3/30/2043</w:t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600.5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600.5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5.650%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Senior Notes Due 9/15/2048</w:t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346.7</w:t>
            </w:r>
          </w:p>
        </w:tc>
      </w:tr>
      <w:tr>
        <w:trPr/>
        <w:tc>
          <w:tcPr>
            <w:tcW w:w="32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4.625%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Subordinated Notes Due 5/15/2061</w:t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486.1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485.9</w:t>
            </w:r>
          </w:p>
        </w:tc>
      </w:tr>
      <w:tr>
        <w:trPr/>
        <w:tc>
          <w:tcPr>
            <w:tcW w:w="3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debt obligations</w:t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$3,026.1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$2,998.8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$3,025.1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$2,997.0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Senior Credit Facility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senior credit facility consists of a $1.0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revolving credit facility, which was amended in May 2025 to extend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maturity date from April 29,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May 29, 2030.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is required to maintain management fee-earning assets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 least $156.9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a total leverage ratio of less than 4.0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1.0, in each case, tested on a quarterly basis.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borrowing capacity is subject to the ability of the financial institutions in the banking syndicate to fulfill their respective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obligations under the revolving credit facility. Principal amounts outstanding under the revolving credit facility accrue interest,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 the option of the borrowers, either (a) at an alternate base rate plus an applicable margin not to exceed 0.50%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 annum, 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(b) at SOFR (or similar benchmark rate for non-U.S. dollar borrowings) plus a 0.10%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adjustment and an applicable margin not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exceed 1.50%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 annum (at June 30, 2026, the interest rate was 4.75%). The Company made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borrowings under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revolving credit facility during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 and there was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amount outstanding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June 30, 2026.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Global Credit Revolving Credit Facility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Certain subsidiaries of the Company are parties to a revolving line of credit, primarily intended to support certain lending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activities within the Global Credit segment. As currently amended, the Global Credit Revolving Credit Facility provides for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revolving line of credit with a capacity of $300 million, which matures in September 2027, and a second revolving line of credit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a capacity of $200 million,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the Company intends to amend to extend the maturity date from August 19, 2026.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borrowing capacity is subject to the ability of the financial institutions in the banking syndicate to fulfill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respective obligations under the Global Credit Revolving Credit Facility. Principal amounts outstanding accrue interest 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applicable SOFR or Eurocurrency rates plus an applicable margin of 2.00%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an alternate base rate plus an applicable margin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1.00%. During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 the Company made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borrowings under the Global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Credit Revolving Credit Facility. As of June 30, 2026, there was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borrowing outstanding under the Global Credit Revolving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Credit Facility.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CLO Borrowings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certain of the Company’s CLOs, the Company finances a portion of its investment in the CLOs through the proceeds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received from term loans and other financing arrangements with financial institutions. The following table provides information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regarding total outstanding CLO borrowings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(Dollars in millions):</w:t>
      </w:r>
    </w:p>
    <w:tbl>
      <w:tblPr>
        <w:tblW w:w="87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6"/>
        <w:gridCol w:w="1081"/>
        <w:gridCol w:w="109"/>
        <w:gridCol w:w="1111"/>
        <w:gridCol w:w="109"/>
        <w:gridCol w:w="991"/>
        <w:gridCol w:w="109"/>
        <w:gridCol w:w="1081"/>
        <w:gridCol w:w="109"/>
        <w:gridCol w:w="1111"/>
        <w:gridCol w:w="109"/>
        <w:gridCol w:w="1036"/>
      </w:tblGrid>
      <w:tr>
        <w:trPr/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01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6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December 31, 2025</w:t>
            </w:r>
          </w:p>
        </w:tc>
      </w:tr>
      <w:tr>
        <w:trPr/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Borrowing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 Rate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Remaining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Maturity in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Years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Borrowing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 Rate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Remaining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Maturity in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Years</w:t>
            </w:r>
          </w:p>
        </w:tc>
      </w:tr>
      <w:tr>
        <w:trPr/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CLO borrowings</w:t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4.87%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4.50%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9.86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CLO term loans are secured by the Company’s investments in the respective CLO, have a general unsecured 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Carlyle entity that manages the CLO, and generally do not have recourse to any other Carlyle entity. Interest expense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three months ended June 30, 2026 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$3.8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$4.0 million, respectively. Interest expense for the six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2026 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$8.0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$7.8 million, respectively. The fair value of the outstanding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balance of the CLO term loans 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approximated par value based on current market rates for similar debt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instruments. These CLO term loans are classified as Level III within the fair value hierarchy.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CLO Repurchase Agreements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is party to two master credit facility agreements (the “CLO Financing Facilities”) to finance a portion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risk retention investments in certain CLOs managed by the Company. Each transaction entered into under the CLO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Financing Facilities bears interest at a rate based on the weighted average effective interest rate of each class of securities that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have been sold plus a spread agreed upon by the parties. As of June 30, 2026, $346.1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outstanding under the CLO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Financing Facilities, which includes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€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283.1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($323.1 million) in borrowings made in Euro. Additional borrowings may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 made on terms agreed upon by the Company and the counterparty subject to the terms and conditions of the CLO Financing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Facilities.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Each transaction entered into under the CLO Financing Facilities provides for payment netting and, in the case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default or similar event with respect to the counterparty to the CLO Financing Facilities, provides for netting across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transactions. Generally, upon a counterparty default, the Company can terminate all transactions under the CLO Financing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Facilities and offset amounts it owes in respect of any one transaction against collateral, if any, or other amounts it has received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respect of any other transactions under the CLO Financing Facilities; provided, however, that in the case of certain defaults,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may only be able to terminate and offset solely with respect to the transaction affected by the default. During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term of a transaction entered into under the CLO Financing Facilities, the Company will deliver cash or additional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acceptable to the counterparty if the securities sold are in default. Upon termination of a transaction, the Company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repurchase the previously sold securities from the counterparty at a previously determined repurchase price. The CLO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Financing Facilities may be terminated at any time upon certain defaults or circumstances agreed upon by the parties.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Repurchase Agreements may result in credit exposure in the event the counterparty to the transaction is unable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fulfill its contractual obligations. The Company minimizes the credit risk associated with these activities by monitoring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counterparty credit exposure and collateral values. Other than margin requirements, the Company is not subject to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terms or contingencies which would expose the Company to additional obligations based upon the performance of the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pledged as collateral.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Senior Notes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and certain indirect subsidiaries of the Company have issued long term borrowings in the form of senior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notes, on which interest is payable semi-annually in arrears. The following table provides information regarding these senior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notes (Dollars in millions):</w:t>
      </w:r>
    </w:p>
    <w:tbl>
      <w:tblPr>
        <w:tblW w:w="94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86"/>
        <w:gridCol w:w="931"/>
        <w:gridCol w:w="109"/>
        <w:gridCol w:w="796"/>
        <w:gridCol w:w="109"/>
        <w:gridCol w:w="916"/>
        <w:gridCol w:w="109"/>
        <w:gridCol w:w="793"/>
        <w:gridCol w:w="169"/>
        <w:gridCol w:w="793"/>
        <w:gridCol w:w="109"/>
        <w:gridCol w:w="691"/>
        <w:gridCol w:w="147"/>
        <w:gridCol w:w="752"/>
      </w:tblGrid>
      <w:tr>
        <w:trPr/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4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</w:tr>
      <w:tr>
        <w:trPr/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2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Fair Value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(1)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As of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5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0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Aggregate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Principal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Amount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31, 2025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6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9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3.500%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Senior Notes Due 9/19/2029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$425.0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$412.4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$417.8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$3.9</w:t>
            </w:r>
          </w:p>
        </w:tc>
        <w:tc>
          <w:tcPr>
            <w:tcW w:w="1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$7.7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$7.7</w:t>
            </w:r>
          </w:p>
        </w:tc>
      </w:tr>
      <w:tr>
        <w:trPr/>
        <w:tc>
          <w:tcPr>
            <w:tcW w:w="29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5.050%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Senior Notes Due 9/19/2035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800.0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777.8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800.9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10.4</w:t>
            </w:r>
          </w:p>
        </w:tc>
        <w:tc>
          <w:tcPr>
            <w:tcW w:w="1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20.7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9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5.625%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Senior Notes Due 3/30/2043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584.4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600.7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8.5</w:t>
            </w:r>
          </w:p>
        </w:tc>
        <w:tc>
          <w:tcPr>
            <w:tcW w:w="1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16.9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16.9</w:t>
            </w:r>
          </w:p>
        </w:tc>
      </w:tr>
      <w:tr>
        <w:trPr/>
        <w:tc>
          <w:tcPr>
            <w:tcW w:w="29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5.650%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Senior Notes Due 9/15/2048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(5)</w:t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339.3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5.0</w:t>
            </w:r>
          </w:p>
        </w:tc>
        <w:tc>
          <w:tcPr>
            <w:tcW w:w="1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10.0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10.0</w:t>
            </w:r>
          </w:p>
        </w:tc>
      </w:tr>
      <w:tr>
        <w:trPr/>
        <w:tc>
          <w:tcPr>
            <w:tcW w:w="29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$27.8</w:t>
            </w:r>
          </w:p>
        </w:tc>
        <w:tc>
          <w:tcPr>
            <w:tcW w:w="1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$17.4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$55.3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$34.6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(1)Including accrued interest. Fair value is based on indicative quotes and the notes are classified as Level II within the fair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hierarchy.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(2)Issued in September 2019 at 99.841%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par.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(3)Issued in September 2025 at 99.767%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par.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(4)Issued $400.0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aggregate principal at 99.583%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par in March 2013. An additional $200.0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aggregate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principal was issued at 104.315%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par in March 2014, and is treated as a single class with the outstanding $400.0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senior notes previously issued.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(5)Issued in September 2018 at 99.914%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par.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issuers may redeem the senior notes, in whole at any time or in part from time to time, at a price equal to the greater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(i)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principal amount of the notes being redeemed and (ii) the sum of the present values of the remaining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scheduled payments of principal and interest on any notes being redeemed (less interest accrued to the date of redemption)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discounted to the redemption date on a semiannual basis at the Treasury Rate plus 40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basis points (30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basis points in the case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3.500%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senior notes and 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basis points in the case of the 5.050%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senior notes), plus in each case accrued and unpaid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on the principal amounts being redeemed.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Subordinated Notes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May 2021, an indirect subsidiary of the Company issued $435.0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aggregate principal amount of 4.625%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Subordinated Notes due May 15, 2061 (the “Subordinated Notes”), on which interest is payable quarterly accruing from May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11, 2021. In June 2021, an additional $65.0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principal amount of these Subordinated Notes were issued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are treated as a single series with the already outstanding $435.0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principal amount. The Subordinated Notes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are unsecured and subordinated obligations of the issuer, and are fully and unconditionally guaranteed (the “Guarantees”),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jointly and severally, on a subordinated basis, by the Company, each of the Carlyle Holdings partnerships, and CG Subsidiary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Holdings L.L.C., an indirect subsidiary of the Company (collectively, the “Guarantors”). The Consolidated Funds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guarantors, and as such, the assets of the Consolidated Funds are not available to service the Subordinated Notes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Guarantee. The Subordinated Notes may be redeemed at the issuer’s option, in whole or in part, at any time and from time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time, prior to their stated maturity, at a redemption price equal to their principal amount plus any accrued and unpaid interest to,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but excluding, the redemption date. If interest due on the Subordinated Notes is deemed to no longer be deductible in the U.S.,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Subordinated Notes may be redeemed, in whole, but not in part, within 120 days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occurrence of such event at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redemption price equal to their principal amount plus accrued and unpaid interest to, but excluding, the redemption date.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2025, the fair value of the Subordinated Notes was $326.2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$342.0 million, respectively. Fair value is based on active market quotes and the notes are classified as Level I within the fair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value hierarchy. For both the three months ended June 30, 2026 and 2025, the Company incurred $5.9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expense on the Subordinated Notes. For both the six months ended June 30, 2026 and 2025, the Company incurred $11.8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interest expense on the Subordinated Notes.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Debt Covenants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is subject to various financial and non-financial covenants under its loan agreements and the indentures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governing its senior notes. The Company was in compliance with all financial and non-financial covenants under its various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loan agreements as of June 30,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Loans Payable of Consolidated Funds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Loans payable of Consolidated Funds primarily represent amounts due to holders of debt securities issued by the CLOs.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2025, the following borrowings were outstanding (Dollars in millions):</w:t>
      </w:r>
    </w:p>
    <w:tbl>
      <w:tblPr>
        <w:tblW w:w="69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81"/>
        <w:gridCol w:w="109"/>
        <w:gridCol w:w="916"/>
        <w:gridCol w:w="109"/>
        <w:gridCol w:w="1111"/>
        <w:gridCol w:w="109"/>
        <w:gridCol w:w="316"/>
        <w:gridCol w:w="109"/>
        <w:gridCol w:w="103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96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 2026</w:t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Borrowing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Fair Value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 Rate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Remaining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Maturity in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Years</w:t>
            </w:r>
          </w:p>
        </w:tc>
      </w:tr>
      <w:tr>
        <w:trPr/>
        <w:tc>
          <w:tcPr>
            <w:tcW w:w="20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Senior secured notes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$10,480.2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$10,472.5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5.07%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11.57</w:t>
            </w:r>
          </w:p>
        </w:tc>
      </w:tr>
      <w:tr>
        <w:trPr/>
        <w:tc>
          <w:tcPr>
            <w:tcW w:w="20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Subordinated notes</w:t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375.7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290.4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10.15</w:t>
            </w:r>
          </w:p>
        </w:tc>
      </w:tr>
      <w:tr>
        <w:trPr/>
        <w:tc>
          <w:tcPr>
            <w:tcW w:w="20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Revolving credit facilities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6.57%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2.93</w:t>
            </w:r>
          </w:p>
        </w:tc>
      </w:tr>
      <w:tr>
        <w:trPr/>
        <w:tc>
          <w:tcPr>
            <w:tcW w:w="20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$10,897.4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$10,804.4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tbl>
      <w:tblPr>
        <w:tblW w:w="69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81"/>
        <w:gridCol w:w="109"/>
        <w:gridCol w:w="916"/>
        <w:gridCol w:w="109"/>
        <w:gridCol w:w="1111"/>
        <w:gridCol w:w="109"/>
        <w:gridCol w:w="316"/>
        <w:gridCol w:w="109"/>
        <w:gridCol w:w="103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96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December 31, 2025</w:t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Borrowing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Fair Value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 Rate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Remaining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Maturity in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Years</w:t>
            </w:r>
          </w:p>
        </w:tc>
      </w:tr>
      <w:tr>
        <w:trPr/>
        <w:tc>
          <w:tcPr>
            <w:tcW w:w="20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Senior secured notes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$9,994.8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$9,972.1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5.09%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11.18</w:t>
            </w:r>
          </w:p>
        </w:tc>
      </w:tr>
      <w:tr>
        <w:trPr/>
        <w:tc>
          <w:tcPr>
            <w:tcW w:w="20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Subordinated notes</w:t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509.6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9.65</w:t>
            </w:r>
          </w:p>
        </w:tc>
      </w:tr>
      <w:tr>
        <w:trPr/>
        <w:tc>
          <w:tcPr>
            <w:tcW w:w="20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Revolving credit facilities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6.68%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3.45</w:t>
            </w:r>
          </w:p>
        </w:tc>
      </w:tr>
      <w:tr>
        <w:trPr/>
        <w:tc>
          <w:tcPr>
            <w:tcW w:w="20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$10,567.4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$10,426.0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(1)Borrowing Outstanding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includes $937.5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senior secured notes that are measured at amortized cost,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approximates fair value. Fair Value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includes the carrying value of these notes of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$925.7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$939.9 million, respectively. These senior secured notes were classified as Level III within the fair value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hierarchy.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(2)Fair Value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reflects the amortized cost of outstanding revolving credit balances which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approximates fair value.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(3)The subordinated notes do not have contractual interest rates, but instead receive distributions from the excess cash flows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CLOs.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Loans payable of the CLOs are collateralized by the assets held by the CLOs and the assets of one CLO may not be used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satisfy the liabilities of another. This collateral consisted of cash and cash equivalents, corporate loans, corporate bonds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securities. The Company is not liable for any loans payable of the CLOs.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December 31, 2025,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assets of the CLOs were $10.9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$11.0 billion, respectively.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6. Accrued Compensation and Benefits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Accrued compensation and benefits consist of the following: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</w:p>
    <w:tbl>
      <w:tblPr>
        <w:tblW w:w="81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76"/>
        <w:gridCol w:w="751"/>
        <w:gridCol w:w="109"/>
        <w:gridCol w:w="1231"/>
      </w:tblGrid>
      <w:tr>
        <w:trPr/>
        <w:tc>
          <w:tcPr>
            <w:tcW w:w="60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09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60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60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09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60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performance allocations and incentive fee related compensation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$4,545.5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$5,111.8</w:t>
            </w:r>
          </w:p>
        </w:tc>
      </w:tr>
      <w:tr>
        <w:trPr/>
        <w:tc>
          <w:tcPr>
            <w:tcW w:w="60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bonuses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294.5</w:t>
            </w:r>
          </w:p>
        </w:tc>
      </w:tr>
      <w:tr>
        <w:trPr/>
        <w:tc>
          <w:tcPr>
            <w:tcW w:w="60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allocations and incentive fee related compensation not yet paid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150.2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315.1</w:t>
            </w:r>
          </w:p>
        </w:tc>
      </w:tr>
      <w:tr>
        <w:trPr/>
        <w:tc>
          <w:tcPr>
            <w:tcW w:w="60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145.1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128.0</w:t>
            </w:r>
          </w:p>
        </w:tc>
      </w:tr>
      <w:tr>
        <w:trPr/>
        <w:tc>
          <w:tcPr>
            <w:tcW w:w="60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75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$5,007.6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$5,849.4</w:t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presents realized and unrealized performance allocations and incentive fee related compensation: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</w:p>
    <w:tbl>
      <w:tblPr>
        <w:tblW w:w="571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86"/>
        <w:gridCol w:w="1150"/>
        <w:gridCol w:w="198"/>
        <w:gridCol w:w="1096"/>
        <w:gridCol w:w="109"/>
        <w:gridCol w:w="1114"/>
        <w:gridCol w:w="168"/>
        <w:gridCol w:w="998"/>
      </w:tblGrid>
      <w:tr>
        <w:trPr/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44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5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9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6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3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</w:t>
            </w:r>
          </w:p>
        </w:tc>
        <w:tc>
          <w:tcPr>
            <w:tcW w:w="115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$230.7</w:t>
            </w:r>
          </w:p>
        </w:tc>
        <w:tc>
          <w:tcPr>
            <w:tcW w:w="19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$189.4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$288.9</w:t>
            </w:r>
          </w:p>
        </w:tc>
        <w:tc>
          <w:tcPr>
            <w:tcW w:w="1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$442.3</w:t>
            </w:r>
          </w:p>
        </w:tc>
      </w:tr>
      <w:tr>
        <w:trPr/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</w:t>
            </w:r>
          </w:p>
        </w:tc>
        <w:tc>
          <w:tcPr>
            <w:tcW w:w="115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(137.1)</w:t>
            </w:r>
          </w:p>
        </w:tc>
        <w:tc>
          <w:tcPr>
            <w:tcW w:w="1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254.2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(563.2)</w:t>
            </w:r>
          </w:p>
        </w:tc>
        <w:tc>
          <w:tcPr>
            <w:tcW w:w="1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172.7</w:t>
            </w:r>
          </w:p>
        </w:tc>
      </w:tr>
      <w:tr>
        <w:trPr/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115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$93.6</w:t>
            </w:r>
          </w:p>
        </w:tc>
        <w:tc>
          <w:tcPr>
            <w:tcW w:w="19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$(274.3)</w:t>
            </w:r>
          </w:p>
        </w:tc>
        <w:tc>
          <w:tcPr>
            <w:tcW w:w="1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$615.0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7. Commitments and Contingencies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Commitments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 and its unconsolidated affiliates have unfunded commitments totaling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$4.3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of June 30, 2026,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which approximately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$3.4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is subscribed individually by senior Carlyle professionals, advisors and other professionals.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addition to these unfunded commitments, the Company may from time to time exercise its right to purchase additional interests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its investment funds that become available in the ordinary course of their operations.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 the Carlyle Global Capital Markets platform, certain subsidiaries of the Company may act as an underwriter,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syndicator or placement agent for security offerings and loan originations. The Company earns fees in connection with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activities and bears the risk of the sale of such securities and placement of such loans, which may be longer dated.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2026, the Company had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material commitments related to the origination and syndication of loans and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under the Carlyle Global Capital Markets platform.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Guaranteed Loans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From time to time, the Company or its subsidiaries may enter into agreements to guarantee certain obligations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funds related to, for example, credit facilities or equity commitments. Certain consolidated subsidiaries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are the guarantors of revolving credit facilities for certain funds in the Carlyle AlpInvest segment. The guarantee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limited to the lesser of the total amount drawn under the credit facilities or the total of net asset value of the guarantor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subsidiaries plus any uncalled capital of the applicable general partner. The outstanding balances are secured by uncalled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commitments from the underlying funds and the Company believes the likelihood of any material funding under this guarantee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be remote. As of June 30, 2026, the Company had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material outstanding guarantees under the credit facilities.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February 25, 2026, the Company entered into an agreement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pursuant to which it provided support for a credit facility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a certain fund in the Global Credit segment. The maximum aggregate amount that could be funded under this agreement was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approximately $120.0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of June 30, 2026. The guarantee will remain effective for the term of the credit facility,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including any extensions thereof, unless terminated earlier in accordance with the terms of the credit facility. The Company has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 funded any amounts under this agreement to date and believes the likelihood of any material funding to be remote.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June 30, 2026, certain consolidated subsidiaries of the Company are the guarantors of a credit agreement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fund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Carlyle AlpInvest segment, which is scheduled to expire on December 16, 2026. The maximum potential amount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funded under this guarantee is $30.0 million. The outstanding balances under the credit agreement are collateralized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in the fund, and the Company believes the likelihood of any material funding under this guarantee to be remote.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Additionally, on July 1, 2026, the Company entered into an agreement with a financial institution pursuant to which 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provided the guarantee for an unsecured revolving credit facility of an investment fund that is actively fundraising in the Global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Private Equity segment. The maximum aggregate amount available under the facility is $400.0 million.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This facility matures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 the possibility to extend to July 2027. The Company has not funded any amounts under this guarantee to date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believes the likelihood of any material funding to be remote.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Contingent Obligations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Giveback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liability for potential repayment of previously received performance allocations of $92.4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shown as accrued giveback obligations in the condensed consolidated balance sheets, representing the giveback obligation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would need to be paid if the funds were liquidated at their current fair values at June 30, 2026. However, the ultimate giveback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obligation, if any, generally is not paid until the end of a fund’s life or earlier if the giveback becomes fixed and early payment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is agreed upon by the fund’s partners (see Note 2, Summary of Significant Accounting Policies). The Company had $39.4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$24.2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unbilled receivables from former and current employees and senior Carlyle professionals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December 31, 2025, respectively, related to giveback obligations. Any such receivables are collateralized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 made by individual senior Carlyle professionals and employees in Carlyle-sponsored funds. In addition, $154.7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$151.5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have been withheld from distributions of carried interest to senior Carlyle professionals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employees for potential giveback obligations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December 31, 2025, respectively. Such amounts are held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behalf of the respective current and former Carlyle employees to satisfy any givebacks they may owe and are held by entities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not included in the accompanying condensed consolidated balance sheets. Current and former senior Carlyle professionals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employees are personally responsible for their giveback obligations. As of June 30, 2026, approximately $39.5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accrued giveback obligation is the responsibility of various current and former senior Carlyle professionals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other former limited partners of the Carlyle Holdings partnerships, and the net accrued giveback obligation attributable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is $52.9 million.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If, at June 30, 2026, all of the investments held by the Company’s Funds were deemed worthless, a possibility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views as remote, the amount of realized and distributed carried interest subject to potential giveback would be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$1.6 billion, on an after-tax basis where applicable, of which approximately $0.6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would be the responsibility of current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former senior Carlyle professionals.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Other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April 2026, in connection with an investment fund that is actively fundraising in the Global Private Equity segment,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 entered into an arrangement with a third party pursuant to which the third party subscribed for a $500.0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commitment in the investment fund (the “Warehoused Interests”) through December 31, 2026. As of June 30, 2026,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$290.2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Warehoused Interests have been sold to other investors, and the remaining $209.8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continues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held by the third party. Under the terms of this arrangement, the Company will be required to acquire any unsold Warehoused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Interests as of December 31,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connection with a consolidated investment fund in the Carlyle AlpInvest segment, the Company entered into 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arrangement with a third party pursuant to which the Company may be required to make payments up to $50.0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in the event the fund does not achieve a specified return. As of June 30, 2026, the Company has concluded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likelihood of payment under this arrangement is not probable; therefore, no liability has been recorded.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Legal Matters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ordinary course of business, the Company is a party to litigation, investigations, inquiries, employment-related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matters, disputes, and other potential claims. Certain of these matters are described below. The Company is not currently able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estimate the reasonably possible amount of loss or range of loss, in excess of amounts accrued, for the matters that have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been resolved. The Company does not believe it is probable that the outcome of any existing litigation, investigations, disputes,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 other potential claims will materially affect the Company or these financial statements in excess of amounts accrued.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The Tax Receivable Agreement Matter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came into existence on January 1, 2020, when its predecessor, The Carlyle Group, L.P. (the “PTP”),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converted from a partnership into a corporation (the “Conversion”). On July 29, 2022, an alleged stockholder of the Company,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City of Pittsburgh Comprehensive Municipal Trust Fund (the “original Plaintiff”), filed suit in the Delaware Court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Chancery, alleging a direct claim against the Company for breach of its certificate of incorporation and a derivative claim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behalf of the Company against certain current and former officers and directors of the Company. As the original Plaintiff did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not actually own shares on the date of the Conversion, it stipulated to the dismissal of the derivative claims in October of 2025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Court has allowed Charles Blackburn (together with the original Plaintiff, “Plaintiffs”) to intervene as a new plaintiff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 respect to the derivative claims. The original Plaintiff continues as a plaintiff with respect to one direct claim.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Plaintiffs challenge the receipt, by certain officers of the PTP and certain directors of the general partner of the PTP,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right to cash payments associated with the elimination of a tax receivable agreement in connection with the Conversion.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Plaintiffs are seeking monetary damages, restitution, and an injunction preventing the Company from making any future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payments for the elimination of the tax receivable agreement in connection with the Conversion. By virtue of the derivative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nature of the primary claims (i.e., that the claims are aimed primarily at certain officers and directors), it is unlikely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itself will pay material damage awards based on the derivative claims, although the Company is expected to incur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legal defense fees to the extent not covered by insurance. The Delaware Court issued a ruling on the defendants’ motion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dismiss on April 24, 2024, dismissing some of the original Plaintiff’s claims but allowing most of the claims to proceed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discovery and possibly to trial. Plaintiffs filed a consolidated amended complaint on November 17, 2025. Defendants filed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motion to dismiss the consolidated amended complaint on January 16, 2026, which remains pending. The Company intends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continue to contest the direct claims vigorously, and the officer and director defendants intend to continue contesting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derivative claims vigorously.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General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currently is and expects to continue to be, from time to time, subject to examinations, formal and informal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inquiries, and investigations by various U.S. and non-U.S. governmental and regulatory agencies, including but not limited to,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SEC, Department of Justice, state attorneys general, FINRA, National Futures Association, and the U.K. Financial Conduct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Authority. The Company routinely cooperates with such examinations, inquiries and investigations, and they may result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commencement of civil, criminal, or administrative or other proceedings against the Company or its personnel.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It is not possible to predict the ultimate outcome of all pending investigations and legal proceedings and employment-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related matters, and some of the matters discussed above involve claims for potentially large and/or indeterminate amounts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damages. Based on information known by management, management does not believe that as of the date of this filing the final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resolutions of the matters above will have a material effect upon the Company’s condensed consolidated financial statements.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However, given the potentially large and/or indeterminate amounts of damages sought in certain of these matters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inherent unpredictability of investigations and litigations, it is possible that an adverse outcome in certain matters could,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time to time, have a material effect on the Company’s financial results in any particular period.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accrues an estimated loss contingency liability when it is probable that such a liability has been incurred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amount of the loss can be reasonably estimated. The Company evaluates its outstanding legal and regulatory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proceedings and other matters each quarter to assess its loss contingency accruals, and makes adjustments in such accruals,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upward or downward, as appropriate, based on management’s best judgment after consultation with counsel. There is no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assurance that the Company’s accruals for loss contingencies will not need to be adjusted in the future or that, in light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uncertainties involved in such matters, the ultimate resolution of these matters will not significantly exceed the accruals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has recorded.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Indemnifications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normal course of business, the Company and its subsidiaries enter into contracts that contain a variety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representations and warranties and provide general indemnifications. The Company’s maximum exposure under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arrangements is unknown as this would involve future claims that may be made against the Company that have not yet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occurred. However, based on experience, the Company believes the risk of material loss to be remote.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connection with the sale of the Company’s interest in its local Brazilian management entity in August 2021,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provided a guarantee to the acquiring company of up to BRL 100.0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($19.4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of June 30, 2026)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liabilities arising from tax-related indemnifications. This guarantee, which will expire in August 2027, would only come into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effect after all alternative remedies have been exhausted. The Company believes the likelihood of any material funding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this guarantee to be remote.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Risks and Uncertainties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Carlyle’s funds seek investment opportunities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that offer the possibility of attaining substantial capital appreciation.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Certain events particular to each industry in which the underlying investees conduct their operations, as well as general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economic, political, regulatory, and public health conditions, may have a significant negative impact on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 and profitability. The funds managed by the Company may also experience a slowdown in the deployment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capital, which could adversely affect the Company’s ability to raise capital for new or successor funds and could also impact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fees the Company earns on its carry funds and managed accounts, and/or result in the impairment of intangible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assets and/or goodwill the case of the Company’s acquired businesses. Such events are beyond the Company’s control,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likelihood that they may occur and the effect on the Company cannot be predicted.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Furthermore, certain of the funds’ investments are made in private companies and there are generally no public markets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underlying securities at the current time. The funds’ ability to liquidate their publicly-traded investments are often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subject to limitations, including discounts that may be required to be taken on quoted prices due to the number of shares being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sold. The funds’ ability to liquidate their investments and realize value is subject to significant limitations and uncertainties,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among others currency fluctuations and natural disasters.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and the funds make investments outside of the United States. Investments outside the United States may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subject to less developed bankruptcy, corporate, partnership and other laws (which may have the effect of disregarding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otherwise circumventing the limited liability structures potentially causing the actions or liabilities of one fund or a portfolio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to adversely impact the Company or an unrelated fund or portfolio company). Non-U.S. investments are subject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same risks associated with the Company’s U.S. investments as well as additional risks, such as fluctuations in foreign currency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exchange rates, unexpected changes in regulatory requirements, heightened risk of political and economic instability,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difficulties in managing non-U.S. investments, potentially adverse tax consequences, and the burden of complying with a wide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variety of foreign laws.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Furthermore, Carlyle is exposed to economic risk concentrations related to certain large investments as well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concentrations of investments in certain industries and geographies.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Additionally, the Company encounters credit risk. Credit risk is the risk of default by a counterparty in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 in debt securities, loans, leases, and derivatives that result from a borrower’s, lessee’s, or derivative counterparty’s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inability or unwillingness to make required or expected payments. The Company is subject to credit risk should a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institution be unable to fulfill its obligations.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considers cash, cash equivalents, securities, receivables, principal equity method investments, accounts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payable, accrued expenses, other liabilities, loans, senior notes, assets, and liabilities of Consolidated Funds and contingent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other consideration for acquisitions to be its financial instruments. Except for the senior notes, subordinated notes,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compensatory contingent and other consideration for acquisitions, the carrying amounts reported in the condensed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balance sheets for these financial instruments equal or closely approximate their fair values. The fair value of the senior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subordinated notes is disclosed in Note 5, Borrowings.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8. Related Party Transactions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Due from Affiliates and Other Receivables, Net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 had the following due from affiliates and other receivables 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</w:p>
    <w:tbl>
      <w:tblPr>
        <w:tblW w:w="87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61"/>
        <w:gridCol w:w="751"/>
        <w:gridCol w:w="109"/>
        <w:gridCol w:w="1231"/>
      </w:tblGrid>
      <w:tr>
        <w:trPr/>
        <w:tc>
          <w:tcPr>
            <w:tcW w:w="6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09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66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66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09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6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incentive fees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$53.6</w:t>
            </w:r>
          </w:p>
        </w:tc>
      </w:tr>
      <w:tr>
        <w:trPr/>
        <w:tc>
          <w:tcPr>
            <w:tcW w:w="6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Unbilled receivable for giveback obligations from current and former employees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24.2</w:t>
            </w:r>
          </w:p>
        </w:tc>
      </w:tr>
      <w:tr>
        <w:trPr/>
        <w:tc>
          <w:tcPr>
            <w:tcW w:w="6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Notes receivable and accrued interest from affiliates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34.0</w:t>
            </w:r>
          </w:p>
        </w:tc>
      </w:tr>
      <w:tr>
        <w:trPr/>
        <w:tc>
          <w:tcPr>
            <w:tcW w:w="6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Management fee receivable, net 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244.5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246.0</w:t>
            </w:r>
          </w:p>
        </w:tc>
      </w:tr>
      <w:tr>
        <w:trPr/>
        <w:tc>
          <w:tcPr>
            <w:tcW w:w="6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Reimbursable expenses and other receivables from unconsolidated funds and affiliates, net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750.6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477.0</w:t>
            </w:r>
          </w:p>
        </w:tc>
      </w:tr>
      <w:tr>
        <w:trPr/>
        <w:tc>
          <w:tcPr>
            <w:tcW w:w="6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7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$1,181.2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$834.8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(1)As of June 30, 2026, this balance included $132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reimbursable expenses related to a transaction in the Global Private Equity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segment, which were received in the third quarter.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Reimbursable expenses and other receivables from certain of the unconsolidated funds and portfolio companies relate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advisory fees receivable and expenses paid on behalf of these entities. These costs generally represent costs related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pursuit of actual or proposed investments, professional fees, and expenses associated with the acquisition, holding,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disposition of the investments. The affiliates are obligated at the discretion of the Company to reimburse the expenses.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management’s determination, the Company may accrue and charge interest on amounts due from affiliate accounts 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rates ranging up to 7.05%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of June 30, 2026. The accrued and charged interest to the affiliates was not significant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any period presented.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Notes receivable includes loans that the Company has provided to certain unconsolidated funds to meet short-term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obligations to purchase investments. Notes receivable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also include interest-bearing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loans of $38.9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$19.5 million, respectively, to certain eligible Carlyle employees, which excludes Section 16 officers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other members of senior management, to finance their investments in certain Carlyle sponsored funds. These advances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accrue interest at rates which range between 5.05%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5.75%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of June 30, 2026.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These receivables are assessed regularly for collectability. Management fee receivable amounts determined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uncollectible are recorded as a reduction in revenue in the condensed consolidated statements of operations. For all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receivables, amounts determined to be uncollectible are charged directly to general, administrative and other expenses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condensed consolidated statements of operations. A corresponding allowance for doubtful accounts is recorded and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amounts were not significant for any period presented.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Due to Affiliates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has recorded obligations for amounts due to certain of its affiliates. The Company periodically offsets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expenses it has paid on behalf of its affiliates against these obligations. The Company had the following due to affiliates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balances 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2025: </w:t>
      </w:r>
    </w:p>
    <w:tbl>
      <w:tblPr>
        <w:tblW w:w="57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91"/>
        <w:gridCol w:w="751"/>
        <w:gridCol w:w="109"/>
        <w:gridCol w:w="1231"/>
      </w:tblGrid>
      <w:tr>
        <w:trPr/>
        <w:tc>
          <w:tcPr>
            <w:tcW w:w="3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09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36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6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09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to affiliates of Consolidated Funds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$6.1</w:t>
            </w:r>
          </w:p>
        </w:tc>
      </w:tr>
      <w:tr>
        <w:trPr/>
        <w:tc>
          <w:tcPr>
            <w:tcW w:w="3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to non-consolidated affiliates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144.4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102.0</w:t>
            </w:r>
          </w:p>
        </w:tc>
      </w:tr>
      <w:tr>
        <w:trPr/>
        <w:tc>
          <w:tcPr>
            <w:tcW w:w="3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Amounts owed under the tax receivable agreement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71.8</w:t>
            </w:r>
          </w:p>
        </w:tc>
      </w:tr>
      <w:tr>
        <w:trPr/>
        <w:tc>
          <w:tcPr>
            <w:tcW w:w="3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24.0</w:t>
            </w:r>
          </w:p>
        </w:tc>
      </w:tr>
      <w:tr>
        <w:trPr/>
        <w:tc>
          <w:tcPr>
            <w:tcW w:w="3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75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$203.9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connection with the Company’s initial public offering, the Company entered into a tax receivable agreement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limited partners of the Carlyle Holdings partnerships whereby certain subsidiaries of the Partnership agreed to pay to the limited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partners of the Carlyle Holdings partnerships involved in any exchange transaction 85%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amount of cash tax savings, if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any, in U.S. federal, state and local income tax realized as a result of increases in tax basis resulting from exchanges of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Holdings Partnership units for common units of The Carlyle Group L.P.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Related Party 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Aircraft 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Entities controlled by our co-founders own aircraft that may be used for the Company’s business in the ordinary course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its operations. The hourly rates that the Company pays for the use of these aircraft are based on current market rates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chartering private aircraft of the same type. For the three months ended June 30, 2026 and 2025, the Company incurred fees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use of these aircraft of $0.6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$0.6 million, respectively. For the six months ended June 30, 2026 and 2025,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incurred fees for the use of these aircraft of $0.9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$1.0 million, respectively. All payments were paid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directly to the manager of the aircraft, and a significant portion of the payments were ultimately paid to or were for the benefit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certain co-founders.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Other 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Senior Carlyle professionals and employees are permitted to participate in co-investment entities that invest in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funds or alongside Carlyle funds. In many cases, participation is limited by law to individuals who qualify under applicable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legal requirements. These co-investment entities generally do not require senior Carlyle professionals and employees to pay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fees or performance allocations, however, Carlyle professionals and employees are required to pay their portion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partnership expenses.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Carried interest income from certain funds can be distributed to senior Carlyle professionals and employees on a current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basis, but is subject to repayment by the subsidiary of the Company that acts as general partner of the fund in the event of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realized giveback obligation. The senior Carlyle professionals and certain other investment professionals have personally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guaranteed, subject to certain limitations, the obligation of these subsidiaries in respect of this general partner obligation.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guarantees are several and not joint and are limited to a particular individual’s distributions received.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 does business with some of its portfolio companies; all such arrangements are on a negotiated basis.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Substantially all revenue is earned from affiliates of Carlyle.</w:t>
      </w:r>
      <w:r>
        <w:rPr>
          <w:caps w:val="false"/>
          <w:smallCaps w:val="false"/>
          <w:sz w:val="24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9. Income Taxes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54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6"/>
        <w:gridCol w:w="734"/>
        <w:gridCol w:w="156"/>
        <w:gridCol w:w="864"/>
        <w:gridCol w:w="109"/>
        <w:gridCol w:w="642"/>
        <w:gridCol w:w="136"/>
        <w:gridCol w:w="811"/>
      </w:tblGrid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3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52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0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Provision for income taxes</w:t>
            </w:r>
          </w:p>
        </w:tc>
        <w:tc>
          <w:tcPr>
            <w:tcW w:w="7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$49.0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$11.9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$124.9</w:t>
            </w:r>
          </w:p>
        </w:tc>
      </w:tr>
      <w:tr>
        <w:trPr/>
        <w:tc>
          <w:tcPr>
            <w:tcW w:w="20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Effective tax rate</w:t>
            </w:r>
          </w:p>
        </w:tc>
        <w:tc>
          <w:tcPr>
            <w:tcW w:w="7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18%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13%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effective tax rate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 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primarily comprised the 21% U.S. federal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corporate income tax rate, the impact of U.S. state and foreign income taxes, and disallowed executive compensation, offset by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non-controlling interest.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effective tax rate for the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primarily comprised the 21%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U.S. federal corporate income tax rate and the tax effects of equity-based compensation deductions, disallowed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compensation, and non-controlling interest. For the six months ended June 30, 2026, the effective tax rate also included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impact of a one-time tax expense related to a change in the tax classification of a consolidated subsidiary.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December 31, 2025, the Company had federal, state, local and foreign taxes payable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$78.8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$141.4 million, respectively, which is recorded as a component of accounts payable, accrued expenses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liabilities on the accompanying condensed consolidated balance sheets.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normal course of business, the Company is subject to examination by federal and certain state, local and foreign tax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regulators. As of June 30, 2026, the Company’s U.S. federal income tax returns for the years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are generally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open under the normal three-year statute of limitations and therefore subject to examination. State and local tax returns are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generally subject to audit from 2020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2024. Foreign tax returns are generally subject to audit from 2011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2025. Certain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affiliates are currently under audit by federal, state and foreign tax authorities. The Company does not believe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that the outcome of the audits will require it to record material reserves for uncertain tax positions or that the outcome will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material impact on the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October 8, 2021, the OECD introduced a 15% global minimum tax under the Pillar Two GloBE model rules.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January 5, 2026, the OECD announced a “side-by-side” system under which U.S.-parented groups would be able to elect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exempt from certain Pillar Two provisions. Additional guidance on the “side-by-side” system and implementation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system remain subject to further discussions and clarifications from the OECD and local implementation by each OECD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member country. Pillar Two has not had a material impact to the Company’s provision for income taxes; however,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will continue to monitor as additional guidance is released by the OECD, OECD member countries based on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enacted law changes, and other standard-setting bodies.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10. Non-controlling Interests in Consolidated Entities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components of the Company’s non-controlling interests in consolidated entities are as follows: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</w:p>
    <w:tbl>
      <w:tblPr>
        <w:tblW w:w="70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51"/>
        <w:gridCol w:w="751"/>
        <w:gridCol w:w="109"/>
        <w:gridCol w:w="1231"/>
      </w:tblGrid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09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09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Non-Carlyle interests in Consolidated Funds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$1,461.5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$861.5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Non-Carlyle interests in majority-owned subsidiaries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442.9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433.9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Non-controlling interests in carried interest and giveback obligations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66.3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0.2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Non-controlling interests in consolidated entities</w:t>
            </w:r>
          </w:p>
        </w:tc>
        <w:tc>
          <w:tcPr>
            <w:tcW w:w="751" w:type="dxa"/>
            <w:tcBorders>
              <w:top w:val="single" w:sz="8" w:space="0" w:color="000000"/>
              <w:bottom w:val="doub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$1,970.7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$1,295.6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components of the Company’s non-controlling interests in income (loss) of consolidated entities are as follows: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</w:p>
    <w:tbl>
      <w:tblPr>
        <w:tblW w:w="840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51"/>
        <w:gridCol w:w="818"/>
        <w:gridCol w:w="164"/>
        <w:gridCol w:w="772"/>
        <w:gridCol w:w="109"/>
        <w:gridCol w:w="713"/>
        <w:gridCol w:w="143"/>
        <w:gridCol w:w="733"/>
      </w:tblGrid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6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52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Non-Carlyle interests in Consolidated Funds</w:t>
            </w:r>
          </w:p>
        </w:tc>
        <w:tc>
          <w:tcPr>
            <w:tcW w:w="81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$59.3</w:t>
            </w:r>
          </w:p>
        </w:tc>
        <w:tc>
          <w:tcPr>
            <w:tcW w:w="1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$56.8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$21.9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Non-Carlyle interests in majority-owned subsidiaries</w:t>
            </w:r>
          </w:p>
        </w:tc>
        <w:tc>
          <w:tcPr>
            <w:tcW w:w="81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42.4</w:t>
            </w:r>
          </w:p>
        </w:tc>
        <w:tc>
          <w:tcPr>
            <w:tcW w:w="16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41.6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15.3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Non-controlling interests in carried interest and giveback obligations</w:t>
            </w:r>
          </w:p>
        </w:tc>
        <w:tc>
          <w:tcPr>
            <w:tcW w:w="81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(14.0)</w:t>
            </w:r>
          </w:p>
        </w:tc>
        <w:tc>
          <w:tcPr>
            <w:tcW w:w="1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(20.4)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(0.2)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Non-controlling interests in income of consolidated entities</w:t>
            </w:r>
          </w:p>
        </w:tc>
        <w:tc>
          <w:tcPr>
            <w:tcW w:w="81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$87.7</w:t>
            </w:r>
          </w:p>
        </w:tc>
        <w:tc>
          <w:tcPr>
            <w:tcW w:w="16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$78.0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$37.0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11. Earnings Per Common Share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Basic and diluted net income per common share are calculated as follows: </w:t>
      </w:r>
    </w:p>
    <w:tbl>
      <w:tblPr>
        <w:tblW w:w="79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21"/>
        <w:gridCol w:w="1096"/>
        <w:gridCol w:w="109"/>
        <w:gridCol w:w="1096"/>
        <w:gridCol w:w="109"/>
        <w:gridCol w:w="1006"/>
        <w:gridCol w:w="109"/>
        <w:gridCol w:w="1051"/>
      </w:tblGrid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30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</w:tr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common shares</w:t>
            </w:r>
          </w:p>
        </w:tc>
        <w:tc>
          <w:tcPr>
            <w:tcW w:w="109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$137,100,000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$137,100,000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$4,900,000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$4,900,000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Weighted-average common shares outstanding</w:t>
            </w:r>
          </w:p>
        </w:tc>
        <w:tc>
          <w:tcPr>
            <w:tcW w:w="10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357,772,352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367,301,542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358,478,614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368,081,014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per common share</w:t>
            </w:r>
          </w:p>
        </w:tc>
        <w:tc>
          <w:tcPr>
            <w:tcW w:w="10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$0.38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$0.37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$0.01</w:t>
            </w:r>
          </w:p>
        </w:tc>
      </w:tr>
    </w:tbl>
    <w:tbl>
      <w:tblPr>
        <w:tblW w:w="81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21"/>
        <w:gridCol w:w="1096"/>
        <w:gridCol w:w="109"/>
        <w:gridCol w:w="1096"/>
        <w:gridCol w:w="109"/>
        <w:gridCol w:w="1096"/>
        <w:gridCol w:w="109"/>
        <w:gridCol w:w="1141"/>
      </w:tblGrid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2025</w:t>
            </w:r>
          </w:p>
        </w:tc>
      </w:tr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common shares</w:t>
            </w:r>
          </w:p>
        </w:tc>
        <w:tc>
          <w:tcPr>
            <w:tcW w:w="109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$319,700,000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$319,700,000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$449,700,000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$449,700,000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Weighted-average common shares outstanding</w:t>
            </w:r>
          </w:p>
        </w:tc>
        <w:tc>
          <w:tcPr>
            <w:tcW w:w="10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360,359,241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366,967,197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359,914,229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366,654,517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per common share</w:t>
            </w:r>
          </w:p>
        </w:tc>
        <w:tc>
          <w:tcPr>
            <w:tcW w:w="10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$0.89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$0.87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$1.25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$1.23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weighted-average common shares outstanding, basic and diluted, are calculated as follows:</w:t>
      </w:r>
    </w:p>
    <w:tbl>
      <w:tblPr>
        <w:tblW w:w="95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61"/>
        <w:gridCol w:w="1006"/>
        <w:gridCol w:w="109"/>
        <w:gridCol w:w="1006"/>
        <w:gridCol w:w="109"/>
        <w:gridCol w:w="1006"/>
        <w:gridCol w:w="109"/>
        <w:gridCol w:w="1051"/>
      </w:tblGrid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2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</w:tr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</w:tr>
      <w:tr>
        <w:trPr/>
        <w:tc>
          <w:tcPr>
            <w:tcW w:w="5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Carlyle Group Inc. weighted-average common shares outstanding</w:t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357,772,352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357,772,352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358,478,614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358,478,614</w:t>
            </w:r>
          </w:p>
        </w:tc>
      </w:tr>
      <w:tr>
        <w:trPr/>
        <w:tc>
          <w:tcPr>
            <w:tcW w:w="5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Unvested restricted stock units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4,956,997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5,030,207</w:t>
            </w:r>
          </w:p>
        </w:tc>
      </w:tr>
      <w:tr>
        <w:trPr/>
        <w:tc>
          <w:tcPr>
            <w:tcW w:w="5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Issuable common shares and performance-vesting restricted stock units</w:t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4,572,193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4,572,193</w:t>
            </w:r>
          </w:p>
        </w:tc>
      </w:tr>
      <w:tr>
        <w:trPr/>
        <w:tc>
          <w:tcPr>
            <w:tcW w:w="5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Weighted-average common shares outstanding</w:t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357,772,352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367,301,542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358,478,614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368,081,014</w:t>
            </w:r>
          </w:p>
        </w:tc>
      </w:tr>
    </w:tbl>
    <w:tbl>
      <w:tblPr>
        <w:tblW w:w="95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61"/>
        <w:gridCol w:w="1006"/>
        <w:gridCol w:w="109"/>
        <w:gridCol w:w="1006"/>
        <w:gridCol w:w="109"/>
        <w:gridCol w:w="1006"/>
        <w:gridCol w:w="109"/>
        <w:gridCol w:w="1051"/>
      </w:tblGrid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2025</w:t>
            </w:r>
          </w:p>
        </w:tc>
      </w:tr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</w:tr>
      <w:tr>
        <w:trPr/>
        <w:tc>
          <w:tcPr>
            <w:tcW w:w="5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Carlyle Group Inc. weighted-average common shares outstanding</w:t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360,359,241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360,359,241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359,914,229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359,914,229</w:t>
            </w:r>
          </w:p>
        </w:tc>
      </w:tr>
      <w:tr>
        <w:trPr/>
        <w:tc>
          <w:tcPr>
            <w:tcW w:w="5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Unvested restricted stock units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5,917,596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6,049,928</w:t>
            </w:r>
          </w:p>
        </w:tc>
      </w:tr>
      <w:tr>
        <w:trPr/>
        <w:tc>
          <w:tcPr>
            <w:tcW w:w="5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Issuable common shares and performance-vesting restricted stock units</w:t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690,360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690,360</w:t>
            </w:r>
          </w:p>
        </w:tc>
      </w:tr>
      <w:tr>
        <w:trPr/>
        <w:tc>
          <w:tcPr>
            <w:tcW w:w="5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Weighted-average common shares outstanding</w:t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360,359,241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366,967,197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359,914,229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366,654,517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applies the treasury stock method to determine the dilutive weighted-average common shares represented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by the unvested restricted stock units. Also included in the determination of dilutive weighted-average common shares are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issuable common shares associated with the Company’s investment in NGP and performance-vesting restricted stock units.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12. Equity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 Repurchase Program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Board of Directors reset the total repurchase authorization of the Company’s previously approved share repurchase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program to $2.0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shares of the Company’s common stock, effective as of February 26, 2026. Under the share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repurchase program, shares of the Company’s common stock may be repurchased from time to time in open market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transactions, in privately negotiated transactions, or otherwise, including through Rule 10b5-1 plans. The timing and actual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number of shares of common stock repurchased will depend on a variety of factors, including legal requirements and price,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economic, and market conditions. In addition to repurchases of common stock, the share repurchase program is used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payment of tax withholding amounts upon net share settlement of equity-based awards granted pursuant to our Equity Incentive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Plan or otherwise based on the value of shares withheld that would have otherwise been issued to the award holder. The share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repurchase program may be suspended or discontinued at any time and does not have a specified expiration date. As of June 30,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2026, $1.6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repurchase capacity remained under the program, which reflects both common shares repurchased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retired in connection with the net share settlement of equity-based awards. The following table presents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that have been repurchased or retired as a result of net share settlement of equity-based awards during the three and six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 Dollar amounts exclude the impact of excise taxes.</w:t>
      </w:r>
    </w:p>
    <w:tbl>
      <w:tblPr>
        <w:tblW w:w="917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01"/>
        <w:gridCol w:w="826"/>
        <w:gridCol w:w="601"/>
        <w:gridCol w:w="109"/>
        <w:gridCol w:w="826"/>
        <w:gridCol w:w="601"/>
        <w:gridCol w:w="109"/>
        <w:gridCol w:w="916"/>
        <w:gridCol w:w="601"/>
        <w:gridCol w:w="109"/>
        <w:gridCol w:w="826"/>
        <w:gridCol w:w="646"/>
      </w:tblGrid>
      <w:tr>
        <w:trPr/>
        <w:tc>
          <w:tcPr>
            <w:tcW w:w="3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63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98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3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gridSpan w:val="2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gridSpan w:val="2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7" w:type="dxa"/>
            <w:gridSpan w:val="2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2" w:type="dxa"/>
            <w:gridSpan w:val="2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Shares</w:t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Shares</w:t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Shares</w:t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Shares</w:t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</w:tr>
      <w:tr>
        <w:trPr/>
        <w:tc>
          <w:tcPr>
            <w:tcW w:w="3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0" w:type="dxa"/>
            <w:gridSpan w:val="11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millions, except share data)</w:t>
            </w:r>
          </w:p>
        </w:tc>
      </w:tr>
      <w:tr>
        <w:trPr/>
        <w:tc>
          <w:tcPr>
            <w:tcW w:w="30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Shares repurchased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6,585,389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2,173,966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7,917,242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2,667,747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$125.0</w:t>
            </w:r>
          </w:p>
        </w:tc>
      </w:tr>
      <w:tr>
        <w:trPr/>
        <w:tc>
          <w:tcPr>
            <w:tcW w:w="30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Shares retired in connection with the net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share settlement of equity-based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awards</w:t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82,213</w:t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92,001</w:t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2,552,050</w:t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143.9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2,927,355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155.1</w:t>
            </w:r>
          </w:p>
        </w:tc>
      </w:tr>
      <w:tr>
        <w:trPr/>
        <w:tc>
          <w:tcPr>
            <w:tcW w:w="30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6,667,602</w:t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$304.1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2,265,967</w:t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10,469,292</w:t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$508.9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5,595,102</w:t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$280.1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Dividends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table below presents information regarding the quarterly dividends on the common shares, which were made 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sole discretion of the Board of Directors of the Company. </w:t>
      </w:r>
    </w:p>
    <w:tbl>
      <w:tblPr>
        <w:tblW w:w="80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81"/>
        <w:gridCol w:w="109"/>
        <w:gridCol w:w="1936"/>
        <w:gridCol w:w="109"/>
        <w:gridCol w:w="1921"/>
        <w:gridCol w:w="109"/>
        <w:gridCol w:w="1861"/>
      </w:tblGrid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Dividend Record Date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Dividend Payment Date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Dividend per Common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Dividend to Common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Stockholders</w:t>
            </w:r>
          </w:p>
        </w:tc>
      </w:tr>
      <w:tr>
        <w:trPr/>
        <w:tc>
          <w:tcPr>
            <w:tcW w:w="198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9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millions, except per share data)</w:t>
            </w:r>
          </w:p>
        </w:tc>
      </w:tr>
      <w:tr>
        <w:trPr/>
        <w:tc>
          <w:tcPr>
            <w:tcW w:w="1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May 19, 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May 27, 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$0.35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$126.3</w:t>
            </w:r>
          </w:p>
        </w:tc>
      </w:tr>
      <w:tr>
        <w:trPr/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August 18, 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August 28, 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126.5</w:t>
            </w:r>
          </w:p>
        </w:tc>
      </w:tr>
      <w:tr>
        <w:trPr/>
        <w:tc>
          <w:tcPr>
            <w:tcW w:w="1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November 10, 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November 19, 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125.9</w:t>
            </w:r>
          </w:p>
        </w:tc>
      </w:tr>
      <w:tr>
        <w:trPr/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February 16, 2026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February 20, 2026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126.4</w:t>
            </w:r>
          </w:p>
        </w:tc>
      </w:tr>
      <w:tr>
        <w:trPr/>
        <w:tc>
          <w:tcPr>
            <w:tcW w:w="1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2025 Dividend Year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$1.40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$505.1</w:t>
            </w:r>
          </w:p>
        </w:tc>
      </w:tr>
      <w:tr>
        <w:trPr/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May 18, 2026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May 28, 2026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$0.35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$125.7</w:t>
            </w:r>
          </w:p>
        </w:tc>
      </w:tr>
      <w:tr>
        <w:trPr/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August 17, 2026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August 26, 2026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124.7</w:t>
            </w:r>
          </w:p>
        </w:tc>
      </w:tr>
      <w:tr>
        <w:trPr/>
        <w:tc>
          <w:tcPr>
            <w:tcW w:w="4026" w:type="dxa"/>
            <w:gridSpan w:val="3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2026 Dividend Year (through Q2 2026)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$250.4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Board of Directors will take into account general economic and business conditions, as well as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strategic plans and prospects, business and investment opportunities, financial condition and obligations, legal, tax,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regulatory restrictions, other constraints on the payment of dividends by the Company to its common stockholders or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subsidiaries to the Company, and other such factors as the Board of Directors may deem relevant. In addition, the terms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Company’s credit facility provide certain limits on the Company’s ability to pay dividends.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13. Equity-Based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Carlyle Group Inc. Amended and Restated 2012 Equity Incentive Plan (the “Equity Incentive Plan,” initially adopted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May 2012 and as most recently amended and restated on June 3, 2026) is a source of equity-based awards permitting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to grant to Carlyle employees, directors and consultants non-qualified options, share appreciation rights, common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shares, restricted stock units and other awards based on the Company’s shares of common stock. A total of 77,800,000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 are authorized for the grant of awards under the Equity Incentive Plan, of which a total of 35,738,646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common stock remain available for grant as of June 30, 2026.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summary of the status of the Company’s unvested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equity-based awards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a summary of changes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six months ended June 30, 2026, are presented below:</w:t>
      </w:r>
    </w:p>
    <w:tbl>
      <w:tblPr>
        <w:tblW w:w="85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61"/>
        <w:gridCol w:w="1141"/>
        <w:gridCol w:w="109"/>
        <w:gridCol w:w="976"/>
        <w:gridCol w:w="109"/>
        <w:gridCol w:w="916"/>
        <w:gridCol w:w="109"/>
        <w:gridCol w:w="976"/>
        <w:gridCol w:w="109"/>
        <w:gridCol w:w="826"/>
        <w:gridCol w:w="109"/>
        <w:gridCol w:w="1021"/>
      </w:tblGrid>
      <w:tr>
        <w:trPr/>
        <w:tc>
          <w:tcPr>
            <w:tcW w:w="2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Unvested Shares</w:t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Vesting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Restricted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 Units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Weighted-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Grant Date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Fair Value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Restricted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Units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Weighted-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Grant Date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Fair Value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Unvested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Weighted-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Grant Date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Fair Value</w:t>
            </w:r>
          </w:p>
        </w:tc>
      </w:tr>
      <w:tr>
        <w:trPr/>
        <w:tc>
          <w:tcPr>
            <w:tcW w:w="21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December 31, 2025</w:t>
            </w:r>
          </w:p>
        </w:tc>
        <w:tc>
          <w:tcPr>
            <w:tcW w:w="11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14,214,568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$28.63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11,339,034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$47.36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397,838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$46.04</w:t>
            </w:r>
          </w:p>
        </w:tc>
      </w:tr>
      <w:tr>
        <w:trPr/>
        <w:tc>
          <w:tcPr>
            <w:tcW w:w="2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Granted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68,423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$48.81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6,723,596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$57.43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126,507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$61.32</w:t>
            </w:r>
          </w:p>
        </w:tc>
      </w:tr>
      <w:tr>
        <w:trPr/>
        <w:tc>
          <w:tcPr>
            <w:tcW w:w="2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Vested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5,189,824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$26.17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1,294,483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$47.08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Forfeited</w:t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136,536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$48.75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June 30, 2026</w:t>
            </w:r>
          </w:p>
        </w:tc>
        <w:tc>
          <w:tcPr>
            <w:tcW w:w="114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9,093,167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$30.18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16,631,611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$51.44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524,345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$49.73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(1)Includes shares reserved for issuance upon settlement of dividend-equivalent rights carried by certain restricted stock units concurrently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the settlement of the restricted stock units for shares.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(2)Includes 2,552,050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shares that were retired in connection with the net share settlement of equity-based awards. The Company paid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$143.9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taxes related to the net share settlement of equity-based awards during the six months ended June 30, 2026, which is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included within financing activities in the condensed consolidated statements of cash flows.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 recorded equity-based compensation expense, net of forfeitures, for restricted stock units of $116.0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$92.9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 months ended June 30, 2026 and 2025, respectively, with $15.5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$18.1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corresponding deferred tax benefits, respectively. The Company recorded equity-based compensation expense, net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forfeitures, for restricted stock units of $235.8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$196.4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ended June 30, 2026 and 2025,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respectively, with $33.1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$36.7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corresponding deferred tax benefits, respectively. As of June 30, 2026,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total unrecognized equity-based compensation expense related to unvested restricted stock units was $658.7 million, which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expected to be recognized over a weighted-average term of 2.4 years.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14. Segment Reporting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Carlyle conducts its operations through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reportable segments: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Global Private Equity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Global Private Equity segment advises buyout, growth, real estate, and infrastructure &amp;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natural resources funds. The segment also includes the NGP Carry Funds advised by NGP.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Global Credit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Global Credit segment advises funds and vehicles that pursue investment strategies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insurance solutions, liquid credit, opportunistic credit, direct lending, asset-backed finance, aviation finance,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infrastructure credit, cross-platform credit products, and global capital markets.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Carlyle AlpInvest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Carlyle AlpInvest segment advises global private equity programs that pursue secondary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purchases and financing of existing portfolios, managed co-investment programs, and primary fund investments.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reportable business segments are differentiated by their various investment focuses and strategies.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Overhead costs are generally allocated based on cash-based compensation and benefits expense for each segment.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earnings from its investment in NGP are presented in the respective operating captions within the Global Private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Equity segment.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Distributable Earnings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Distributable Earnings, or “DE,” is a key performance benchmark used in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industry and is evaluated regularly by the chief operating decision maker (“CODM”), which is our Chief Executive Officer,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making resource deployment and compensation decisions and in assessing performance of the Company’s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reportable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segments. The CODM also uses DE in budgeting, forecasting, and the overall management of the Company’s segments.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CODM believes that reporting DE is helpful to understanding the Company’s business and that investors should review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same supplemental financial measure that the CODM uses to analyze the Company’s segment performance. DE is intended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show the amount of net realized earnings without the effects of the consolidation of the Consolidated Funds. DE is derived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segment reported results and is used to assess 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Distributable Earnings differs from income (loss) before provision for income taxes computed in accordance with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GAAP in that it includes certain tax expenses associated with certain foreign performance revenues (composed of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allocations and incentive fees), and does not include unrealized performance allocations and related compensation expense,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unrealized principal investment income, equity-based compensation expense, net income (loss) attributable to non-Carlyle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interests in consolidated entities, or charges (credits) related to Carlyle corporate actions and non-recurring items that affect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period-to-period comparability and are not reflective of the Company’s operational performance. Charges (credits) related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Carlyle corporate actions and non-recurring items include: charges associated with the Conversion, charges (credits) associated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 acquisitions, dispositions or strategic investments, changes in the tax receivable agreement liability, amortization and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impairment charges associated with acquired intangible assets, transaction costs associated with acquisitions and dispositions,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charges associated with earn-outs and contingent consideration including gains and losses associated with the estimated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value of contingent considerations issued in conjunction with acquisitions or strategic investments, impairment charges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associated with lease right-of-use assets, gains and losses from the retirement of debt, charges associated with contract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terminations and employee severance, and non-recurring items that affect period-to-period comparability and are not reflective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Company’s operating performance. Management believes the inclusion or exclusion of these items provides investors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a meaningful indication of the Company’s core operating performance.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Fee Related Earnings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Fee Related Earnings, or “FRE,” is a component of DE and is used to assess the ability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business to cover base compensation and operating expenses from total fee revenues. FRE adjusts DE to exclude net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 revenues, realized principal investment income, and net interest (interest income less interest expense). Fee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Related Earnings includes fee related performance revenues and related compensation expense. Fee related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revenues represent the realized portion of performance revenues that are measured and received on a recurring basis,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dependent on realization events, and which have no risk of giveback.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Asset information by segment is not disclosed because this information is not used by the CODM to make resource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deployment decisions or evaluate the performance of the Company’s segments.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present the financial data for the Company’s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reportable segments for the three and six months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June 30, 2026:</w:t>
      </w:r>
    </w:p>
    <w:tbl>
      <w:tblPr>
        <w:tblW w:w="70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16"/>
        <w:gridCol w:w="646"/>
        <w:gridCol w:w="109"/>
        <w:gridCol w:w="616"/>
        <w:gridCol w:w="109"/>
        <w:gridCol w:w="871"/>
        <w:gridCol w:w="109"/>
        <w:gridCol w:w="691"/>
      </w:tblGrid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2026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Private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Credit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Carlyle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AlpInvest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level fee revenues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$283.4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$148.6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$128.1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$560.1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Portfolio advisory and transaction fees, net and other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110.5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performance revenues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88.7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fund level fee revenues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304.3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294.8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160.2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759.3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251.5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314.8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principal investment income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22.6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15.5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566.7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363.4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182.1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1,112.2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Expenses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108.3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266.3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 related compensation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159.0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200.2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267.3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466.5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General, administrative, and other indirect expenses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120.1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 expense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15.2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38.1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639.9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Distributable Earnings</w:t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$158.0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$95.8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$472.3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(-) Realized net performance revenues</w:t>
            </w:r>
          </w:p>
        </w:tc>
        <w:tc>
          <w:tcPr>
            <w:tcW w:w="64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114.6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(-) Realized principal investment income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22.6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(+) Net interest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22.6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Fee Related Earnings</w:t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$357.7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71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16"/>
        <w:gridCol w:w="646"/>
        <w:gridCol w:w="109"/>
        <w:gridCol w:w="616"/>
        <w:gridCol w:w="109"/>
        <w:gridCol w:w="871"/>
        <w:gridCol w:w="109"/>
        <w:gridCol w:w="781"/>
      </w:tblGrid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4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2026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Private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Credit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Carlyle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AlpInvest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41" w:type="dxa"/>
            <w:gridSpan w:val="7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level fee revenues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$295.9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$1,104.6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Portfolio advisory and transaction fees, net and other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139.8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164.6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performance revenues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85.7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134.1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fund level fee revenues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521.4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284.4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1,403.3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281.2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376.6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principal investment income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32.4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908.4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617.2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1,863.1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Expenses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199.6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205.2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484.8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 related compensation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178.8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241.5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726.3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General, administrative, and other indirect expenses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108.4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229.7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 expense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31.1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76.7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162.8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1,063.8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Distributable Earnings</w:t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$368.4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$256.2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$174.7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$799.3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(-) Realized net performance revenues</w:t>
            </w:r>
          </w:p>
        </w:tc>
        <w:tc>
          <w:tcPr>
            <w:tcW w:w="64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135.1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(-) Realized principal investment income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(+) Net interest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44.3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Fee Related Earnings</w:t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$273.2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$230.5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$154.0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$657.7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(1)General, administrative, and other indirect expenses primarily comprised professional fees, rent and other office expenses, IT expenses, travel and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entertainment expenses, and fundraising costs.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present the financial data for the Company’s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reportable segments for the three and six months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June 30, 2025:</w:t>
      </w:r>
    </w:p>
    <w:tbl>
      <w:tblPr>
        <w:tblW w:w="70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16"/>
        <w:gridCol w:w="646"/>
        <w:gridCol w:w="109"/>
        <w:gridCol w:w="616"/>
        <w:gridCol w:w="109"/>
        <w:gridCol w:w="871"/>
        <w:gridCol w:w="109"/>
        <w:gridCol w:w="646"/>
      </w:tblGrid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6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2025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Private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Credit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Carlyle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AlpInvest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6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level fee revenues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$302.4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$170.0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$589.6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Portfolio advisory and transaction fees, net and other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47.9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performance revenues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38.7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fund level fee revenues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309.3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239.6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127.3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676.2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259.8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principal investment income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33.5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14.5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571.9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263.7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148.4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984.0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Expenses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233.8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 related compensation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172.1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269.3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405.9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General, administrative, and other indirect expenses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106.3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 expense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12.8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28.0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142.8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553.0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Distributable Earnings</w:t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$231.9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$78.2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$431.0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(-) Realized net performance revenues</w:t>
            </w:r>
          </w:p>
        </w:tc>
        <w:tc>
          <w:tcPr>
            <w:tcW w:w="64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87.7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(-) Realized Principal Investment Income (Loss)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33.5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(+) Net interest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13.5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Fee Related Earnings</w:t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$111.4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$323.3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71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16"/>
        <w:gridCol w:w="646"/>
        <w:gridCol w:w="109"/>
        <w:gridCol w:w="616"/>
        <w:gridCol w:w="109"/>
        <w:gridCol w:w="871"/>
        <w:gridCol w:w="109"/>
        <w:gridCol w:w="781"/>
      </w:tblGrid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24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2025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Private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Credit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Carlyle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AlpInvest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24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level fee revenues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$585.4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$309.6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$1,115.1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Portfolio advisory and transaction fees, net and other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104.4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125.8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performance revenues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78.2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fund level fee revenues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471.4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1,319.1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561.8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614.9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principal investment income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63.5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29.7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1,207.6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521.3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2,027.2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Expenses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209.1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457.8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 related compensation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361.3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399.8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570.4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99.0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857.6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General, administrative, and other indirect expenses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99.0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201.9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 expense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25.5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55.8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289.9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1,140.8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Distributable Earnings</w:t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$231.4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$886.4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(-) Realized net performance revenues</w:t>
            </w:r>
          </w:p>
        </w:tc>
        <w:tc>
          <w:tcPr>
            <w:tcW w:w="64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200.5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215.1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(-) Realized principal investment income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63.5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(+) Net interest</w:t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26.1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Fee Related Earnings</w:t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$284.8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$215.3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$133.8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$633.9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(1)General, administrative, and other indirect expenses primarily comprised professional fees, rent and other office expenses, IT expenses, travel and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entertainment expenses, and fundraising costs.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tables reconcile the Total Segments to the Company’s Income (Loss) Before Provision for Taxes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 and 2025.</w:t>
      </w:r>
    </w:p>
    <w:tbl>
      <w:tblPr>
        <w:tblW w:w="69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11"/>
        <w:gridCol w:w="1006"/>
        <w:gridCol w:w="109"/>
        <w:gridCol w:w="1171"/>
        <w:gridCol w:w="109"/>
        <w:gridCol w:w="1036"/>
        <w:gridCol w:w="109"/>
        <w:gridCol w:w="376"/>
        <w:gridCol w:w="109"/>
        <w:gridCol w:w="1171"/>
      </w:tblGrid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196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2026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Reportable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Reconciling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Items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vMerge w:val="restart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Carlyle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6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vMerge w:val="continue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196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7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$1,112.2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$(181.2)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(a) 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$1,123.5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$639.9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$193.7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$42.3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(b) 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$875.9</w:t>
            </w:r>
          </w:p>
        </w:tc>
      </w:tr>
      <w:tr>
        <w:trPr/>
        <w:tc>
          <w:tcPr>
            <w:tcW w:w="17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 (loss)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$26.2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(c) 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$26.2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$472.3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$(223.5)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(d) 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$273.8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68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11"/>
        <w:gridCol w:w="1006"/>
        <w:gridCol w:w="109"/>
        <w:gridCol w:w="1171"/>
        <w:gridCol w:w="109"/>
        <w:gridCol w:w="1036"/>
        <w:gridCol w:w="109"/>
        <w:gridCol w:w="361"/>
        <w:gridCol w:w="109"/>
        <w:gridCol w:w="1171"/>
      </w:tblGrid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181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2025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Reportable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Reconciling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Items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Carlyle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6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181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7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$984.0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$425.9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(a) 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$1,572.9</w:t>
            </w:r>
          </w:p>
        </w:tc>
      </w:tr>
      <w:tr>
        <w:trPr/>
        <w:tc>
          <w:tcPr>
            <w:tcW w:w="17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$553.0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$178.5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(b) 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$1,179.1</w:t>
            </w:r>
          </w:p>
        </w:tc>
      </w:tr>
      <w:tr>
        <w:trPr/>
        <w:tc>
          <w:tcPr>
            <w:tcW w:w="17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 (loss)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(c) 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$46.8</w:t>
            </w:r>
          </w:p>
        </w:tc>
      </w:tr>
      <w:tr>
        <w:trPr/>
        <w:tc>
          <w:tcPr>
            <w:tcW w:w="17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$431.0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$(21.7)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(d) 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$440.6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tables reconcile the Total Segments to the Company’s Income (Loss) Before Provision for Taxes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 and 2025.</w:t>
      </w:r>
    </w:p>
    <w:tbl>
      <w:tblPr>
        <w:tblW w:w="69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11"/>
        <w:gridCol w:w="1006"/>
        <w:gridCol w:w="109"/>
        <w:gridCol w:w="1171"/>
        <w:gridCol w:w="109"/>
        <w:gridCol w:w="1036"/>
        <w:gridCol w:w="109"/>
        <w:gridCol w:w="376"/>
        <w:gridCol w:w="109"/>
        <w:gridCol w:w="1171"/>
      </w:tblGrid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bookmarkStart w:id="1" w:name="ib1c1b2dccb22486fb9717f6113669e2c_0-0-1-"/>
            <w:bookmarkEnd w:id="1"/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196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2026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Reportable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Reconciling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Items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vMerge w:val="restart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Carlyle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6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vMerge w:val="continue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196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7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$1,863.1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$(857.8)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(a) 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$1,377.5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$1,063.8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$372.0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$(191.3)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(b) 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$1,244.5</w:t>
            </w:r>
          </w:p>
        </w:tc>
      </w:tr>
      <w:tr>
        <w:trPr/>
        <w:tc>
          <w:tcPr>
            <w:tcW w:w="17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 (loss)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$(38.2)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(c) 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$(38.2)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$799.3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$(38.0)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$(666.5)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(d) 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$94.8</w:t>
            </w:r>
          </w:p>
        </w:tc>
      </w:tr>
    </w:tbl>
    <w:tbl>
      <w:tblPr>
        <w:tblW w:w="68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11"/>
        <w:gridCol w:w="1006"/>
        <w:gridCol w:w="109"/>
        <w:gridCol w:w="1171"/>
        <w:gridCol w:w="109"/>
        <w:gridCol w:w="1036"/>
        <w:gridCol w:w="109"/>
        <w:gridCol w:w="361"/>
        <w:gridCol w:w="109"/>
        <w:gridCol w:w="1171"/>
      </w:tblGrid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181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2025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Reportable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Reconciling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Items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Carlyle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6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continue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181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7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$2,027.2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$222.4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(a) 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$2,546.0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$1,140.8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$309.3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$537.2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(b)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$1,987.3</w:t>
            </w:r>
          </w:p>
        </w:tc>
      </w:tr>
      <w:tr>
        <w:trPr/>
        <w:tc>
          <w:tcPr>
            <w:tcW w:w="17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 (loss)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$52.9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(c) 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$52.9</w:t>
            </w:r>
          </w:p>
        </w:tc>
      </w:tr>
      <w:tr>
        <w:trPr/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$886.4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$40.0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$(314.8)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(d)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$611.6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(a)The Revenues adjustment principally represents unrealized performance revenues, unrealized principal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income (loss) (including Fortitude), revenues earned from the Consolidated Funds which were eliminated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consolidation to arrive at the Company’s total revenues, adjustments for amounts attributable to non-controlling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interests in consolidated entities, adjustments related to expenses associated with the investments in NGP 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its affiliates that are included in operating captions or are excluded from the segment results, and adjustments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reflect the reimbursement of certain costs incurred on behalf of Carlyle funds on a net basis, as detailed below:</w:t>
      </w:r>
    </w:p>
    <w:tbl>
      <w:tblPr>
        <w:tblW w:w="885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1"/>
        <w:gridCol w:w="884"/>
        <w:gridCol w:w="133"/>
        <w:gridCol w:w="737"/>
        <w:gridCol w:w="109"/>
        <w:gridCol w:w="761"/>
        <w:gridCol w:w="115"/>
        <w:gridCol w:w="714"/>
      </w:tblGrid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8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1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3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4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 performance and fee related performance revenues</w:t>
            </w:r>
          </w:p>
        </w:tc>
        <w:tc>
          <w:tcPr>
            <w:tcW w:w="8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$(200.6)</w:t>
            </w:r>
          </w:p>
        </w:tc>
        <w:tc>
          <w:tcPr>
            <w:tcW w:w="1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$331.0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$(870.0)</w:t>
            </w:r>
          </w:p>
        </w:tc>
        <w:tc>
          <w:tcPr>
            <w:tcW w:w="1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$133.7</w:t>
            </w:r>
          </w:p>
        </w:tc>
      </w:tr>
      <w:tr>
        <w:trPr/>
        <w:tc>
          <w:tcPr>
            <w:tcW w:w="54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 principal investment income (loss)</w:t>
            </w:r>
          </w:p>
        </w:tc>
        <w:tc>
          <w:tcPr>
            <w:tcW w:w="88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(50.8)</w:t>
            </w:r>
          </w:p>
        </w:tc>
        <w:tc>
          <w:tcPr>
            <w:tcW w:w="1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(119.1)</w:t>
            </w:r>
          </w:p>
        </w:tc>
        <w:tc>
          <w:tcPr>
            <w:tcW w:w="1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42.5</w:t>
            </w:r>
          </w:p>
        </w:tc>
      </w:tr>
      <w:tr>
        <w:trPr/>
        <w:tc>
          <w:tcPr>
            <w:tcW w:w="54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Adjustments related to expenses associated with investments in NGP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Management and its affiliates</w:t>
            </w:r>
          </w:p>
        </w:tc>
        <w:tc>
          <w:tcPr>
            <w:tcW w:w="8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(11.2)</w:t>
            </w:r>
          </w:p>
        </w:tc>
        <w:tc>
          <w:tcPr>
            <w:tcW w:w="1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(22.8)</w:t>
            </w:r>
          </w:p>
        </w:tc>
        <w:tc>
          <w:tcPr>
            <w:tcW w:w="1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(108.5)</w:t>
            </w:r>
          </w:p>
        </w:tc>
      </w:tr>
      <w:tr>
        <w:trPr/>
        <w:tc>
          <w:tcPr>
            <w:tcW w:w="54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Non-controlling interests and other adjustments to present certain costs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 net basis</w:t>
            </w:r>
          </w:p>
        </w:tc>
        <w:tc>
          <w:tcPr>
            <w:tcW w:w="88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77.5</w:t>
            </w:r>
          </w:p>
        </w:tc>
        <w:tc>
          <w:tcPr>
            <w:tcW w:w="1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101.5</w:t>
            </w:r>
          </w:p>
        </w:tc>
        <w:tc>
          <w:tcPr>
            <w:tcW w:w="1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197.8</w:t>
            </w:r>
          </w:p>
        </w:tc>
      </w:tr>
      <w:tr>
        <w:trPr/>
        <w:tc>
          <w:tcPr>
            <w:tcW w:w="54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 of revenues of Consolidated Funds</w:t>
            </w:r>
          </w:p>
        </w:tc>
        <w:tc>
          <w:tcPr>
            <w:tcW w:w="88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3.9</w:t>
            </w:r>
          </w:p>
        </w:tc>
        <w:tc>
          <w:tcPr>
            <w:tcW w:w="1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52.6</w:t>
            </w:r>
          </w:p>
        </w:tc>
        <w:tc>
          <w:tcPr>
            <w:tcW w:w="1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(43.1)</w:t>
            </w:r>
          </w:p>
        </w:tc>
      </w:tr>
      <w:tr>
        <w:trPr/>
        <w:tc>
          <w:tcPr>
            <w:tcW w:w="54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$(181.2)</w:t>
            </w:r>
          </w:p>
        </w:tc>
        <w:tc>
          <w:tcPr>
            <w:tcW w:w="1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$425.9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$(857.8)</w:t>
            </w:r>
          </w:p>
        </w:tc>
        <w:tc>
          <w:tcPr>
            <w:tcW w:w="1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$222.4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reconciles the total segments fund level fee revenue to the most directly comparable U.S. GAAP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measure, the Company’s consolidated fund management fees, for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2025.</w:t>
      </w:r>
    </w:p>
    <w:tbl>
      <w:tblPr>
        <w:tblW w:w="73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56"/>
        <w:gridCol w:w="826"/>
        <w:gridCol w:w="142"/>
        <w:gridCol w:w="786"/>
        <w:gridCol w:w="109"/>
        <w:gridCol w:w="736"/>
        <w:gridCol w:w="109"/>
        <w:gridCol w:w="781"/>
      </w:tblGrid>
      <w:tr>
        <w:trPr/>
        <w:tc>
          <w:tcPr>
            <w:tcW w:w="3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9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Reportable Segments - Fund level fee revenues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$759.3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$676.2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$1,403.3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$1,319.1</w:t>
            </w:r>
          </w:p>
        </w:tc>
      </w:tr>
      <w:tr>
        <w:trPr/>
        <w:tc>
          <w:tcPr>
            <w:tcW w:w="3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Adjustments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(102.3)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(55.8)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(162.3)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(112.6)</w:t>
            </w:r>
          </w:p>
        </w:tc>
      </w:tr>
      <w:tr>
        <w:trPr/>
        <w:tc>
          <w:tcPr>
            <w:tcW w:w="3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Consolidated - Fund management fees</w:t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$657.0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$620.4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$1,241.0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$1,206.5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(1)Adjustments represent the reclassification of NGP management fees from principal investment income,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reclassification of fee related performance revenues from certain products, management fees earned from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Consolidated Funds which were eliminated in consolidation to arrive at the Company’s fund management fees,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the reclassification of certain amounts included in portfolio advisory fees, net and other in the segment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results that are included in interest and other income in the U.S. GAAP results.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reconciles the total segments transaction and portfolio advisory fees, net and other to the most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directly comparable U.S. GAAP measure, the Company’s consolidated transaction and portfolio advisory fees, net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</w:t>
      </w:r>
    </w:p>
    <w:tbl>
      <w:tblPr>
        <w:tblW w:w="870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51"/>
        <w:gridCol w:w="864"/>
        <w:gridCol w:w="156"/>
        <w:gridCol w:w="734"/>
        <w:gridCol w:w="109"/>
        <w:gridCol w:w="705"/>
        <w:gridCol w:w="127"/>
        <w:gridCol w:w="757"/>
      </w:tblGrid>
      <w:tr>
        <w:trPr/>
        <w:tc>
          <w:tcPr>
            <w:tcW w:w="5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2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Reportable Segments - Portfolio advisory and transaction fees, net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other</w:t>
            </w:r>
          </w:p>
        </w:tc>
        <w:tc>
          <w:tcPr>
            <w:tcW w:w="8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$110.5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$164.6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$125.8</w:t>
            </w:r>
          </w:p>
        </w:tc>
      </w:tr>
      <w:tr>
        <w:trPr/>
        <w:tc>
          <w:tcPr>
            <w:tcW w:w="52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Adjustments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86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(2.0)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(6.8)</w:t>
            </w:r>
          </w:p>
        </w:tc>
        <w:tc>
          <w:tcPr>
            <w:tcW w:w="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(3.3)</w:t>
            </w:r>
          </w:p>
        </w:tc>
      </w:tr>
      <w:tr>
        <w:trPr/>
        <w:tc>
          <w:tcPr>
            <w:tcW w:w="5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Consolidated - Portfolio advisory and transaction fees, net</w:t>
            </w:r>
          </w:p>
        </w:tc>
        <w:tc>
          <w:tcPr>
            <w:tcW w:w="86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$108.5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$45.8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$157.8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$122.5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(1)Adjustments represent the reclassification of other income from Interest and other income in the U.S. GAAP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results and certain underwriting fees from Principal investment income.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(b)The Expenses adjustment represents the elimination of intercompany expenses of the Consolidated Funds payable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Company, the inclusion of equity-based compensation, certain tax expenses associated with realized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revenues related compensation, unrealized performance revenues related compensation, adjustments related to expenses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associated with the investment in NGP Management that are included in operating captions, adjustments to reflect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reimbursement of certain costs incurred on behalf of Carlyle funds on a net basis, changes in the tax receivable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agreement liability, and charges and credits associated with Carlyle corporate actions and non-recurring items,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detailed below: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89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1"/>
        <w:gridCol w:w="907"/>
        <w:gridCol w:w="137"/>
        <w:gridCol w:w="756"/>
        <w:gridCol w:w="109"/>
        <w:gridCol w:w="799"/>
        <w:gridCol w:w="120"/>
        <w:gridCol w:w="716"/>
      </w:tblGrid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Six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4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4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Unrealized performance and fee related performance revenue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expense</w:t>
            </w:r>
          </w:p>
        </w:tc>
        <w:tc>
          <w:tcPr>
            <w:tcW w:w="9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$(129.5)</w:t>
            </w:r>
          </w:p>
        </w:tc>
        <w:tc>
          <w:tcPr>
            <w:tcW w:w="1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$206.7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$(544.4)</w:t>
            </w:r>
          </w:p>
        </w:tc>
        <w:tc>
          <w:tcPr>
            <w:tcW w:w="1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$99.4</w:t>
            </w:r>
          </w:p>
        </w:tc>
      </w:tr>
      <w:tr>
        <w:trPr/>
        <w:tc>
          <w:tcPr>
            <w:tcW w:w="54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Equity-based compensation</w:t>
            </w:r>
          </w:p>
        </w:tc>
        <w:tc>
          <w:tcPr>
            <w:tcW w:w="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117.0</w:t>
            </w:r>
          </w:p>
        </w:tc>
        <w:tc>
          <w:tcPr>
            <w:tcW w:w="1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96.4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238.8</w:t>
            </w:r>
          </w:p>
        </w:tc>
        <w:tc>
          <w:tcPr>
            <w:tcW w:w="1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201.1</w:t>
            </w:r>
          </w:p>
        </w:tc>
      </w:tr>
      <w:tr>
        <w:trPr/>
        <w:tc>
          <w:tcPr>
            <w:tcW w:w="54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Acquisition or disposition-related charges and amortization of intangibles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impairment</w:t>
            </w:r>
          </w:p>
        </w:tc>
        <w:tc>
          <w:tcPr>
            <w:tcW w:w="9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44.9</w:t>
            </w:r>
          </w:p>
        </w:tc>
        <w:tc>
          <w:tcPr>
            <w:tcW w:w="1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91.3</w:t>
            </w:r>
          </w:p>
        </w:tc>
        <w:tc>
          <w:tcPr>
            <w:tcW w:w="1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170.5</w:t>
            </w:r>
          </w:p>
        </w:tc>
      </w:tr>
      <w:tr>
        <w:trPr/>
        <w:tc>
          <w:tcPr>
            <w:tcW w:w="54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Tax (expense) benefit associated with certain foreign 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 related compensation</w:t>
            </w:r>
          </w:p>
        </w:tc>
        <w:tc>
          <w:tcPr>
            <w:tcW w:w="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(0.3)</w:t>
            </w:r>
          </w:p>
        </w:tc>
        <w:tc>
          <w:tcPr>
            <w:tcW w:w="1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0.4</w:t>
            </w:r>
          </w:p>
        </w:tc>
        <w:tc>
          <w:tcPr>
            <w:tcW w:w="1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</w:tr>
      <w:tr>
        <w:trPr/>
        <w:tc>
          <w:tcPr>
            <w:tcW w:w="54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Non-controlling interests and other adjustments to present certain costs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 net basis</w:t>
            </w:r>
          </w:p>
        </w:tc>
        <w:tc>
          <w:tcPr>
            <w:tcW w:w="9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37.9</w:t>
            </w:r>
          </w:p>
        </w:tc>
        <w:tc>
          <w:tcPr>
            <w:tcW w:w="1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99.9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57.5</w:t>
            </w:r>
          </w:p>
        </w:tc>
        <w:tc>
          <w:tcPr>
            <w:tcW w:w="1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74.2</w:t>
            </w:r>
          </w:p>
        </w:tc>
      </w:tr>
      <w:tr>
        <w:trPr/>
        <w:tc>
          <w:tcPr>
            <w:tcW w:w="54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adjustments</w:t>
            </w:r>
          </w:p>
        </w:tc>
        <w:tc>
          <w:tcPr>
            <w:tcW w:w="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2.7</w:t>
            </w:r>
          </w:p>
        </w:tc>
        <w:tc>
          <w:tcPr>
            <w:tcW w:w="1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7.3</w:t>
            </w:r>
          </w:p>
        </w:tc>
        <w:tc>
          <w:tcPr>
            <w:tcW w:w="1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17.1</w:t>
            </w:r>
          </w:p>
        </w:tc>
      </w:tr>
      <w:tr>
        <w:trPr/>
        <w:tc>
          <w:tcPr>
            <w:tcW w:w="54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 of expenses of Consolidated Funds</w:t>
            </w:r>
          </w:p>
        </w:tc>
        <w:tc>
          <w:tcPr>
            <w:tcW w:w="90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(30.4)</w:t>
            </w:r>
          </w:p>
        </w:tc>
        <w:tc>
          <w:tcPr>
            <w:tcW w:w="1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(42.2)</w:t>
            </w:r>
          </w:p>
        </w:tc>
        <w:tc>
          <w:tcPr>
            <w:tcW w:w="1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(25.0)</w:t>
            </w:r>
          </w:p>
        </w:tc>
      </w:tr>
      <w:tr>
        <w:trPr/>
        <w:tc>
          <w:tcPr>
            <w:tcW w:w="54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$42.3</w:t>
            </w:r>
          </w:p>
        </w:tc>
        <w:tc>
          <w:tcPr>
            <w:tcW w:w="1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$(191.3)</w:t>
            </w:r>
          </w:p>
        </w:tc>
        <w:tc>
          <w:tcPr>
            <w:tcW w:w="1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$537.2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(c)Represents Other Income (Loss) of Consolidated Funds which are excluded from the Company’s segment reporting.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(d)The following table is a reconciliation of Income Before Provision for Income Taxes to Distributable Earnings and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Fee Related Earnings:</w:t>
      </w:r>
    </w:p>
    <w:tbl>
      <w:tblPr>
        <w:tblW w:w="93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06"/>
        <w:gridCol w:w="807"/>
        <w:gridCol w:w="146"/>
        <w:gridCol w:w="847"/>
        <w:gridCol w:w="109"/>
        <w:gridCol w:w="725"/>
        <w:gridCol w:w="131"/>
        <w:gridCol w:w="779"/>
      </w:tblGrid>
      <w:tr>
        <w:trPr/>
        <w:tc>
          <w:tcPr>
            <w:tcW w:w="5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Six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0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4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before provision for income taxes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$273.8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$440.6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$94.8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$611.6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Adjustments: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unrealized performance and fee related performance revenues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71.1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(124.3)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325.6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(34.3)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 principal investment (income) loss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119.1</w:t>
            </w:r>
          </w:p>
        </w:tc>
        <w:tc>
          <w:tcPr>
            <w:tcW w:w="1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(42.5)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Equity-based compensation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117.0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238.8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201.1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Acquisition or disposition-related charges, including amortization of intangibles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impairment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44.9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91.3</w:t>
            </w:r>
          </w:p>
        </w:tc>
        <w:tc>
          <w:tcPr>
            <w:tcW w:w="1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170.5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Tax (expense) benefit associated with certain foreign performance revenues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(0.3)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0.4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(income) loss attributable to non-controlling interests in consolidated entities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(87.7)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(78.0)</w:t>
            </w:r>
          </w:p>
        </w:tc>
        <w:tc>
          <w:tcPr>
            <w:tcW w:w="1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(37.0)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Other adjustments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80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2.7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7.3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17.1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</w:t>
            </w:r>
          </w:p>
        </w:tc>
        <w:tc>
          <w:tcPr>
            <w:tcW w:w="80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$472.3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$431.0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$799.3</w:t>
            </w:r>
          </w:p>
        </w:tc>
        <w:tc>
          <w:tcPr>
            <w:tcW w:w="1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$886.4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(-) Realized performance revenues, net of related compensation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807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114.6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135.1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215.1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(-) Realized principal investment income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22.6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  <w:tc>
          <w:tcPr>
            <w:tcW w:w="1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63.5</w:t>
            </w:r>
          </w:p>
        </w:tc>
      </w:tr>
      <w:tr>
        <w:trPr/>
        <w:tc>
          <w:tcPr>
            <w:tcW w:w="5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(+) Net interest</w:t>
            </w:r>
          </w:p>
        </w:tc>
        <w:tc>
          <w:tcPr>
            <w:tcW w:w="80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22.6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44.3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26.1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Earnings</w:t>
            </w:r>
          </w:p>
        </w:tc>
        <w:tc>
          <w:tcPr>
            <w:tcW w:w="80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$357.7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$323.3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$657.7</w:t>
            </w:r>
          </w:p>
        </w:tc>
        <w:tc>
          <w:tcPr>
            <w:tcW w:w="1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$633.9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(1)Equity-based compensation included amounts that are presented in principal investment income (loss) and general,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administrative and other expenses in the Company’s condensed consolidated statements of operations.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(2)Includes charges (credits) related to Carlyle corporate actions and non-recurring items that affect period-to-period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comparability and are not reflective of the Company’s operating performance.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(3)See reconciliation to most directly comparable U.S. GAAP measure below: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75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41"/>
        <w:gridCol w:w="1126"/>
        <w:gridCol w:w="109"/>
        <w:gridCol w:w="1321"/>
        <w:gridCol w:w="109"/>
        <w:gridCol w:w="1006"/>
      </w:tblGrid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1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2026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Adjustments</w:t>
            </w:r>
            <w:r>
              <w:rPr>
                <w:caps w:val="false"/>
                <w:smallCaps w:val="false"/>
              </w:rPr>
              <w:t> 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Reportable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1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$270.1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$314.8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 related compensation expense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200.2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performance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$(48.9)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$163.5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$114.6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$69.2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$(46.6)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$22.6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1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2026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Adjustments</w:t>
            </w:r>
            <w:r>
              <w:rPr>
                <w:caps w:val="false"/>
                <w:smallCaps w:val="false"/>
              </w:rPr>
              <w:t> 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Reportable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1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$(636.4)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$1,013.0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$376.6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 related compensation expense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(274.3)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515.8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241.5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performance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$(362.1)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$135.1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$(82.8)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$50.8</w:t>
            </w:r>
          </w:p>
        </w:tc>
      </w:tr>
    </w:tbl>
    <w:tbl>
      <w:tblPr>
        <w:tblW w:w="75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41"/>
        <w:gridCol w:w="1126"/>
        <w:gridCol w:w="109"/>
        <w:gridCol w:w="1321"/>
        <w:gridCol w:w="109"/>
        <w:gridCol w:w="1006"/>
      </w:tblGrid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1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2025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Adjustments</w:t>
            </w:r>
            <w:r>
              <w:rPr>
                <w:caps w:val="false"/>
                <w:smallCaps w:val="false"/>
              </w:rPr>
              <w:t> 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Reportable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1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$(379.0)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$259.8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 related compensation expense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(271.5)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172.1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performance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$195.2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$(107.5)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$87.7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$55.2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$(21.7)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$33.5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1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2025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Adjustments 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Reportable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1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$861.7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$(246.8)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$614.9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 related compensation expense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615.0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(215.2)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399.8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performance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$246.7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$(31.6)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$215.1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$71.4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$63.5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4)  Adjustments to performance revenues and principal investment income (loss) relate to (i) unrealized performance allocations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net of related compensation expense and unrealized principal investment income, which are excluded from the segment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results, (ii) amounts earned from the Consolidated Funds, which are eliminated in the U.S. GAAP consolidation but are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included in the segment results, (iii) amounts attributable to non-controlling interests in consolidated entities, which are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excluded from the segment results, (iv) the reclassification of NGP performance revenues, which are included in principal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investment income in the U.S. GAAP financial statements, (v) the reclassification of fee related performance revenues, which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are included in fund level fee revenues in the segment results, and (vi) the reclassification of tax expenses associated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certain foreign performance revenues. Adjustments to principal investment income (loss) also include the reclassification of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earnings for the investments in NGP Management and its affiliates to the appropriate operating captions for the segment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results, the exclusion of charges associated with the investment in NGP Management and its affiliates from the segment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results and the exclusion of the principal investment loss from dilution of the indirect investment in Fortitude.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15. Subsequent Events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Subsequent events have been evaluated through the date the condensed consolidated financial statements were issued.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There have been no subsequent events that require recognition or disclosure through the date the condensed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statements were issued, except as disclosed below and elsewhere in these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2026, the Company’s Board of Directors declared a quarterly dividend of $0.35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 share of common stock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stockholders of record at the close of business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August 17, 2026, payable on August 26,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16. Supplemental Financial Information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following supplemental financial information illustrates the consolidating effects of the Consolidated Funds on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Company’s financial position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results of operations for the three and six months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2025. The supplemental statement of cash flows is presented without effects of the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Funds.</w:t>
      </w:r>
    </w:p>
    <w:tbl>
      <w:tblPr>
        <w:tblW w:w="97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51"/>
        <w:gridCol w:w="1126"/>
        <w:gridCol w:w="109"/>
        <w:gridCol w:w="1126"/>
        <w:gridCol w:w="109"/>
        <w:gridCol w:w="1081"/>
        <w:gridCol w:w="109"/>
        <w:gridCol w:w="1171"/>
      </w:tblGrid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 2026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Assets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$1,256.5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$1,256.5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 held at Consolidated Funds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784.1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784.1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Investments, including accrued performance allocations of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$6,608.2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11,362.6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(1,131.0)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10,231.6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of Consolidated Funds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13,320.3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13,320.3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from affiliates and other receivables, net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1,482.4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(301.2)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1,181.2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from affiliates and other receivables of Consolidated Funds, net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290.3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290.3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Fixed assets, net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248.3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Lease right-of-use assets, net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320.4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320.4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Deposits and other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91.8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Intangible assets, net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440.9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tax assets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30.2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$15,228.4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$14,399.4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$(1,432.2)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$28,195.6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Liabilities and equity</w:t>
            </w:r>
          </w:p>
        </w:tc>
        <w:tc>
          <w:tcPr>
            <w:tcW w:w="112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Debt obligations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$2,998.8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$2,998.8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Loans payable of Consolidated Funds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11,089.2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(284.8)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10,804.4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Accounts payable, accrued expenses and other liabilities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591.8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591.8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compensation and benefits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5,007.6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5,007.6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to affiliates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235.6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243.0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revenue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135.5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135.5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tax liabilities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16.0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liabilities of Consolidated Funds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643.9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642.8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Lease liabilities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450.5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450.5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giveback obligations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92.4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liabilities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9,528.2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11,740.5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(285.9)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20,982.8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 stock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3.5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Additional paid-in capital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4,557.4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1,174.9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(1,174.9)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4,557.4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Retained earnings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873.8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873.8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Accumulated other comprehensive loss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(243.7)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(192.6)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Non-controlling interests in consolidated entities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509.2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1,461.5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1,970.7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equity</w:t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5,700.2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2,658.9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(1,146.3)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7,212.8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liabilities and equity</w:t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$15,228.4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$14,399.4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$(1,432.2)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$28,195.6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97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51"/>
        <w:gridCol w:w="1126"/>
        <w:gridCol w:w="109"/>
        <w:gridCol w:w="1126"/>
        <w:gridCol w:w="109"/>
        <w:gridCol w:w="1081"/>
        <w:gridCol w:w="109"/>
        <w:gridCol w:w="1171"/>
      </w:tblGrid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December 31, 2025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Assets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$1,970.2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$1,970.2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 held at Consolidated Funds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1,235.1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1,235.1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Investments, including accrued performance allocations of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$7,620.3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12,219.6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(1,066.9)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11,152.7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of Consolidated Funds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12,519.8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12,519.8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from affiliates and other receivables, net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1,135.0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(300.2)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834.8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from affiliates and other receivables of Consolidated Funds, net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206.4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Fixed assets, net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224.9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224.9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Lease right-of-use assets, net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331.9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Deposits and other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100.9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Intangible assets, net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507.1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507.1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tax assets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32.2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$16,519.1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$13,964.0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$(1,367.1)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$29,116.0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Liabilities and equity</w:t>
            </w:r>
          </w:p>
        </w:tc>
        <w:tc>
          <w:tcPr>
            <w:tcW w:w="112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Debt obligations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$2,997.0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$2,997.0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Loans payable of Consolidated Funds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10,712.4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(286.4)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10,426.0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Accounts payable, accrued expenses and other liabilities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543.7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543.7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compensation and benefits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5,849.4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5,849.4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Due to affiliates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197.8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203.9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revenue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129.2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129.2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tax liabilities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106.3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liabilities of Consolidated Funds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1,260.7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1,260.4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Lease liabilities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470.2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470.2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giveback obligations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72.8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72.8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liabilities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10,366.4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11,979.2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(286.7)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22,058.9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 stock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3.6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Additional paid-in capital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4,285.8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1,099.2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(1,099.2)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4,285.8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Retained earnings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1,642.3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1,642.3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Accumulated other comprehensive loss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(213.1)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(170.2)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Non-controlling interests in consolidated entities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434.1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861.5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1,295.6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equity</w:t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6,152.7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1,984.8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(1,080.4)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7,057.1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liabilities and equity</w:t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$16,519.1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$13,964.0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$(1,367.1)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$29,116.0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96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61"/>
        <w:gridCol w:w="1126"/>
        <w:gridCol w:w="109"/>
        <w:gridCol w:w="1126"/>
        <w:gridCol w:w="109"/>
        <w:gridCol w:w="1081"/>
        <w:gridCol w:w="109"/>
        <w:gridCol w:w="1171"/>
      </w:tblGrid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2026</w:t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$668.4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$(11.4)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$657.0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Incentive fees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98.9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 income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44.7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69.2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investment income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113.9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61.2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 of Consolidated Funds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192.5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927.1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192.5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1,123.5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261.9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Equity-based compensation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116.0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116.0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 and incentive fee related compensation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93.6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471.5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471.5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General, administrative and other expenses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202.9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38.2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expenses of Consolidated Funds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193.7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163.3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712.6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193.7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875.9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investment income of Consolidated Funds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26.2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before provision for income taxes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214.5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273.8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Provision for income taxes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49.0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165.5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224.8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income attributable to non-controlling interests in 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87.7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The Carlyle Group Inc.</w:t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$137.1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$(25.0)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$137.1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96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61"/>
        <w:gridCol w:w="1126"/>
        <w:gridCol w:w="109"/>
        <w:gridCol w:w="1126"/>
        <w:gridCol w:w="109"/>
        <w:gridCol w:w="1081"/>
        <w:gridCol w:w="109"/>
        <w:gridCol w:w="1171"/>
      </w:tblGrid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2026</w:t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$1,264.4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$(23.4)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$1,241.0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Incentive fees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150.6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150.6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 income (loss)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(632.9)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(636.4)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133.6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investment loss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(594.2)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(502.8)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131.9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116.5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 of Consolidated Funds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372.2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952.7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372.2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1,377.5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489.0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489.0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Equity-based compensation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235.8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235.8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 and incentive fee related compensation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(274.3)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(274.3)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450.5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450.5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General, administrative and other expenses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387.4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387.5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76.8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expenses of Consolidated Funds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(42.3)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329.7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914.7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372.0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(42.2)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1,244.5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 (loss)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Net investment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loss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of Consolidated Funds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(38.2)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(38.2)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(loss) before provision for income taxes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(38.0)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94.8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Provision for income taxes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11.9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(loss)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(38.0)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82.9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income attributable to non-controlling interests in 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78.0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(loss) attributable to The Carlyle Group Inc.</w:t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$(38.0)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$38.0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$4.9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94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76"/>
        <w:gridCol w:w="1126"/>
        <w:gridCol w:w="109"/>
        <w:gridCol w:w="1126"/>
        <w:gridCol w:w="109"/>
        <w:gridCol w:w="1081"/>
        <w:gridCol w:w="109"/>
        <w:gridCol w:w="1171"/>
      </w:tblGrid>
      <w:tr>
        <w:trPr/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2025</w:t>
            </w:r>
          </w:p>
        </w:tc>
      </w:tr>
      <w:tr>
        <w:trPr/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</w:tr>
      <w:tr>
        <w:trPr/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$628.0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$620.4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Incentive fees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40.5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 income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638.8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66.2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55.2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investment income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706.2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694.0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55.0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 of Consolidated Funds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163.0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1,434.9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1,572.9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238.4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Equity-based compensation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92.9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 and incentive fee related compensation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443.6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774.9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774.9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General, administrative and other expenses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205.5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28.0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expenses of Consolidated Funds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178.5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170.8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non-operating income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1,008.2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178.5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1,179.1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 (loss)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investment income of Consolidated Funds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46.8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before provision for income taxes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426.7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(17.4)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440.6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Provision for income taxes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112.5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314.2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(17.4)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328.1</w:t>
            </w:r>
          </w:p>
        </w:tc>
      </w:tr>
      <w:tr>
        <w:trPr/>
        <w:tc>
          <w:tcPr>
            <w:tcW w:w="4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income (loss) attributable to non-controlling interests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entities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8.4</w:t>
            </w:r>
          </w:p>
        </w:tc>
      </w:tr>
      <w:tr>
        <w:trPr/>
        <w:tc>
          <w:tcPr>
            <w:tcW w:w="4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The Carlyle Group Inc.</w:t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$319.7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$(31.3)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$319.7</w:t>
            </w:r>
          </w:p>
        </w:tc>
      </w:tr>
      <w:tr>
        <w:trPr/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96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61"/>
        <w:gridCol w:w="1126"/>
        <w:gridCol w:w="109"/>
        <w:gridCol w:w="1126"/>
        <w:gridCol w:w="109"/>
        <w:gridCol w:w="1081"/>
        <w:gridCol w:w="109"/>
        <w:gridCol w:w="1171"/>
      </w:tblGrid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2025</w:t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</w:tr>
      <w:tr>
        <w:trPr/>
        <w:tc>
          <w:tcPr>
            <w:tcW w:w="48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$1,222.4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$(15.9)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$1,206.5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Incentive fees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84.2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83.7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 income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863.4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861.7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(7.9)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investment income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869.1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853.8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117.0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105.6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 of Consolidated Funds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296.4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2,292.7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296.4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(43.1)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2,546.0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456.8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Equity-based compensation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196.4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196.4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 and incentive fee related compensation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615.0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1,268.2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1,268.2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General, administrative and other expenses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379.1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379.1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55.8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expenses of Consolidated Funds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309.3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284.3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non-operating income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1,703.0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309.3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1,987.3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Net investment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income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of Consolidated Funds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52.9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before provision for income taxes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589.7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(18.1)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611.6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Provision for income taxes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124.9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124.9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464.8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(18.1)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486.7</w:t>
            </w:r>
          </w:p>
        </w:tc>
      </w:tr>
      <w:tr>
        <w:trPr/>
        <w:tc>
          <w:tcPr>
            <w:tcW w:w="4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income attributable to non-controlling interests in 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37.0</w:t>
            </w:r>
          </w:p>
        </w:tc>
      </w:tr>
      <w:tr>
        <w:trPr/>
        <w:tc>
          <w:tcPr>
            <w:tcW w:w="48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The Carlyle Group Inc.</w:t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$449.7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$(40.0)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$449.7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Carlyle Group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the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tbl>
      <w:tblPr>
        <w:tblW w:w="77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26"/>
        <w:gridCol w:w="957"/>
        <w:gridCol w:w="141"/>
        <w:gridCol w:w="1016"/>
      </w:tblGrid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1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5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1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(Dollars in millions)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flows from operating activities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income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$26.1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$464.8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Adjustments to reconcile net income to net cash flows from operating activities: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Depreciation and amortization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101.8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94.6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Equity-based compensation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235.8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196.4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Non-cash performance allocations and incentive fees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335.3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(252.4)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Non-cash principal investment (income) loss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(12.9)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33.5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non-cash amounts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(6.4)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36.8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Purchases of investments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(733.1)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(481.8)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Proceeds from the sale of investments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600.6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499.5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Payments of contingent consideration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(1.0)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in deferred taxes, net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(72.4)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(16.5)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in due from affiliates and other receivables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(66.8)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(16.5)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in deposits and other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7.5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(25.0)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in accounts payable, accrued expenses and other liabilities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55.1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39.1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in accrued compensation and benefits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(243.1)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(116.2)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in due to affiliates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3.9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23.6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in lease right-of-use assets and lease liabilities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(7.9)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(6.3)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in deferred revenue</w:t>
            </w:r>
          </w:p>
        </w:tc>
        <w:tc>
          <w:tcPr>
            <w:tcW w:w="9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7.3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57.6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95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230.8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530.2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flows from investing activities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Purchases of fixed assets, net</w:t>
            </w:r>
          </w:p>
        </w:tc>
        <w:tc>
          <w:tcPr>
            <w:tcW w:w="95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(60.1)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(34.2)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cash used in investing activities</w:t>
            </w:r>
          </w:p>
        </w:tc>
        <w:tc>
          <w:tcPr>
            <w:tcW w:w="95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(60.1)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(34.2)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flows from financing activities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Payments on CLO borrowings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(37.6)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(40.1)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Proceeds from CLO borrowings, net of financing costs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47.8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15.1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Dividends to common stockholders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(252.1)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(252.7)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Contributions from non-controlling interest holders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208.4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91.4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Distributions to non-controlling interest holders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(119.1)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(48.6)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shares repurchased and net share settlement of equity-based awards</w:t>
            </w:r>
          </w:p>
        </w:tc>
        <w:tc>
          <w:tcPr>
            <w:tcW w:w="9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(508.9)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(280.1)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in due to/from affiliates financing activities</w:t>
            </w:r>
          </w:p>
        </w:tc>
        <w:tc>
          <w:tcPr>
            <w:tcW w:w="9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(206.7)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(0.5)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cash used in financing activities</w:t>
            </w:r>
          </w:p>
        </w:tc>
        <w:tc>
          <w:tcPr>
            <w:tcW w:w="95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(868.2)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(515.5)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Effect of foreign exchange rate changes</w:t>
            </w:r>
          </w:p>
        </w:tc>
        <w:tc>
          <w:tcPr>
            <w:tcW w:w="9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(18.1)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29.9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(Decrease) increase in cash, cash equivalents and restricted cash</w:t>
            </w:r>
          </w:p>
        </w:tc>
        <w:tc>
          <w:tcPr>
            <w:tcW w:w="95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(715.6)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10.4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Cash, cash equivalents and restricted cash, beginning of period</w:t>
            </w:r>
          </w:p>
        </w:tc>
        <w:tc>
          <w:tcPr>
            <w:tcW w:w="9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1,973.6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1,266.5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Cash, cash equivalents and restricted cash, end of period</w:t>
            </w:r>
          </w:p>
        </w:tc>
        <w:tc>
          <w:tcPr>
            <w:tcW w:w="95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$1,258.0</w:t>
            </w:r>
          </w:p>
        </w:tc>
        <w:tc>
          <w:tcPr>
            <w:tcW w:w="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$1,276.9</w:t>
            </w:r>
          </w:p>
        </w:tc>
      </w:tr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Reconciliation of cash, cash equivalents and restricted cash, end of period:</w:t>
            </w:r>
          </w:p>
        </w:tc>
        <w:tc>
          <w:tcPr>
            <w:tcW w:w="9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and cash equivalents</w:t>
            </w:r>
          </w:p>
        </w:tc>
        <w:tc>
          <w:tcPr>
            <w:tcW w:w="95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$1,256.5</w:t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$1,275.8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cash</w:t>
            </w:r>
          </w:p>
        </w:tc>
        <w:tc>
          <w:tcPr>
            <w:tcW w:w="9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1.5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1.1</w:t>
            </w:r>
          </w:p>
        </w:tc>
      </w:tr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cash, cash equivalents and restricted cash, end of period</w:t>
            </w:r>
          </w:p>
        </w:tc>
        <w:tc>
          <w:tcPr>
            <w:tcW w:w="95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$1,258.0</w:t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$1,276.9</w:t>
            </w:r>
          </w:p>
        </w:tc>
      </w:tr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and cash equivalents held at Consolidated Funds</w:t>
            </w:r>
          </w:p>
        </w:tc>
        <w:tc>
          <w:tcPr>
            <w:tcW w:w="957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$784.1</w:t>
            </w:r>
          </w:p>
        </w:tc>
        <w:tc>
          <w:tcPr>
            <w:tcW w:w="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$463.1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2. Management’s Discussion and Analysis of Financial Condition and Results of Operations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z w:val="20"/>
        </w:rPr>
      </w:pPr>
      <w:r>
        <w:rPr>
          <w:rFonts w:ascii="Times New Roman;serif" w:hAnsi="Times New Roman;serif"/>
          <w:b w:val="false"/>
          <w:i/>
          <w:sz w:val="20"/>
        </w:rPr>
        <w:t xml:space="preserve">Unless context suggests otherwise, references in this Quarterly Report on Form 10-Q to “Carlyle,” the “Company,”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/>
        <w:t>“</w:t>
      </w:r>
      <w:r>
        <w:rPr>
          <w:rFonts w:ascii="Times New Roman;serif" w:hAnsi="Times New Roman;serif"/>
          <w:b w:val="false"/>
          <w:i/>
          <w:sz w:val="20"/>
        </w:rPr>
        <w:t xml:space="preserve">we,” “us,” and “our” refer to The Carlyle Group Inc. and its consolidated subsidiaries. The following discussion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z w:val="20"/>
        </w:rPr>
      </w:pPr>
      <w:r>
        <w:rPr>
          <w:rFonts w:ascii="Times New Roman;serif" w:hAnsi="Times New Roman;serif"/>
          <w:b w:val="false"/>
          <w:i/>
          <w:sz w:val="20"/>
        </w:rPr>
        <w:t xml:space="preserve">analysis should be read in conjunction with the consolidated financial statements and the related notes included in this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</w:rPr>
        <w:t xml:space="preserve">Quarterly Report on Form 10-Q and the Annual Report on Form 10-K for the year ended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Overview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are one of the world’s largest global investment firms and deploy private capital across our business. We conduct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operations through three reportable segments: Global Private Equity, Global Credit, and Carlyle AlpInvest.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/>
        <w:t>•</w:t>
      </w:r>
      <w:r>
        <w:rPr>
          <w:rFonts w:ascii="Times New Roman;serif" w:hAnsi="Times New Roman;serif"/>
          <w:b w:val="false"/>
          <w:i/>
          <w:sz w:val="20"/>
        </w:rPr>
        <w:t>Global Private Equity</w:t>
      </w:r>
      <w:r>
        <w:rPr>
          <w:caps w:val="false"/>
          <w:smallCaps w:val="false"/>
        </w:rPr>
        <w:t xml:space="preserve"> —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Global Private Equity segment advises our buyout, growth, real estate, and infrastructure &amp;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natural resources funds. The segment also includes the NGP Carry Funds advised by NGP.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Global Private Equity segment had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$162.7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AUM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$96.6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 Fee-earning AUM.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/>
          <w:sz w:val="20"/>
        </w:rPr>
        <w:t>Global Credit</w:t>
      </w:r>
      <w:r>
        <w:rPr>
          <w:caps w:val="false"/>
          <w:smallCaps w:val="false"/>
        </w:rPr>
        <w:t xml:space="preserve"> —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Global Credit segment advises funds and vehicles that pursue investment strategies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insurance solutions, liquid credit, opportunistic credit, direct lending, asset-backed finance, aviation finance, infrastructure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credit, cross-platform credit products, and global capital markets.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our Global Credit segment had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$211.1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AUM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$167.6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 Fee-earning AUM.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/>
          <w:sz w:val="20"/>
        </w:rPr>
        <w:t>Carlyle AlpInvest</w:t>
      </w:r>
      <w:r>
        <w:rPr>
          <w:caps w:val="false"/>
          <w:smallCaps w:val="false"/>
        </w:rPr>
        <w:t xml:space="preserve"> —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Carlyle AlpInvest segment advises global private equity programs that pursue secondary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purchases and financing of existing portfolios, managed co-investment programs, and primary fund investments.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our Carlyle AlpInvest segment had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$111.7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AUM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$70.2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 Fee-earning AUM.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earn management fees pursuant to contractual arrangements with the investment funds that we manage and fees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transaction advisory and oversight services provided to portfolio companies of these funds. We also typically receive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performance fee from an investment fund, which may be either an incentive fee or a special residual allocation of income,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which we refer to as a performance allocation, or carried interest, in the event that specified investment returns are achieved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fund. Under U.S. generally accepted accounting principles (“U.S. GAAP”), we are required to consolidate some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 funds that we advise. However, for segment reporting purposes, we present revenues and expenses on a basis that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deconsolidates these investment funds. Refer to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14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Segment Reporting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condensed consolidated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statements included in this Quarterly Report on Form 10-Q for more information on the differences between our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results reported pursuant to U.S. GAAP and our financial results for segment reporting purposes.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Our Global Investment Offerings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provides a breakout of the product offerings and related acronyms included in our total assets under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management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$485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for each of our three global business segments (in billions):</w:t>
      </w:r>
    </w:p>
    <w:tbl>
      <w:tblPr>
        <w:tblW w:w="80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96"/>
        <w:gridCol w:w="601"/>
        <w:gridCol w:w="109"/>
        <w:gridCol w:w="3661"/>
        <w:gridCol w:w="601"/>
        <w:gridCol w:w="154"/>
      </w:tblGrid>
      <w:tr>
        <w:trPr/>
        <w:tc>
          <w:tcPr>
            <w:tcW w:w="28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top w:val="single" w:sz="8" w:space="0" w:color="95DAFF"/>
              <w:left w:val="single" w:sz="8" w:space="0" w:color="95DAFF"/>
            </w:tcBorders>
            <w:shd w:fill="95DAF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 xml:space="preserve">Global Private Equity </w:t>
            </w:r>
          </w:p>
        </w:tc>
        <w:tc>
          <w:tcPr>
            <w:tcW w:w="601" w:type="dxa"/>
            <w:tcBorders>
              <w:top w:val="single" w:sz="8" w:space="0" w:color="95DAFF"/>
              <w:right w:val="single" w:sz="8" w:space="0" w:color="95DAFF"/>
            </w:tcBorders>
            <w:shd w:fill="95DA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$162.7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top w:val="single" w:sz="8" w:space="0" w:color="31478F"/>
              <w:left w:val="single" w:sz="8" w:space="0" w:color="31478F"/>
            </w:tcBorders>
            <w:shd w:fill="31478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BF6E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BF6ED"/>
                <w:sz w:val="18"/>
                <w:u w:val="none"/>
                <w:effect w:val="none"/>
              </w:rPr>
              <w:t>Global Credit</w:t>
            </w:r>
          </w:p>
        </w:tc>
        <w:tc>
          <w:tcPr>
            <w:tcW w:w="601" w:type="dxa"/>
            <w:tcBorders>
              <w:top w:val="single" w:sz="8" w:space="0" w:color="31478F"/>
              <w:right w:val="single" w:sz="8" w:space="0" w:color="31478F"/>
            </w:tcBorders>
            <w:shd w:fill="31478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BF6E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BF6ED"/>
                <w:sz w:val="18"/>
                <w:u w:val="none"/>
                <w:effect w:val="none"/>
              </w:rPr>
              <w:t>$211.1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shd w:fill="FBF6E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Corporate Private Equity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shd w:fill="FBF6E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$101.3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shd w:fill="FBF6E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 xml:space="preserve">Insurance Solutions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2"/>
                <w:u w:val="none"/>
                <w:effect w:val="none"/>
              </w:rPr>
              <w:t>4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shd w:fill="FBF6E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$86.4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U.S. Buyout (CP)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51.9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shd w:fill="FBF6E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Liquid Credit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shd w:fill="FBF6E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$47.9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Asia Buyout (CAP)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11.3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U.S. CLOs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34.6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Europe Buyout (CEP)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9.0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Europe CLOs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9.0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Global Partners (CGP)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6.5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CLO Investment Products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2.4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Japan Buyout (CJP)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5.4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Revolving Credit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Europe Technology (CETP)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5.4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shd w:fill="FBF6E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Private Credit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shd w:fill="FBF6E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$76.8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U.S. Growth (CP Growth / CEOF)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3.3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Opportunistic Credit (CCOF / CSP)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20.7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Life Sciences (ABV / ACCD)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2.3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Direct Lending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5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14.1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Asia Growth (CAP Growth / CAGP)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1.1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Asset-Backed Finance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12.1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Other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1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5.3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Aviation Finance (SASOF / CALF)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11.9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shd w:fill="FBF6E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Real Estate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shd w:fill="FBF6E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$35.6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Cross-Platform Credit (incl CTAC)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9.8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U.S. Real Estate (CRP)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24.1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Infrastructure Credit (CICF)</w:t>
            </w:r>
          </w:p>
        </w:tc>
        <w:tc>
          <w:tcPr>
            <w:tcW w:w="601" w:type="dxa"/>
            <w:tcBorders>
              <w:right w:val="single" w:sz="8" w:space="0" w:color="31478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7.7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Core Plus Real Estate (CPI)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9.0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31478F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31478F"/>
              <w:bottom w:val="single" w:sz="8" w:space="0" w:color="31478F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Other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6</w:t>
            </w:r>
          </w:p>
        </w:tc>
        <w:tc>
          <w:tcPr>
            <w:tcW w:w="601" w:type="dxa"/>
            <w:tcBorders>
              <w:bottom w:val="single" w:sz="8" w:space="0" w:color="31478F"/>
              <w:right w:val="single" w:sz="8" w:space="0" w:color="31478F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0.4</w:t>
            </w:r>
          </w:p>
        </w:tc>
        <w:tc>
          <w:tcPr>
            <w:tcW w:w="154" w:type="dxa"/>
            <w:tcBorders>
              <w:left w:val="single" w:sz="8" w:space="0" w:color="31478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International Real Estate (CER)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2.5</w:t>
            </w:r>
          </w:p>
        </w:tc>
        <w:tc>
          <w:tcPr>
            <w:tcW w:w="109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top w:val="single" w:sz="8" w:space="0" w:color="31478F"/>
              <w:bottom w:val="single" w:sz="8" w:space="0" w:color="B0BCE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31478F"/>
              <w:bottom w:val="single" w:sz="8" w:space="0" w:color="B0BCE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shd w:fill="FBF6E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Infrastructure &amp; Natural Resources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shd w:fill="FBF6E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$25.7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B0BCE4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top w:val="single" w:sz="8" w:space="0" w:color="B0BCE4"/>
              <w:left w:val="single" w:sz="8" w:space="0" w:color="B0BCE4"/>
            </w:tcBorders>
            <w:shd w:fill="B0BCE4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8335E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8335E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601" w:type="dxa"/>
            <w:tcBorders>
              <w:top w:val="single" w:sz="8" w:space="0" w:color="B0BCE4"/>
              <w:right w:val="single" w:sz="8" w:space="0" w:color="B0BCE4"/>
            </w:tcBorders>
            <w:shd w:fill="B0BCE4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8335E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8335E"/>
                <w:sz w:val="18"/>
                <w:u w:val="none"/>
                <w:effect w:val="none"/>
              </w:rPr>
              <w:t>$111.7</w:t>
            </w:r>
          </w:p>
        </w:tc>
        <w:tc>
          <w:tcPr>
            <w:tcW w:w="154" w:type="dxa"/>
            <w:tcBorders>
              <w:left w:val="single" w:sz="8" w:space="0" w:color="B0BCE4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NGP Energy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2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12.0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B0BCE4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B0BCE4"/>
            </w:tcBorders>
            <w:shd w:fill="FBF6E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Secondaries &amp; Portfolio Finance (ASF / ASPF)</w:t>
            </w:r>
          </w:p>
        </w:tc>
        <w:tc>
          <w:tcPr>
            <w:tcW w:w="601" w:type="dxa"/>
            <w:tcBorders>
              <w:right w:val="single" w:sz="8" w:space="0" w:color="B0BCE4"/>
            </w:tcBorders>
            <w:shd w:fill="FBF6E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$50.7</w:t>
            </w:r>
          </w:p>
        </w:tc>
        <w:tc>
          <w:tcPr>
            <w:tcW w:w="154" w:type="dxa"/>
            <w:tcBorders>
              <w:left w:val="single" w:sz="8" w:space="0" w:color="B0BCE4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Infrastructure &amp; Renewable Energy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3</w:t>
            </w:r>
          </w:p>
        </w:tc>
        <w:tc>
          <w:tcPr>
            <w:tcW w:w="601" w:type="dxa"/>
            <w:tcBorders>
              <w:right w:val="single" w:sz="8" w:space="0" w:color="95DAF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7.2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B0BCE4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B0BCE4"/>
            </w:tcBorders>
            <w:shd w:fill="FBF6E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Co-Investments (ACF)</w:t>
            </w:r>
          </w:p>
        </w:tc>
        <w:tc>
          <w:tcPr>
            <w:tcW w:w="601" w:type="dxa"/>
            <w:tcBorders>
              <w:right w:val="single" w:sz="8" w:space="0" w:color="B0BCE4"/>
            </w:tcBorders>
            <w:shd w:fill="FBF6E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$24.4</w:t>
            </w:r>
          </w:p>
        </w:tc>
        <w:tc>
          <w:tcPr>
            <w:tcW w:w="154" w:type="dxa"/>
            <w:tcBorders>
              <w:left w:val="single" w:sz="8" w:space="0" w:color="B0BCE4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left w:val="single" w:sz="8" w:space="0" w:color="95DAFF"/>
              <w:bottom w:val="single" w:sz="8" w:space="0" w:color="95DAFF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International Energy (CIEP)</w:t>
            </w:r>
          </w:p>
        </w:tc>
        <w:tc>
          <w:tcPr>
            <w:tcW w:w="601" w:type="dxa"/>
            <w:tcBorders>
              <w:bottom w:val="single" w:sz="8" w:space="0" w:color="95DAFF"/>
              <w:right w:val="single" w:sz="8" w:space="0" w:color="95DAFF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6.5</w:t>
            </w:r>
          </w:p>
        </w:tc>
        <w:tc>
          <w:tcPr>
            <w:tcW w:w="109" w:type="dxa"/>
            <w:tcBorders>
              <w:left w:val="single" w:sz="8" w:space="0" w:color="95DAFF"/>
              <w:right w:val="single" w:sz="8" w:space="0" w:color="B0BCE4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left w:val="single" w:sz="8" w:space="0" w:color="B0BCE4"/>
              <w:bottom w:val="single" w:sz="8" w:space="0" w:color="B0BCE4"/>
            </w:tcBorders>
            <w:shd w:fill="FBF6ED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 xml:space="preserve">Primary Investments &amp; Other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2"/>
                <w:u w:val="none"/>
                <w:effect w:val="none"/>
              </w:rPr>
              <w:t>7</w:t>
            </w:r>
          </w:p>
        </w:tc>
        <w:tc>
          <w:tcPr>
            <w:tcW w:w="601" w:type="dxa"/>
            <w:tcBorders>
              <w:bottom w:val="single" w:sz="8" w:space="0" w:color="B0BCE4"/>
              <w:right w:val="single" w:sz="8" w:space="0" w:color="B0BCE4"/>
            </w:tcBorders>
            <w:shd w:fill="FBF6ED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162040"/>
                <w:sz w:val="18"/>
                <w:u w:val="none"/>
                <w:effect w:val="none"/>
              </w:rPr>
              <w:t>$36.6</w:t>
            </w:r>
          </w:p>
        </w:tc>
        <w:tc>
          <w:tcPr>
            <w:tcW w:w="154" w:type="dxa"/>
            <w:tcBorders>
              <w:left w:val="single" w:sz="8" w:space="0" w:color="B0BCE4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>
              <w:top w:val="single" w:sz="8" w:space="0" w:color="95DA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95DAF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top w:val="single" w:sz="8" w:space="0" w:color="B0BCE4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B0BCE4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Note: All amounts shown represent total assets under management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, and totals may not sum due to rounding. In addition,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certain carry funds included herein may not be included in fund performance if they have not made an initial capital call or commenced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investment activity.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(1)Includes our Financial Services (CGFSP), Sub-Saharan Africa Buyout (CSSAF), Peru Buyout (CPF), and MENA Buyout funds, as well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as platform accounts which invest across Corporate Private Equity strategies.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(2)NGP Energy funds are advised by NGP Energy Capital Management, LLC, a separately registered investment adviser. We do not serve as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an investment adviser to these funds.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(3)Includes our Infrastructure (CGIOF) and Renewable Energy (CRSEF) funds.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(4)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Includes Carlyle FRL, capital raised from strategic third-party investors which directly invest in Fortitude alongside Carlyle FRL, as well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as the fair value of the general account assets covered by the strategic advisory services agreement with Fortitude.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(5)Includes our business development companies (CGBD / CARS), Europe Direct Lending funds (EDLF / ETAC), and our evergreen fund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(CDLF).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(6)Includes our Real Estate Credit fund (CNLI).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(7)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Includes Carlyle AlpInvest Private Markets (CAPM) and Carlyle AlpInvest Private Markets Secondaries (CAPS) funds.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Trends Affecting Our Business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global business is affected by the conditions in the global financial markets, global economies and the geopolitical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landscape, particularly in the U.S., Europe, and Asia, as discussed in Item 1A “Risk Factors” of our Annual Report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Form 10-K.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Equity markets posted their strongest quarterly returns since 2020 in Q2 2026, rising despite persistent geopolitical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tensions in the Strait of Hormuz. Although a ceasefire agreement improved market sentiment, geopolitical tensions persisted,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shipping through the Strait of Hormuz remained well below pre-conflict levels, leaving physical supply constraints largely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intact. The S&amp;P 500, NASDAQ Composite, and Russell 2000 returned 14.9%, 21.4%, and 21.2%, respectively, supported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upward earnings per share (“EPS”) revisions—consensus 2026 S&amp;P 500 EPS growth has risen 1,440 basis points (“bps”) since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onset of the Iran conflict. Rotation was a defining feature through the first half of the year: the Magnificent 7 stocks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declined 10% from their peak and software stocks finished the half down 20%, while traditional economy sectors such 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onstruction &amp; engineering, communications equipment, and marine transport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well as hardware, led performance, and small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caps outperformed large caps by over 1,000 bps. Globally, Europe’s Euro Stoxx 50 returned 13.6% during the quarter, while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Asian markets were the strongest performers—Korea’s KOSPI, Taiwan’s TAIEX, and Japan’s Nikkei returned 67.8%, 45.4%,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37.2%, respectively, driven by semiconductor demand tied to AI infrastructure. However, record earnings from memory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chip manufacturers paradoxically triggered a sharp KOSPI selloff of 25% from peak, as investors grew concerned that surging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circuit board costs could impair the economics of the broader AI value chain. In private markets, buyout performance improved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somewhat compared to the S&amp;P 500 for Q1 2026 (the latest data available), but this was primarily due to quarter end volatility.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Over longer periods against benchmarks that align more closely with market capitalization and display less concentration,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buyouts continue to outperform. Compared to the S&amp;P 600 small-cap index, U.S. buyouts have generated outperformance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506 bps over the last five years, 386 bps over the last 10 years, and 310 bps over the last 15 years.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Official estimates of U.S. GDP surprised to the downside in Q2 2026, but real final demand came in right on top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2.2% estimate implied by our proprietary portfolio data, as a surge in AI-related capital goods imports slowed topline GDP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growth relative to what would be implied by investment outlays, and inventory liquidation also reduced growth. Our measure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corporate revenue growth accelerated to 6.2% annualized in Q2 2026, up from 5.7% in Q1 2026, but price rather than volume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accounted for a disproportionate share of that growth. Our data imply real consumption slowed to 1.8% annualized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households absorbed the price shock, with spending among top-third households growing at 2.3x the rate of bottom-third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households. Headline inflation finished June at a 3.7% annual rate, and with core inflation above 3%, the Fed has not hit 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inflation target in five years. Against this backdrop, interest rates no longer appear to be on a pre-set path toward sub-3%,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market participants largely expect the Fed’s next move to be a rate hike. The clearest source of strength was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investment: our data indicate U.S. business spending rose at a 15.8% annualized rate, with corporate information technology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services up 28.3%. AI-related investment remains the primary driver—compute capex has grown at an 80% annualized 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since year-end 2024, and data center real estate is now roughly 3.8x its year-end 2022 level. This spending surge is also bidding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away finite resources—grid capacity, engineering talent, construction labor, and key materials—raising input costs and creating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headwinds for competing capital projects.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European conditions stabilized as the quarter progressed. German factory orders, while still negative, rebounded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post-conflict troughs, and euro area order books improved, signaling firmer forward demand. A notable structural development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was the agreement by the EU’s six largest economies on capital markets integration, which could mobilize an estimated €8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trillion of household savings currently held in low-yielding deposits toward more productive investment. In China, domestic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consumption continued to contract, with weakness particularly evident in big-ticket categories previously supported by trade-in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subsidies. Exports remained the structural growth driver, with export growth to the U.S. turning positive for the first time since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2025 trade war. Taiwan and South Korea continue to benefit from AI-linked semiconductor demand—South Korean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semiconductor exports are growing at a record 180% annual rate—though concentration risk remains elevated, with Samsung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and SK Hynix’s combined market cap reaching approximately 135% of South Korea’s GDP. Japan has also benefited from AI-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related export growth, and recent moves in the yen and JGB yields appear to reflect a gradual normalization rather than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sovereign or currency crisis. In India, growth appears resilient, but the country’s reliance on imported oil and gas leaves 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exposed to renewed energy supply disruptions.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Merger and acquisition (“M&amp;A”) activity in the first half of 2026 surpassed the record aggregate deal value set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first half of 2021, though those headline figures increasingly reflected a relatively small number of large transactions.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Transactions totaled $1.75 trillion, a 23% increase quarter-over-quarter and a 66% increase over the same period a year ago,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even as transaction counts declined 15% quarter-over-quarter and 12% year-over-year. Leveraged buyout (“LBO”) activity was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more subdued. U.S. buyouts slowed in the second quarter, with deal volume falling 45% from the first quarter as managers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digested higher energy prices and saw hopes for Fed rate cuts fade. European buyouts helped take up the slack, with volume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increasing 51% in EMEA to exceed the U.S. by more than $13 billion. Exit activity remained constrained—announced buyout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exit value of $245 billion declined 23% quarter-over-quarter, and the 595 companies divested globally represented the lowest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quarterly count since 2020. However, median exit EBITDA multiples continued to improve, rising to a range of 14.7x to 17.6x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deals exited in the fourth quarter of 2025 and first quarter of 2026 (the latest data available), compared to a range of 11.0x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13.0x over much of 2022 through 2024. Meanwhile, initial public offering (“IPO”) activity was a bright spot, with 39 operating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company IPOs on U.S. exchanges generating $117 billion in proceeds, an 86% increase in transaction count versus Q1 2026.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SpaceX’s $86 billion IPO—22 years after founding—was emblematic of broader structural trends: private markets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capturing an increasing share of value creation before listing, while passive investing is exerting a growing influence on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market behavior.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Credit markets demonstrated broad resilience during the quarter, with improving conditions across most sectors even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differentiation increased. Broader credit quality continued to improve: leveraged loan defaults plus distressed exchanges fell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 their lowest level in over three years at 2.77%, while the weighted average bid on the U.S. leveraged loan market ended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quarter at 94.96, modestly below its year-end 2025 level of 96.64 but essentially unchanged from 95 at the end of the first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quarter. Amendment activity (repricings and extensions) also remained relatively steady from the first quarter, as a more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doubling of extensions largely offset a decline in refinancings. Notably, weakness remained concentrated rather than broad-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based. Excluding software, the average secondary bid firmed by roughly 0.4 points over the quarter, while software loans fell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approximately 1.9 points, widening the gap between software and the rest of the index to a historically wide 9.6 points. CLO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new issuance moderated from last year’s pace amid tight loan spreads and continued uncertainty around software and energy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exposures.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second quarter of 2026, we deployed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$14.3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across our platform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$53.0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over the last twelve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months. In our traditional carry funds, we realized proceeds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$6.7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second quarter of 2026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$36.8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over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last twelve months, including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$2.9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$15.3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respectively, in our corporate private equity strategy. We had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$16.8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inflows in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quarter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$55.8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inflows over the last twelve months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June 30,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Inflows over the last twelve months include $7.3 billion in our evergreen wealth products, which had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$20.1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assets under management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64% increase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from one year ago.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carry fund portfolio appreciated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quarter. Within our Global Private Equity segment in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quarter, our corporate private equity funds appreciated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market price decreases in certain publicly traded positions offset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appreciation elsewhere, our infrastructure &amp; natural resources funds appreciated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driven by our international energy funds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appreciation in the NGP Carry funds, and our real estate funds were flat. Our Global Credit carry funds, which represent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the total Global Credit remaining fair value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appreciated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quarter.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Carry funds in our Carlyle AlpInvest segment appreciated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quarter.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Notable Developments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Dividends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July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our Board of Directors declared a quarterly dividend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$0.35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 share to common stockholders of record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the close of business on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August 17,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payable on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August 26,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Global Private Equit</w:t>
      </w:r>
      <w:r>
        <w:rPr>
          <w:rFonts w:ascii="Times New Roman;serif" w:hAnsi="Times New Roman;serif"/>
          <w:b/>
          <w:i/>
          <w:sz w:val="20"/>
        </w:rPr>
        <w:t>y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Structured Investment Vehicle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the second quarter of 2026, the Company completed the structuring of an investment vehicle in our Global Private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Equity segment, which created liquidity for our fund investors and raised capital earmarked for our next vintage U.S. buyout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fund. In connection with the transaction, the Company recognized portfolio advisory and transaction fees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our Global Credit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segment results during the quarter. Additionally, the Company transferred interests in certain fund-related entities to the vehicle,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are reflected as a component of non-controlling interests in consolidated entities on our condensed consolidated balance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sheet as of June 30, 2026.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Key Financial Measures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key financial measures and operating metrics are discussed in the following pages. Additional information regarding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U.S. GAAP measures and our other significant accounting policies can be found in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Summary of Significant Accounting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Policies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to the condensed consolidated financial statements included in this Quarterly Report on Form 10-Q.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Revenues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Revenues primarily consist of Fund management fees, Incentive fees, Investment income (including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allocations, realized and unrealized gains of our investments in our funds, and other principal investments), as well as 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other income.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Fund management fees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Fund management fees include management fees and transaction and portfolio advisory fees. We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earn management fees for advisory services we provide to funds in which we hold a general partner interest or to funds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certain portfolio companies with which we have an investment advisory or investment management agreement. These fees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largely from either traditional closed-end, long-dated funds, which are highly predictable and stable, or Perpetual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products as defined below. Management fees also include catch-up management fees, which are episodic in nature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represent management fees charged to fund investors in subsequent closings of a fund which apply to the time period between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fee initiation date and the subsequent closing date.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also earn management fees on our CLOs and other structured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products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Transaction and portfolio advisory fees generally include capital markets fees generated by Carlyle Global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Markets in connection with activities related to the underwriting, issuance and placement of debt and equity securities, and loan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syndication for our portfolio companies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third-party clients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are generally not subject to rebate offsets as described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below. Underwriting fees include gains, losses, and fees arising from securities offerings in which we participate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underwriter syndicate.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Transaction and portfolio advisory fees also include fees we receive for the transaction and portfolio advisory services we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provide to our portfolio companies. When covered by separate contractual agreements, we recognize transaction and portfolio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advisory fees for these services when the performance obligation has been satisfied and collection is reasonably assured. We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generally required to offset our fund management fees by the transaction and advisory fees earned, which we refer to as “rebate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offsets.”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recognition of portfolio advisory fees, transactions fees, and capital markets fees can be volatile as they are primarily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generated by investment activity within our funds, and therefore are impacted by our investment pace or other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transactions at our portfolio companies.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Incentive fees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Incentive fees consist of performance-based incentive arrangements pursuant to management contracts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when the return on assets under management exceeds certain benchmark returns or other performance targets. In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arrangements, incentive fees are recognized when the performance benchmark has been achieved.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Investment income (loss)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income (loss)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consists of our performance allocations as well as the realized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unrealized gains and losses resulting from our equity method investments and other principal investments.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Performance allocations consist principally of the performance-based capital allocation from fund limited partners to us,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commonly referred to as carried interest, from certain of our investment funds, which we refer to as “carry funds.” Carried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interest revenue is recognized by Carlyle upon appreciation of the valuation of our funds’ investments above certain return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hurdles as set forth in each respective fund partnership agreement and is based on the amount that would be due to us pursuant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 the fund partnership agreement at each period end as if the funds were liquidated at such date. Accordingly, the amount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carried interest recognized as performance allocations reflects our share of the fair value gains and losses of the associated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funds’ underlying investments measured at their then-current fair values relative to the fair values as of the end of the prior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period. As a result, the performance allocations earned in an applicable reporting period are not indicative of any future period,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fair values are based on conditions prevalent as of the reporting date. Refer to “—Trends Affecting Our Business” for further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discussion.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any given period, performance allocations revenue on our statement of operations may include reversals of previously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recognized performance allocations due to a decrease in the value of a particular fund that results in a decrease of cumulative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performance allocations earned to date. Since fund return hurdles are cumulative, previously recognized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allocations also may be reversed in a period of appreciation that is lower than the particular fund’s hurdle rate. Additionally,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unrealized performance allocations reverse when performance allocations are realized, and unrealized performance allocations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can be negative if the amount of realized performance allocations exceed total performance allocations generated in the period.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timing and receipt of realized performance allocations varies with the lifecycle of our carry funds and there is often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difference between the time we start accruing performance allocations and realization. The timing of performance allocation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realizations from our Carlyle AlpInvest, Carlyle Aviation, and Abingworth funds is typically later than in our other carry funds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based on the terms of such arrangements.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Under our arrangements with the historical owners and management teams of AlpInvest and Abingworth, the amount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carried interest to which we are entitled varies. In some cases, we are entitled to 15% of the carried interest in respect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commitments from the historical owners of AlpInvest for the period between 2011 and 2020. In certain instances, carried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interest associated with the AlpInvest fund vehicles is subject to entity level income taxes in the Netherlands. Additionally, we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are entitled to 15% of carried interest generated from certain Abingworth 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Accrued performance allocations and accrued giveback obligations at a point in time assume a hypothetical liquidation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funds’ investments at their then-current fair values. Each investment fund is considered separately in evaluating carried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interest and potential giveback obligations. These assets and liabilities will continue to fluctuate in accordance with the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values of the funds’ investments until they are realized. The Company uses “net accrued performance revenues” to refer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aggregation of the accrued performance allocations net of (i) accrued giveback obligations, (ii) accrued performance allocations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related compensation, (iii) performance allocations related tax obligations, and (iv) accrued performance allocations attributable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 non-controlling interests. Net accrued performance revenues exclude any net accrued performance allocations and incentive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fees that have been realized but will be collected in subsequent periods, as well as net accrued performance revenues which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presented as fee related performance revenues when realized in our non-GAAP financial measures. Realized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allocation-related compensation that has not yet been paid is also excluded from our net accrued performance allocations.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addition, realized performance allocations may be reversed in future periods if a fund’s investment values decline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below certain return hurdles, which vary from fund to fund, and become subject to a giveback obligation. See Note 7,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Commitments and Contingencies, for more information.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aggregate amount of giveback obligations realized since Carlyle’s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inception totaled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$264.6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$181.8 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which was related to various Legacy Energy Funds. Given that current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former senior Carlyle professionals and other limited partners of the Carlyle Holdings partnerships are responsible for paying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majority of the realized giveback obligation, only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$88.5 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$264.6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aggregate giveback obligation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since inception was attributable to Carlyle. The realization of giveback obligations for the Company’s portion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obligations reduces Distributable Earnings in the period realized. Further, each individual who holds equity interests in carried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interest generated by our funds and is a recipient of realized carried interest typically signs a guarantee agreement or partnership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agreement that personally obligates such person to return his/her pro rata share of any amounts of realized carried 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previously distributed that are later clawed back. Accordingly, carried interest as performance allocation compensation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subject to return to the Company in the event a giveback obligation is funded. Generally, the actual giveback liability, if any,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does not become due until the end of a fund’s life.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addition, in our discussion of our non-GAAP results, we use the term “realized net performance revenues” to refer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realized performance allocations and incentive fees from our funds,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net of (i) amounts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allocated to our investment professionals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other employees, (ii) non-controlling interests, and (iii) certain tax expenses associated with carried interest attributable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certain partners and employees, which are reflected as realized performance allocations and incentive fees related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expense. See “—Non-GAAP Financial Measures” and “—Segment Analysis” for the amount of realized net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revenues recognized each period and related discussion.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 income also represents the realized and unrealized gains and losses on our principal investments and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strategic investments in NGP as described below. Realized principal investment income (loss) is recorded when we redeem all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or a portion of our investment or when we receive or are due cash income, such as dividends or distributions. A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principal investment loss is also recorded when an investment is deemed to be permanently impaired or worthless. Unrealized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principal investment income (loss) results from changes in the fair value of the underlying investment, as well as the reversal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previously recognized unrealized gains (losses) at the time an investment is realized.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account for our investments in NGP under the equity method of accounting. Our investments in NGP include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equity interests in NGP Management and the general partners of certain carry funds advised by NGP, which entitle us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allocation of up to 55.0% of the management fee revenues earned by NGP Management in certain funds, and up to 47.5%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allocations received by certain NGP fund general partners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For further information regarding our strategic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investments in NGP and the Restructuring, refer to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condensed consolidated financial statements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in this Quarterly Report on Form 10-Q.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record investment income (loss) for our equity income allocation from NGP management fee related revenues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share of any allocated expenses from NGP Management, as well as expenses associated with the compensatory elements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strategic investment and any impairment charges. We also record our equity income allocation from NGP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allocations in principal investment income (loss) from equity method investments rather than performance allocations in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condensed consolidated statements of operations. We do not control or manage NGP. Moreover, we do not operate NGP’s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business, have representation on NGP’s board or serve as an investment advisor to any investment fund sponsored by NGP, nor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do we direct the operations of any of NGP’s portfolio companies. While we have consent rights over certain major actions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NGP outside of the ordinary course of NGP’s business (including, for example, consent rights over items such as amendments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 the organizational documents of the entity in which we are invested, changes to the management fee streams earned by NGP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under its fund agreements, or the incurrence of certain debt by NGP and other similar items), we have no voting rights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consent rights on any NGP investment committee that selects investments to be made by NGP funds.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Interest and other income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and other income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primarily represents reimbursement of certain costs incurred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behalf of our funds, as well as interest income that we earn such as from our cash and money market accounts and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investments, including CLO senior and subordinated notes.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Interest and other income of Consolidated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and other income of Consolidated Funds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primarily represents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interest earned on assets of consolidated CLOs. Our CLOs generate interest income primarily from investments in bonds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and loans, inclusive of amortization of discounts, and generate other income from consent and amendment fees.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Net investment income (loss) of Consolidated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investment income (loss) of Consolidated Funds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generally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measures the change in the difference in fair value between the assets and the liabilities of the Consolidated Funds. Income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(loss) indicates that the fair value of the assets of the Consolidated Funds appreciated more (less), or depreciated less (more),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than the fair value of the liabilities of the Consolidated Funds. Income or loss is not necessarily indicative of the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performance of the Consolidated Funds and does not impact the management or incentive fees received by Carlyle for 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management of the Consolidated Funds. The portion of the net investment income (losses) of Consolidated Funds attributable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 the limited partner investors is allocated to non-controlling interests. Moreover, although the assets of the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 are consolidated onto our balance sheet pursuant to U.S. GAAP, ultimately we do not have recourse to such assets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such liabilities are generally non-recourse to us.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Therefore, income or loss is not expected to have a material impact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revenues or profitability of, or the assets available to, the Company beyond the Company’s capital invested in the Consolidated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Funds.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Expenses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Compensation and benefits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Compensation includes salaries, bonuses, equity-based compensation, and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payment arrangements. Bonuses are accrued over the service period to which they relate.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recognize as compensation expense the portion of performance allocations and incentive fees that are due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employees, senior Carlyle professionals, advisors, and operating executives in a manner consistent with how we recognize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performance allocations and incentive fee revenue. These amounts are accounted for as compensation expense in conjunction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with the related performance allocations and incentive fee revenue and, until paid, are recognized as a component of the accrued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compensation and benefits liability. Compensation in respect of performance allocations and incentive fees is paid when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related performance allocations and incentive fees are realized, and not when such performance allocations and incentive fees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are accrued. The funds do not have a uniform allocation of performance allocations and incentive fees to our employees, senior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Carlyle professionals, advisors, and operating executives. However, we generally allocate a range of 60% to 70%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performance allocations and incentive fees to our employees.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addition, we have implemented various equity-based compensation arrangements that require senior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professionals and other employees to provide services over a service period of generally one year to four years in order to vest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applicable equity interests, which under U.S. GAAP will result in compensation charges over current and future periods.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certain of our equity-based compensation arrangements, vesting is based on the achievement of certain performance targets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or market conditions (see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13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Equity-Based Compensation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for additional information). Compensation charges associated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with all equity-based compensation grants are excluded from Fee Related Earnings and Distributable Earnings.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may hire additional individuals and overall compensation levels may correspondingly increase, which could result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 increase in compensation and benefits expense. As a result of prior acquisitions, we have charges associated with contingent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consideration taking the form of earn-outs and profit participation, some of which are reflected as compensation expense.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General, administrative and other expenses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General, administrative and other expenses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include occupancy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equipment expenses and other expenses, which consist principally of professional fees, including those related to our global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regulatory compliance program, external costs of fundraising, travel and related expenses, communications and information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services, depreciation and amortization (including intangible asset amortization and impairment), bad debt expense, and foreign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currency transactions. We expect that general, administrative and other expenses will vary due to infrequently occurring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unusual items, such as impairment of intangible assets or lease right-of-use assets and expenses or insurance recoveries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associated with litigation and contingencies. Also, in periods of significant fundraising, to the extent that we use third parties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assist in our fundraising efforts, our general, administrative and other expenses may increase accordingly. Similarly,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general, administrative and other expenses may increase as a result of professional and other fees incurred as part of due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diligence related to strategic acquisitions and new product development. Additionally, we anticipate that general, administrative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and other expenses will fluctuate from period to period due to the impact of foreign exchange transactions.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Interest and other expenses of Consolidated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and other expenses of Consolidated Funds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consist primarily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interest expense related primarily to loans of consolidated CLOs and other consolidated funds, professional fees and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third-party expenses.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Income taxes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Carlyle Group Inc. is a corporation for U.S. federal income tax purposes and thus is subject to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federal, state, and local corporate income taxes. The interim provision for income taxes is generally calculated using 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estimated annual effective tax rate applied to year-to-date ordinary income in accordance with ASC 740,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Income Taxes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Non-controlling Interests in Consolidated Entities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Non-controlling interests in consolidated entities represent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component of equity in consolidated entities not held by us.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Earnings Per Common Share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We compute earnings per common share in accordance with ASC 260,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  <w:shd w:fill="FFFFFF" w:val="clear"/>
        </w:rPr>
        <w:t xml:space="preserve">Earnings Per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  <w:shd w:fill="FFFFFF" w:val="clear"/>
        </w:rPr>
        <w:t>Share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. Basic earnings per common share is calculated by dividing net income (loss) attributable to the common shares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Company by the weighted average number of common shares outstanding for the period. Diluted earnings per common share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reflects the assumed conversion of all dilutive securities. 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Per Common Share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 the condensed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consolidated financial statements in this Quarterly Report on Form 10-Q for more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Non-GAAP Financial Measures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Distributable Earnings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Distributable Earnings, or “DE,” is a key performance benchmark used in our industry and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evaluated regularly in making resource deployment and compensation decisions, and in assessing the performance of our three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segments. We also use DE in our budgeting, forecasting, and the overall management of our segments. We believe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reporting DE is helpful to understanding our business and that investors should review the same supplemental financial measure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that management uses to analyze our segment performance. DE is intended to show the amount of net realized earnings without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effects of consolidation of the Consolidated Funds. DE is derived from our segment reported results and is an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measure to assess performance.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Distributable Earnings differs from income (loss) before provision for income taxes computed in accordance with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GAAP in that it includes certain tax expenses associated with certain foreign performance revenues (composed of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allocations and incentive fees), and does not include unrealized performance allocations and related compensation expense,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unrealized principal investment income, equity-based compensation expense, net income (loss) attributable to non-Carlyle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interest in consolidated entities, or charges (credits) related to Carlyle corporate actions and non-recurring items that affect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period-to-period comparability and are not reflective of the Company’s operational performance. Charges (credits) related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Carlyle corporate actions and non-recurring items include: charges associated with the Conversion, charges associated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acquisitions, dispositions, or strategic investments, changes in the tax receivable agreement liability, amortization and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impairment charges associated with acquired intangible assets, transaction costs associated with acquisitions and dispositions,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charges associated with earn-outs and contingent consideration including gains and losses associated with the estimated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value of contingent consideration issued in conjunction with acquisitions or strategic investments, impairment charges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associated with lease right-of-use assets, gains and losses from the retirement of debt, charges associated with contract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terminations and employee severance, and non-recurring items that affect period-to-period comparability and are not reflective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the Company’s operating performance. We believe the inclusion or exclusion of these items provides investors with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meaningful indication of our core operating performance. This measure supplements and should be considered in addition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not in lieu of the results of operations discussed further under “—Consolidated Results of Operations” prepared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accordance with U.S. GAAP.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Fee Related Earnings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Fee Related Earnings, or “FRE,” is a component of DE and is used to assess the ability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business to cover base compensation and operating expenses from total fee revenues. FRE adjusts DE to exclude net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performance revenues, realized principal investment income from investments in Carlyle funds, and net interest (interest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income less interest expense). Fee Related Earnings includes fee related performance revenues and related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expense. Fee related performance revenues represent the realized portion of performance revenues that are measured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received on a recurring basis, are not dependent on realization events, and which have no risk of giveback.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Operating Metrics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We monitor certain operating metrics that are common to the asset management industry.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 xml:space="preserve">Fee-earning Assets under Management.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assets under management or Fee-earning AUM refers to the assets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manage or advise from which we derive recurring fund management fees. Our Fee-earning AUM is generally based on one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 the following, once fees have been activated: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(a)the amount of limited partner capital commitments, generally for carry funds where the original investment period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has not expired and for AlpInvest carry funds during the commitment fee period (see “Fee-earning AUM based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capital commitments” in the table below for the amount of this component at each period);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(b)the remaining amount of limited partner invested capital at cost, generally for carry funds and certain co-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 vehicles where the original investment period has expired (see “Fee-earning AUM based on invested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capital” in the table below for the amount of this component at each period);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(c)the amount of aggregate fee-earning collateral balance at par of our CLOs and other securitization vehicles,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defined in the fund indentures (pre-2020 CLO vintages are generally exclusive of equities and defaulted positions)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as of the quarterly cut-off date;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(d)the external investor portion of the net asset value of certain carry funds and evergreen products (see “Fee-earning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AUM based on net asset value” in the table below for the amount of this component at each period);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(e)the fair value of Fortitude’s general account assets invested under the strategic advisory services agreement (see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Fee-earning AUM based on fair value and other” in the table below);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(f)the gross assets (including assets acquired with leverage) of certain cross-platform credit and direct lending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products, excluding cash and cash equivalents for one of our business development companies (included in “Fee-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earning AUM based on fair value and other” in the table below); and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(g)the lower of cost or fair value of invested capital, generally for AlpInvest carry funds where the commitment fee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period has expired and certain carry funds where the investment period has expired, (included in “Fee-earning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AUM based on fair value and other” in the table below).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chart below presents Fee-earning AUM by segment at each period, in billions.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162675" cy="31527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i-2"/>
      <w:bookmarkEnd w:id="2"/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table below details Fee-earning AUM by its respective components at each period.</w:t>
      </w:r>
    </w:p>
    <w:tbl>
      <w:tblPr>
        <w:tblW w:w="56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16"/>
        <w:gridCol w:w="781"/>
        <w:gridCol w:w="109"/>
        <w:gridCol w:w="826"/>
      </w:tblGrid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1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Results</w:t>
            </w:r>
          </w:p>
        </w:tc>
        <w:tc>
          <w:tcPr>
            <w:tcW w:w="171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Components of Fee-earning AUM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capital commitments</w:t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$72,626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$70,434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invested capital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76,974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80,609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collateral balances, at par</w:t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42,368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45,062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net asset value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33,867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26,221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fair value and other</w:t>
            </w:r>
          </w:p>
        </w:tc>
        <w:tc>
          <w:tcPr>
            <w:tcW w:w="7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108,574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102,375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Balance, End of Period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$334,409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$324,701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(1)Ending balances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exclude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$27.6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$17.6 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, respectively, of Pending Fee-earning AUM for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which fees have not yet been activated.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table below provides the period to period rollforward of Fee-earning AUM.</w:t>
      </w:r>
    </w:p>
    <w:tbl>
      <w:tblPr>
        <w:tblW w:w="744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1143"/>
        <w:gridCol w:w="159"/>
        <w:gridCol w:w="1143"/>
        <w:gridCol w:w="109"/>
        <w:gridCol w:w="1038"/>
        <w:gridCol w:w="144"/>
        <w:gridCol w:w="1097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44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4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5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Results</w:t>
            </w:r>
          </w:p>
        </w:tc>
        <w:tc>
          <w:tcPr>
            <w:tcW w:w="4833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Rollforward</w:t>
            </w:r>
          </w:p>
        </w:tc>
        <w:tc>
          <w:tcPr>
            <w:tcW w:w="1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Beginning of Period</w:t>
            </w:r>
          </w:p>
        </w:tc>
        <w:tc>
          <w:tcPr>
            <w:tcW w:w="114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$333,357</w:t>
            </w:r>
          </w:p>
        </w:tc>
        <w:tc>
          <w:tcPr>
            <w:tcW w:w="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$313,843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$336,778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$304,358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Inflows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8,498</w:t>
            </w:r>
          </w:p>
        </w:tc>
        <w:tc>
          <w:tcPr>
            <w:tcW w:w="15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18,038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16,135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29,904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Outflows (including realizations)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14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(6,389)</w:t>
            </w:r>
          </w:p>
        </w:tc>
        <w:tc>
          <w:tcPr>
            <w:tcW w:w="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(10,805)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(15,203)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(16,411)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Market Activity &amp; 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1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(582)</w:t>
            </w:r>
          </w:p>
        </w:tc>
        <w:tc>
          <w:tcPr>
            <w:tcW w:w="15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(2,123)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1,639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Foreign Exchange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14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(475)</w:t>
            </w:r>
          </w:p>
        </w:tc>
        <w:tc>
          <w:tcPr>
            <w:tcW w:w="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3,416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(1,178)</w:t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5,211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End of Period</w:t>
            </w:r>
          </w:p>
        </w:tc>
        <w:tc>
          <w:tcPr>
            <w:tcW w:w="114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$334,409</w:t>
            </w:r>
          </w:p>
        </w:tc>
        <w:tc>
          <w:tcPr>
            <w:tcW w:w="15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$324,701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$334,409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$324,701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(1)Inflows represents limited partner capital raised by our carry funds or separately managed accounts for which management fees based on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commitments were activated during the period, the fee-earning commitments invested in vehicles for which management fees are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on invested capital, incremental fee-earning collateral from new CLO issuances and resets, reinsurance and other transactions at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Fortitude, as well as gross subscriptions in vehicles for which management fees are based on net asset value. Inflows exclude fundraising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amounts during the period for which fees have not yet been activated, which are referenced as Pending Fee-earning AUM.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(2)Outflows represents the impact of realizations from vehicles with management fees based on remaining invested capital at cost or fair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value, changes in basis for funds where the investment period, weighted-average investment period or commitment fee period has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expired during the period, reductions for funds that are no longer calling for fees, gross redemptions in our evergreen funds, and outflows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from our liquid credit products. Distributions for funds earning management fees based on commitments during the period do not affect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Fee-earning AUM.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(3)Market Activity &amp; Other represents realized and unrealized gains (losses) on portfolio investments in our carry funds based on the lower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of cost or fair value and net asset value, activity of funds with fees based on gross asset value, and changes in the fair value of Fortitude’s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general account assets covered by the strategic advisory services agreement.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(4)Foreign Exchange represents the impact of foreign exchange rate fluctuations on the translation of our non-U.S. dollar denominated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funds. Activity during the period is translated at the average rate for the period. Ending balances are translated at the spot rate as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period end.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Refer to “—Segment Analysis” for a detailed discussion by segment of the activity affecting Fee-earning AUM for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 the periods presented by segment.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Assets under Management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  <w:r>
        <w:rPr/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Assets under management or “AUM” refers to the assets we manage or advise. Our AUM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generally equals the sum of the following: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(a)  the aggregate fair value of our carry funds and related co-investment vehicles, and separately managed accounts, plus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capital that Carlyle is entitled to call from investors in those funds and vehicles (including Carlyle commitments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those funds and vehicles and those of senior Carlyle professionals and employees) pursuant to the terms of their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commitments to those funds and vehicles;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(b) the amount of aggregate collateral balance and principal cash at par or aggregate principal amount of the notes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CLOs and other structured products (inclusive of all positions);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(c) the net asset value of certain carry funds and evergreen products;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(d)the fair value of Fortitude’s general account assets invested under the strategic advisory services agreement; and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(e) the gross assets (including assets acquired with leverage) of certain cross-platform credit and direct lending products,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plus the capital that Carlyle is entitled to call from investors in those vehicles pursuant to the terms of their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commitments to those vehicles.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chart below presents Total AUM by segment at each period, in billions.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81775" cy="329692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329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i-3"/>
      <w:bookmarkEnd w:id="3"/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include in our calculation of AUM and Fee-earning AUM the NGP Energy Funds that are advised by NGP.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calculation of AUM also includes third-party capital raised for the investment in Fortitude through a Carlyle-affiliated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 fund and from strategic investors who directly invest in Fortitude alongside the fund. The AUM and Fee-earning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AUM related to the strategic advisory services agreement with Fortitude are inclusive of the net asset value of investments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Carlyle products. These amounts are also reflected in the AUM and Fee-earning AUM of the strategy in which they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invested.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most of our Global Private Equity and Carlyle AlpInvest carry funds, total AUM includes the fair value of the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invested, whereas Fee-earning AUM includes the amount of capital commitments or the remaining amount of invested capital,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depending on whether the original investment period for the fund has expired. As such, Fee-earning AUM may be greater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total AUM when the aggregate fair value of the remaining investments is less than the cost of those investments.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calculations of AUM and Fee-earning AUM may differ from the calculations of other asset managers. As a result,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these measures may not be comparable to similar measures presented by other asset managers. In addition, our calculation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AUM (but not Fee-earning AUM) includes uncalled commitments to, and the fair value of invested capital in, our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 from Carlyle and our personnel, regardless of whether such commitments or invested capital are subject to 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fees or performance allocations. Our calculations of AUM and Fee-earning AUM are not based on any definition of AUM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Fee-earning AUM that is set forth in the agreements governing the investment funds that we manage or advise.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generally use Fee-earning AUM as a metric to measure changes in the assets from which we earn recurring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management fees. Total AUM tends to be a better measure of our investment and fundraising performance as it reflects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investments at fair value plus available capital.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table below provides the period to period rollforward of Total AUM.</w:t>
      </w:r>
    </w:p>
    <w:tbl>
      <w:tblPr>
        <w:tblW w:w="61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1801"/>
        <w:gridCol w:w="109"/>
        <w:gridCol w:w="1591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8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Results</w:t>
            </w:r>
          </w:p>
        </w:tc>
        <w:tc>
          <w:tcPr>
            <w:tcW w:w="350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AUM Rollforward</w:t>
            </w:r>
          </w:p>
        </w:tc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Beginning of Period</w:t>
            </w:r>
          </w:p>
        </w:tc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$475,418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$476,867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Inflows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16,784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29,762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Outflows (including realizations)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(11,319)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(24,845)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Market Activity &amp; 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5,421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5,517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Foreign Exchange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8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(809)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(1,806)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End of Period</w:t>
            </w:r>
          </w:p>
        </w:tc>
        <w:tc>
          <w:tcPr>
            <w:tcW w:w="18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$485,495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$485,495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(1)Inflows generally reflects the impact of gross fundraising, reinsurance and other transactions at Fortitude, and corporate acquisitions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during the period, if any. For funds or vehicles denominated in foreign currencies, this reflects translation at the average quarterly rate.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(2)Outflows includes distributions net of recallable or recyclable amounts in our carry funds, related co-investment vehicles, and separately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managed accounts, gross redemptions in our evergreen products, outflows from our liquid credit products, and the expiration of available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capital.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(3)Market Activity &amp; Other generally represents realized and unrealized gains (losses) on portfolio investments in our carry funds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related co-investment vehicles, and separately managed accounts, as well as the net impact of fees, expenses and non-investment income,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change in gross asset value for our business development companies, changes in the fair value of Fortitude’s general account assets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covered by the strategic advisory services agreement, and other changes in AUM.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(4)Foreign Exchange represents the impact of foreign exchange rate fluctuations on the translation of our non-U.S. dollar denominated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funds. Activity during the period is translated at the average rate for the period. Ending balances are translated at the spot rate as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period end.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Please refer to “—Segment Analysis” for a detailed discussion by segment of the activity affecting Total AUM for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 the periods presented.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Available Capital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  <w:r>
        <w:rPr/>
        <w:t xml:space="preserve"> </w:t>
      </w: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Available Capital” refers to the amount of capital commitments available to be called for investments,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which may be reduced for equity invested that is funded via a fund credit facility and expected to be called from investors at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later date, plus any additional assets/liabilities at the fund level other than active investments. Amounts previously called may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be added back to available capital following certain distributions. “Expired Available Capital” occurs when a fund has passed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investment and follow-on periods and can no longer invest capital into new or existing deals. Any remaining Available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Capital, typically a result of either recycled distributions or specific reserves established for the follow-on period that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drawn, can only be called for fees and expenses and is therefore removed from the Total AUM calculation.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</w:rPr>
        <w:t>Perpetual Capital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  <w:r>
        <w:rPr>
          <w:sz w:val="24"/>
        </w:rPr>
        <w:t xml:space="preserve">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Perpetual Capital” refers to the assets we manage or advise which have an indefinite term and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there is no immediate requirement to return capital to investors upon the realization of investments made with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capital, except as required by applicable law. Perpetual Capital may be materially reduced or terminated under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conditions, including reductions from changes in valuations and payments to investors, including through elections by investors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redeem their investments, dividend payments, and other payment obligations, as well as the termination of or failure to renew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respective investment advisory agreements. Perpetual Capital includes: (a) assets managed under the strategic advisory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services agreement with Fortitude, (b) our Core Plus real estate fund, (c) our business development companies and certain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direct lending products, (d) Carlyle Tactical Private Credit Fund (“CTAC”), (e) our closed-end tender offer Carlyle AlpInvest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Private Markets (“CAPM”) funds and Carlyle AlpInvest Private Markets Secondaries (“CAPS”) funds, and (f) certain other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structured credit and asset-backed finance products.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our total AUM and Fee-earning AUM included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$119.7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$113.2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respectively, of Perpetual Capital. Our Perpetual Capital total AUM and Fee-earning AUM,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exclusive of assets managed under the strategic advisory services agreement with Fortitude,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$39.9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$33.5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respectively,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Performance Fee Eligible AUM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  <w:r>
        <w:rPr/>
        <w:t xml:space="preserve"> </w:t>
      </w: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Performance Fee Eligible AUM” represents the AUM of funds for which we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entitled to receive performance allocations, inclusive of the fair value of investments in those funds (which we refer to as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Performance Fee Eligible Fair Value”) and their Available Capital. Performance Fee Eligible Fair Value is “Performance Fee-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Generating” when the associated fund has achieved the specified investment returns required under the terms of the fund’s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agreement and is accruing performance revenue as of the quarter-end reporting date. Funds whose performance allocations are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treated as fee related performance revenues are excluded from these metrics.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our total AUM included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$236.6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 Performance Fee Eligible AUM.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Consolidation of Certain Carlyle Funds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Company consolidates all entities that it controls either through a majority voting interest or as the primary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beneficiary of variable interest entities. The fund entities we consolidate are referred to collectively as the Consolidated Funds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our condensed consolidated financial statements. The assets and liabilities of the Consolidated Funds are generally held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within separate legal entities and, as a result, the assets of the Consolidated Funds are not available to support our operating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activities and similarly the liabilities of the Consolidated Funds are non-recourse to us.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our Consolidated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 represent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our AUM;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our management fees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months ended June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respectively;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18%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our total investment income or loss on an unconsolidated basis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respectively.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are not required under the consolidation guidance to consolidate in our financial statements most of the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 we advise. However, we consolidate certain CLOs and certain other funds that we advise, and the number of funds we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required to consolidate has been increasing as a result of the impacts of capital from our balance sheet invested in new products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our indirect interest in funds through our investment in Fortitude (see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).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the assets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liabilities of the Consolidated Funds were primarily related to our consolidated CLOs, which held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approximately $10.9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total assets. Additionally, the Investments of Consolidated Funds included approximately $1.1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related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investments that have been bridged to investment funds in our Global Private Equity segment.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Generally, the consolidation of the Consolidated Funds has a gross-up effect on our assets, liabilities and cash flows but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has no net effect on the net income attributable to the Company beyond the capital contributed by the Company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Consolidated Funds. The majority of the net economic ownership interests of the Consolidated Funds are reflected as non-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controlling interests in consolidated entities in the condensed consolidated financial statements. However, in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Consolidated Funds, particularly those where we have elected to invest additional amounts or bridge investments in new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 areas, the non-controlling interests are less significant and may impact net income attributable to the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stockholders.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Consolidated Funds are not the same entities in all periods presented. The Consolidated Funds in future periods may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change due to changes in fund terms, formation of new funds, and terminations of funds. Because only a small portion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 are consolidated, the performance of the Consolidated Funds is not necessarily consistent with or representative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combined performance trends of all of our funds.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further information on our consolidation policy and the consolidation of certain funds, 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Summary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Significant Accounting Policies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condensed consolidated financial statements included in this Quarterly Report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Form 10-Q.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Consolidated Results of Operations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and discussion sets forth information regarding our condensed consolidated results of operations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Our condensed consolidated financial statements have been prepared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on substantially the same basis for all historical periods presented; however, the Consolidated Funds are not the same entities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all periods shown due to changes in fund terms and the creation and termination of funds. As further described above,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consolidation of these funds primarily has the impact of increasing interest and other income of Consolidated Funds, 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other expenses of Consolidated Funds, and net investment income (losses) of Consolidated Funds in the year that the fund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is initially consolidated. The consolidation of these funds had no effect on net income attributable to the Company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periods presented. </w:t>
      </w:r>
    </w:p>
    <w:tbl>
      <w:tblPr>
        <w:tblW w:w="966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56"/>
        <w:gridCol w:w="809"/>
        <w:gridCol w:w="136"/>
        <w:gridCol w:w="809"/>
        <w:gridCol w:w="109"/>
        <w:gridCol w:w="721"/>
        <w:gridCol w:w="109"/>
        <w:gridCol w:w="646"/>
        <w:gridCol w:w="109"/>
        <w:gridCol w:w="736"/>
        <w:gridCol w:w="109"/>
        <w:gridCol w:w="736"/>
        <w:gridCol w:w="109"/>
        <w:gridCol w:w="766"/>
        <w:gridCol w:w="109"/>
        <w:gridCol w:w="691"/>
      </w:tblGrid>
      <w:tr>
        <w:trPr/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0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704" w:type="dxa"/>
            <w:gridSpan w:val="15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$657.0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$620.4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$1,241.0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$1,206.5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Incentive fees</w:t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98.9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150.6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66.9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80%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 income (loss)</w:t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allocations</w:t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44.7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(594.1)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(93)%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(636.4)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861.7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(1,498.1)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69.2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141.5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investment income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(loss)</w:t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113.9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(580.1)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(84)%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(502.8)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853.8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(1,356.6)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and other income</w:t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61.2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116.5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105.6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Interest and other income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Funds</w:t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192.5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26%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1,123.5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1,572.9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(449.4)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(29)%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1,377.5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2,546.0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(1,168.5)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(46)%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Cash-based compensation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benefits</w:t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261.9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489.0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Equity-based compensation</w:t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116.0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235.8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196.4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20%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Performance allocations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incentive fee related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</w:t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93.6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(350.0)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(79)%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(274.3)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(889.3)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compensation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benefits</w:t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471.5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774.9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(303.4)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(39)%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450.5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1,268.2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(817.7)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(64)%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General, administrative and 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</w:t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202.9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205.5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387.5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379.1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</w:t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38.2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38%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Interest and other expenses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Funds</w:t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163.3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329.7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284.3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16%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non-operating income</w:t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(100)%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(100)%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875.9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1,179.1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(303.2)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(26)%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1,244.5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1,987.3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(742.8)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(37)%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investment income of 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Funds</w:t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26.2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(20.6)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(44)%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(38.2)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(91.1)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Income before provision for income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taxes</w:t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273.8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440.6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(166.8)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(38)%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94.8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611.6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(516.8)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(84)%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Provision for income taxes</w:t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49.0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(63.5)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(56)%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124.9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(113.0)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(90)%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224.8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328.1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(103.3)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(31)%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486.7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(403.8)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(83)%</w:t>
            </w:r>
          </w:p>
        </w:tc>
      </w:tr>
      <w:tr>
        <w:trPr/>
        <w:tc>
          <w:tcPr>
            <w:tcW w:w="29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non-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controlling interests in 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87.7</w:t>
            </w:r>
          </w:p>
        </w:tc>
        <w:tc>
          <w:tcPr>
            <w:tcW w:w="1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111%</w:t>
            </w:r>
          </w:p>
        </w:tc>
      </w:tr>
      <w:tr>
        <w:trPr/>
        <w:tc>
          <w:tcPr>
            <w:tcW w:w="2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income attributable to The Carlyle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Group Inc. Common Stockholders</w:t>
            </w:r>
          </w:p>
        </w:tc>
        <w:tc>
          <w:tcPr>
            <w:tcW w:w="8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$137.1</w:t>
            </w:r>
          </w:p>
        </w:tc>
        <w:tc>
          <w:tcPr>
            <w:tcW w:w="1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$319.7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$(182.6)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(57)%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$449.7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$(444.8)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(99)%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/>
          <w:sz w:val="18"/>
        </w:rPr>
      </w:pPr>
      <w:r>
        <w:rPr>
          <w:rFonts w:ascii="Times New Roman;serif" w:hAnsi="Times New Roman;serif"/>
          <w:b w:val="false"/>
          <w:i/>
          <w:sz w:val="18"/>
        </w:rPr>
        <w:t>NM - Not meaningful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Revenues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</w:rPr>
        <w:t>Fund management fees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 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he following table provides the components of the changes in Fund management fees for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periods presented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: </w:t>
      </w:r>
    </w:p>
    <w:tbl>
      <w:tblPr>
        <w:tblW w:w="94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86"/>
        <w:gridCol w:w="1756"/>
        <w:gridCol w:w="109"/>
        <w:gridCol w:w="1591"/>
      </w:tblGrid>
      <w:tr>
        <w:trPr/>
        <w:tc>
          <w:tcPr>
            <w:tcW w:w="5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 v. 2025</w:t>
            </w:r>
          </w:p>
        </w:tc>
      </w:tr>
      <w:tr>
        <w:trPr/>
        <w:tc>
          <w:tcPr>
            <w:tcW w:w="5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9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Higher management fees from the commencement of the investment period for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certain newly raised funds which charge fees based on commitments and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impact of incremental fundraising in funds which activated fees in a prior period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$91.0</w:t>
            </w:r>
          </w:p>
        </w:tc>
      </w:tr>
      <w:tr>
        <w:trPr/>
        <w:tc>
          <w:tcPr>
            <w:tcW w:w="59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lower management fees resulting from the change in basis from commitments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 invested capital and step-downs in rate for certain funds and the impact of net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 activity in funds whose management fees are based on invested capital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(33.6)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(50.6)</w:t>
            </w:r>
          </w:p>
        </w:tc>
      </w:tr>
      <w:tr>
        <w:trPr/>
        <w:tc>
          <w:tcPr>
            <w:tcW w:w="59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Decrease in catch-up management fees from subsequent closes of funds that are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fundraising period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(26.7)</w:t>
            </w:r>
          </w:p>
        </w:tc>
      </w:tr>
      <w:tr>
        <w:trPr/>
        <w:tc>
          <w:tcPr>
            <w:tcW w:w="59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Higher transaction and portfolio advisory fees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35.3</w:t>
            </w:r>
          </w:p>
        </w:tc>
      </w:tr>
      <w:tr>
        <w:trPr/>
        <w:tc>
          <w:tcPr>
            <w:tcW w:w="59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All other changes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(14.5)</w:t>
            </w:r>
          </w:p>
        </w:tc>
      </w:tr>
      <w:tr>
        <w:trPr/>
        <w:tc>
          <w:tcPr>
            <w:tcW w:w="59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Total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increase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 Fund management fees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$34.5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(1)The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three and six months ended June 30,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included approximately $19 million of aviation catch-up subordinated management fees.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(2)Total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increase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in Fund management fees does not include our equity income allocation from NGP management fee related revenues. We do not control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NGP and account for our strategic investment in NGP as an equity method investment under U.S. GAAP. Therefore, Fund management fees associated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with NGP are included in Principal investment income (loss) in our U.S. GAAP results.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 fund generated over 10% of total fund management fees in any of the periods presented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Fee-earning AUM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increased in Carlyle AlpInvest and Global Credit and decreased in Global Private Equity as compared to June 30,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2025, reflecting a diversified fund management fee base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across our three business segments.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 management fees included transaction and portfolio advisory fees, net of rebate offsets,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$108.5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$45.8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 and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$157.8 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$122.5 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2026 and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respectively.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These fees primarily comprise capital markets fees generated by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Global Capital Markets. The recognition of portfolio advisory fees, transactions fees, and capital markets fees can be volatile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they are primarily generated by investment activity within our funds, and therefore are impacted by our investment pace. See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“—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Trends Affecting Our Business” for further discussion on our investment activity and broader market trends.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Incentive fees.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Incentive fees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$58.4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$66.9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primarily due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catch-up fees from the restructuring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certain incentive fee arrangements in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Global Credit segment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well as the growth and performance of the CAPM and CAPS evergreen funds in the Carlyle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AlpInvest segment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Investment income (loss)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components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income (loss)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are included in the following table:</w:t>
      </w:r>
    </w:p>
    <w:tbl>
      <w:tblPr>
        <w:tblW w:w="938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06"/>
        <w:gridCol w:w="805"/>
        <w:gridCol w:w="145"/>
        <w:gridCol w:w="805"/>
        <w:gridCol w:w="109"/>
        <w:gridCol w:w="721"/>
        <w:gridCol w:w="109"/>
        <w:gridCol w:w="556"/>
        <w:gridCol w:w="109"/>
        <w:gridCol w:w="778"/>
        <w:gridCol w:w="117"/>
        <w:gridCol w:w="649"/>
        <w:gridCol w:w="109"/>
        <w:gridCol w:w="856"/>
        <w:gridCol w:w="109"/>
        <w:gridCol w:w="601"/>
      </w:tblGrid>
      <w:tr>
        <w:trPr/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1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8" w:type="dxa"/>
            <w:gridSpan w:val="1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 allocations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$44.7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$(594.1)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(93)%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$(636.4)</w:t>
            </w:r>
          </w:p>
        </w:tc>
        <w:tc>
          <w:tcPr>
            <w:tcW w:w="1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$861.7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$(1,498.1)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Principal investment income (loss)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: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Investment income (loss) from NGP,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which includes 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allocations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44.0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99.3</w:t>
            </w:r>
          </w:p>
        </w:tc>
        <w:tc>
          <w:tcPr>
            <w:tcW w:w="1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(72.4)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171.7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Investment income (loss) from 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carry funds: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21.2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168%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19.5</w:t>
            </w:r>
          </w:p>
        </w:tc>
        <w:tc>
          <w:tcPr>
            <w:tcW w:w="1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1%</w:t>
            </w:r>
          </w:p>
        </w:tc>
      </w:tr>
      <w:tr>
        <w:trPr/>
        <w:tc>
          <w:tcPr>
            <w:tcW w:w="2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Credit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(5.3)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(2.2)</w:t>
            </w:r>
          </w:p>
        </w:tc>
        <w:tc>
          <w:tcPr>
            <w:tcW w:w="1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0.7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(84)%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(2.3)</w:t>
            </w:r>
          </w:p>
        </w:tc>
        <w:tc>
          <w:tcPr>
            <w:tcW w:w="1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 loss from our CLOs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(0.7)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(90)%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(10.4)</w:t>
            </w:r>
          </w:p>
        </w:tc>
        <w:tc>
          <w:tcPr>
            <w:tcW w:w="1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39%</w:t>
            </w:r>
          </w:p>
        </w:tc>
      </w:tr>
      <w:tr>
        <w:trPr/>
        <w:tc>
          <w:tcPr>
            <w:tcW w:w="2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 income from Carlyle FRL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3.5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10.3</w:t>
            </w:r>
          </w:p>
        </w:tc>
        <w:tc>
          <w:tcPr>
            <w:tcW w:w="1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(33)%</w:t>
            </w:r>
          </w:p>
        </w:tc>
      </w:tr>
      <w:tr>
        <w:trPr/>
        <w:tc>
          <w:tcPr>
            <w:tcW w:w="2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Investment income (loss) from 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Global Credit products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5.3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6.3</w:t>
            </w:r>
          </w:p>
        </w:tc>
        <w:tc>
          <w:tcPr>
            <w:tcW w:w="1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34%</w:t>
            </w:r>
          </w:p>
        </w:tc>
      </w:tr>
      <w:tr>
        <w:trPr/>
        <w:tc>
          <w:tcPr>
            <w:tcW w:w="2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Investment income from our 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 products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1.3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(84)%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14.7</w:t>
            </w:r>
          </w:p>
        </w:tc>
        <w:tc>
          <w:tcPr>
            <w:tcW w:w="1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(26)%</w:t>
            </w:r>
          </w:p>
        </w:tc>
      </w:tr>
      <w:tr>
        <w:trPr/>
        <w:tc>
          <w:tcPr>
            <w:tcW w:w="2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Investment income on foreign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currency hedges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1.5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(38)%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0.5</w:t>
            </w:r>
          </w:p>
        </w:tc>
        <w:tc>
          <w:tcPr>
            <w:tcW w:w="1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(69)%</w:t>
            </w:r>
          </w:p>
        </w:tc>
      </w:tr>
      <w:tr>
        <w:trPr/>
        <w:tc>
          <w:tcPr>
            <w:tcW w:w="2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All other investment income (loss)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(2.3)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(2.1)</w:t>
            </w:r>
          </w:p>
        </w:tc>
        <w:tc>
          <w:tcPr>
            <w:tcW w:w="1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Total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Principal investment income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(loss)</w:t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69.2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133.6</w:t>
            </w:r>
          </w:p>
        </w:tc>
        <w:tc>
          <w:tcPr>
            <w:tcW w:w="1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141.5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8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Total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Investment income (loss)</w:t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$113.9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$694.0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$(580.1)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(84)%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$(502.8)</w:t>
            </w:r>
          </w:p>
        </w:tc>
        <w:tc>
          <w:tcPr>
            <w:tcW w:w="1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$853.8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$(1,356.6)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Performance allocations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allocations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by segment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comprised the following: </w:t>
      </w:r>
    </w:p>
    <w:tbl>
      <w:tblPr>
        <w:tblW w:w="88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06"/>
        <w:gridCol w:w="907"/>
        <w:gridCol w:w="137"/>
        <w:gridCol w:w="756"/>
        <w:gridCol w:w="109"/>
        <w:gridCol w:w="721"/>
        <w:gridCol w:w="109"/>
        <w:gridCol w:w="556"/>
        <w:gridCol w:w="109"/>
        <w:gridCol w:w="778"/>
        <w:gridCol w:w="117"/>
        <w:gridCol w:w="649"/>
        <w:gridCol w:w="109"/>
        <w:gridCol w:w="856"/>
        <w:gridCol w:w="109"/>
        <w:gridCol w:w="601"/>
      </w:tblGrid>
      <w:tr>
        <w:trPr/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1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3" w:type="dxa"/>
            <w:gridSpan w:val="1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2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9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$(101.8)</w:t>
            </w:r>
          </w:p>
        </w:tc>
        <w:tc>
          <w:tcPr>
            <w:tcW w:w="1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$476.9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$(578.7)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$(799.9)</w:t>
            </w:r>
          </w:p>
        </w:tc>
        <w:tc>
          <w:tcPr>
            <w:tcW w:w="1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$(1,361.8)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2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Credit</w:t>
            </w:r>
          </w:p>
        </w:tc>
        <w:tc>
          <w:tcPr>
            <w:tcW w:w="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102.6</w:t>
            </w:r>
          </w:p>
        </w:tc>
        <w:tc>
          <w:tcPr>
            <w:tcW w:w="1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139.3</w:t>
            </w:r>
          </w:p>
        </w:tc>
        <w:tc>
          <w:tcPr>
            <w:tcW w:w="1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129.8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</w:tr>
      <w:tr>
        <w:trPr/>
        <w:tc>
          <w:tcPr>
            <w:tcW w:w="22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90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43.9</w:t>
            </w:r>
          </w:p>
        </w:tc>
        <w:tc>
          <w:tcPr>
            <w:tcW w:w="1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(67.2)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(60)%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24.2</w:t>
            </w:r>
          </w:p>
        </w:tc>
        <w:tc>
          <w:tcPr>
            <w:tcW w:w="1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(145.8)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(86)%</w:t>
            </w:r>
          </w:p>
        </w:tc>
      </w:tr>
      <w:tr>
        <w:trPr/>
        <w:tc>
          <w:tcPr>
            <w:tcW w:w="22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performance allocations</w:t>
            </w:r>
          </w:p>
        </w:tc>
        <w:tc>
          <w:tcPr>
            <w:tcW w:w="90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$44.7</w:t>
            </w:r>
          </w:p>
        </w:tc>
        <w:tc>
          <w:tcPr>
            <w:tcW w:w="1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$638.8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$(594.1)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(93)%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$(636.4)</w:t>
            </w:r>
          </w:p>
        </w:tc>
        <w:tc>
          <w:tcPr>
            <w:tcW w:w="1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$861.7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$(1,498.1)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allocations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included the following: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Global Private Equity segment, for the three and six months ended June 30, 2026, reversals of Performance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allocations were primarily attributable to declines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CP VII’s accrued performance allocations, largely due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decreases in the market price of certain public investments and the impact of preferred return, partially offset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accruals of Performance allocations resulting from appreciation in our international energy funds, CJP IV, CP VIII,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CP Growth I, CGP II, and CETP III.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Global Credit segment, for the three and six months ended June 30, 2026, Performance allocation accruals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 primarily driven by appreciation in CCOF III, SASOF IV, and SASOF V.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Carlyle AlpInvest segment, for the three and six months ended June 30, 2026, Performance allocation accruals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 primarily driven by appreciation in our secondaries &amp; portfolio finance funds, partially offset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declines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ACF VIII due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impact of preferred return.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allocations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included the following: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Global Private Equity segment,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Performance allocation accruals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were primarily driven by appreciation in CAP V, CP VII, and CP VIII.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Performance allocation accruals were primarily driven by appreciation in CP VII and CP VIII.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Global Credit segment,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Performance allocation accruals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were primarily driven by appreciation in SASOF V and CCOF II.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Carlyle AlpInvest segment,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Performance allocation accruals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were primarily driven by appreciation in our secondaries &amp; portfolio finance and co-investment 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See “—Trends Affecting Our Business” for further discussion on the macroeconomic, geopolitical and industry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landscape, and our investment activity.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Principal investment income (loss)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Principal investment income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 and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primarily attributable to performance allocations on funds managed by NGP. Principal investment income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six months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was primarily attributable to performance allocations on funds managed by NGP. Principal investment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loss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was primarily attributable to an impairment charge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$92.5 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$38.0 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reduction in NGP accrued carry, both of which negatively impacted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result of the restructuring of the terms of our strategic investment in NGP (see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for more information).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Interest and other income of Consolidated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 Interest and other income of Consolidated Funds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$29.5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 months ended June 30, 2026, as compared to the three months ended June 30, 2025, and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$75.8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ended June 30, 2026, as compared to the six months ended June 30, 2025, primarily driven by 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 in interest income from our consolidated CLOs.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Expenses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Compensation and benefits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compensation and benefits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$303.4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three months ended June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2026, as compared to the three months ended June 30, 2025, and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$817.7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ended June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2026, as compared to the six months ended June 30, 2025. The decrease for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relative to the comparable prior year period is primarily attributable to a decrease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Performance allocations and incentive fee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$350.0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$889.3 million, respectively, which was driven by a decrease in Performance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allocations, on which Performance allocations and incentive fee related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is based. This was partially offset by 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Equity-based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relative to the comparable prior year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period of $23.1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$39.4 million, respectively, primarily driven by stock awards granted in December 2025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February 2026 to further align leadership with Company performance, as well as an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Cash-based compensation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benefits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$23.5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$32.2 million, respectively, primarily due to an increase in headcount.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Interest and other expenses of Consolidated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 Interest and other expenses of Consolidated Funds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$7.5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three months ended June 30, 2026, as compared to the three months ended June 30, 2025. Interest and other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expenses of Consolidated Funds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$45.4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ended June 30, 2026, as compared to the six months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June 30, 2025,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primarily due to higher interest expense related to the consolidated CLOs and a collateralized fund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obligation in the Carlyle AlpInvest segment that was consolidated in the third quarter of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Other Income (Loss)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Net investment income (loss) of Consolidated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  <w:r>
        <w:rPr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table below summarizes the components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Net investment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 (loss) of Consolidated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97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66"/>
        <w:gridCol w:w="864"/>
        <w:gridCol w:w="149"/>
        <w:gridCol w:w="741"/>
        <w:gridCol w:w="109"/>
        <w:gridCol w:w="631"/>
        <w:gridCol w:w="109"/>
        <w:gridCol w:w="556"/>
        <w:gridCol w:w="109"/>
        <w:gridCol w:w="761"/>
        <w:gridCol w:w="131"/>
        <w:gridCol w:w="652"/>
        <w:gridCol w:w="109"/>
        <w:gridCol w:w="631"/>
        <w:gridCol w:w="109"/>
        <w:gridCol w:w="601"/>
      </w:tblGrid>
      <w:tr>
        <w:trPr/>
        <w:tc>
          <w:tcPr>
            <w:tcW w:w="3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34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6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34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262" w:type="dxa"/>
            <w:gridSpan w:val="1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realized gains (losses) on investments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Funds (excluding CLOs)</w:t>
            </w:r>
          </w:p>
        </w:tc>
        <w:tc>
          <w:tcPr>
            <w:tcW w:w="8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$8.3</w:t>
            </w:r>
          </w:p>
        </w:tc>
        <w:tc>
          <w:tcPr>
            <w:tcW w:w="1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$28.6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$18.6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54%</w:t>
            </w:r>
          </w:p>
        </w:tc>
      </w:tr>
      <w:tr>
        <w:trPr/>
        <w:tc>
          <w:tcPr>
            <w:tcW w:w="3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change in unrealized gains (losses)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investments of Consolidated Funds (excluding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CLOs)</w:t>
            </w:r>
          </w:p>
        </w:tc>
        <w:tc>
          <w:tcPr>
            <w:tcW w:w="86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34.8</w:t>
            </w:r>
          </w:p>
        </w:tc>
        <w:tc>
          <w:tcPr>
            <w:tcW w:w="1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(18.5)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(35)%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(15.0)</w:t>
            </w:r>
          </w:p>
        </w:tc>
        <w:tc>
          <w:tcPr>
            <w:tcW w:w="1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(70.6)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3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realized and unrealized gains (losses)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on investments of Consolidated Funds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(excluding CLOs)</w:t>
            </w:r>
          </w:p>
        </w:tc>
        <w:tc>
          <w:tcPr>
            <w:tcW w:w="86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43.1</w:t>
            </w:r>
          </w:p>
        </w:tc>
        <w:tc>
          <w:tcPr>
            <w:tcW w:w="1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(26)%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13.6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74.2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(60.6)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(82)%</w:t>
            </w:r>
          </w:p>
        </w:tc>
      </w:tr>
      <w:tr>
        <w:trPr/>
        <w:tc>
          <w:tcPr>
            <w:tcW w:w="3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Gains (losses) on investments of 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CLOs</w:t>
            </w:r>
          </w:p>
        </w:tc>
        <w:tc>
          <w:tcPr>
            <w:tcW w:w="86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103.5</w:t>
            </w:r>
          </w:p>
        </w:tc>
        <w:tc>
          <w:tcPr>
            <w:tcW w:w="1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(53.4)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156.9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(115.6)</w:t>
            </w:r>
          </w:p>
        </w:tc>
        <w:tc>
          <w:tcPr>
            <w:tcW w:w="1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(62.6)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(53.0)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85%</w:t>
            </w:r>
          </w:p>
        </w:tc>
      </w:tr>
      <w:tr>
        <w:trPr/>
        <w:tc>
          <w:tcPr>
            <w:tcW w:w="3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Gains (losses) from liabilities of 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CLOs</w:t>
            </w:r>
          </w:p>
        </w:tc>
        <w:tc>
          <w:tcPr>
            <w:tcW w:w="86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(120.4)</w:t>
            </w:r>
          </w:p>
        </w:tc>
        <w:tc>
          <w:tcPr>
            <w:tcW w:w="1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(162.6)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63.8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54%</w:t>
            </w:r>
          </w:p>
        </w:tc>
      </w:tr>
      <w:tr>
        <w:trPr/>
        <w:tc>
          <w:tcPr>
            <w:tcW w:w="3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gains (losses) from consolidated CLOs</w:t>
            </w:r>
          </w:p>
        </w:tc>
        <w:tc>
          <w:tcPr>
            <w:tcW w:w="864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(16.9)</w:t>
            </w:r>
          </w:p>
        </w:tc>
        <w:tc>
          <w:tcPr>
            <w:tcW w:w="1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(51.8)</w:t>
            </w:r>
          </w:p>
        </w:tc>
        <w:tc>
          <w:tcPr>
            <w:tcW w:w="1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(21.3)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143%</w:t>
            </w:r>
          </w:p>
        </w:tc>
      </w:tr>
      <w:tr>
        <w:trPr/>
        <w:tc>
          <w:tcPr>
            <w:tcW w:w="3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net investment income (loss)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Funds</w:t>
            </w:r>
          </w:p>
        </w:tc>
        <w:tc>
          <w:tcPr>
            <w:tcW w:w="86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$26.2</w:t>
            </w:r>
          </w:p>
        </w:tc>
        <w:tc>
          <w:tcPr>
            <w:tcW w:w="1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$(20.6)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(44)%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$(38.2)</w:t>
            </w:r>
          </w:p>
        </w:tc>
        <w:tc>
          <w:tcPr>
            <w:tcW w:w="1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$52.9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$(91.1)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investment income (loss) of Consolidated Funds for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included net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change in unrealized loss on an investment in a consolidated infrastructure fund in our Global Private Equity segment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approximately $47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$82 million, respectively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Through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the cumulative unrealized investment loss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recognized with respect to this investment attributable to the Company was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$222 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will be realized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upon the disposition of the fund’s investment,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we currently expect will occur later in 2026. These unrealized losses were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partially offset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by unrealized gains primarily attributable to consolidated funds in our Carlyle AlpInvest segment.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Substantially all net investment income (loss) of Consolidated Funds, together with interest and other income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Consolidated Funds and interest and other expenses of Consolidated Funds, is attributable to the related funds’ limited partners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or CLO investors. Accordingly, such amounts have no material impact on net income attributable to the Company beyond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Company’s capital invested in the Consolidated 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Income Tax Expense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Provision for income taxes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 Our provision for income taxes was $49.0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$112.5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three months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June 30, 2026 and 2025, respectively, an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$11.9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$124.9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ended June 30, 2026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2025, respectively. Our effective tax rate was approximately 18%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26%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three months ended June 30, 2026 and 2025,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respectively, and 13%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six months ended June 30, 2026 and 2025, respectively. The effective tax rate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 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primarily comprised the 21% U.S. federal corporate income tax rate, the impact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U.S. state and foreign income taxes, and disallowed executive compensation, offset by non-controlling interest.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effective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tax rate for the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primarily comprised the 21% U.S. federal corporate income tax 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tax effects of equity-based compensation deductions, disallowed executive compensation, and non-controlling interest.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ended June 30, 2026, the effective tax rate also included the impact of a one-time tax expense related to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change in the tax classification of a consolidated subsidiary.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Non-controlling Interests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Net income attributable to non-controlling interests in consolidated entities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Net income attributable to non-controlling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interests in consolidated entities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$87.7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$8.4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$78.0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$37.0 million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compared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six months ended June 30,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primarily due to net earnings of several Consolidated Funds in our Carlyle AlpInvest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segment, partially offset by a decline of $14.0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accrued carry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held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non-controlling interests.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These amounts also reflect the related allocation of Consolidated Funds’ net earnings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limited partners or CLO investors, net earnings from our insurance solutions business and certain other products allocated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third-party investors, and net income attributable to non-controlling interests in carried interest and giveback obligations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net income (loss) of our Consolidated Funds, after eliminations, attributable to non-controlling interests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$59.3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$13.9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 and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$56.8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$21.9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2026 and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Non-GAAP Financial Measures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tables set forth information in the format used by management when making resource deployment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decisions and in assessing performance of our segments. These Non-GAAP financial measures are presented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Our Non-GAAP financial measures exclude the effects of unrealized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allocations net of related compensation expense, unrealized principal investment income, consolidated funds, acquisition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disposition-related items including amortization and any impairment charges of acquired intangible assets and contingent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consideration taking the form of earn-outs, charges associated with the Conversion, impairment charges associated with lease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right-of-use assets, gains or losses from retirement of debt, charges associated with contract terminations and 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severance, charges associated with equity-based compensation, changes in the tax receivable agreement liability,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actions, infrequently occurring or unusual events, and non-recurring items that affect period-to-period comparability and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reflective of the Company’s operating performance.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shows our total segment DE and FRE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tbl>
      <w:tblPr>
        <w:tblW w:w="65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71"/>
        <w:gridCol w:w="916"/>
        <w:gridCol w:w="135"/>
        <w:gridCol w:w="748"/>
        <w:gridCol w:w="109"/>
        <w:gridCol w:w="736"/>
        <w:gridCol w:w="109"/>
        <w:gridCol w:w="781"/>
      </w:tblGrid>
      <w:tr>
        <w:trPr/>
        <w:tc>
          <w:tcPr>
            <w:tcW w:w="2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4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segment revenues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$1,112.2</w:t>
            </w:r>
          </w:p>
        </w:tc>
        <w:tc>
          <w:tcPr>
            <w:tcW w:w="1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$984.0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$1,863.1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$2,027.2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segment expenses</w:t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639.9</w:t>
            </w:r>
          </w:p>
        </w:tc>
        <w:tc>
          <w:tcPr>
            <w:tcW w:w="1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553.0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1,063.8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1,140.8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Distributable Earnings</w:t>
            </w:r>
          </w:p>
        </w:tc>
        <w:tc>
          <w:tcPr>
            <w:tcW w:w="91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$472.3</w:t>
            </w:r>
          </w:p>
        </w:tc>
        <w:tc>
          <w:tcPr>
            <w:tcW w:w="1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$431.0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$799.3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$886.4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(-) Realized net performance revenues</w:t>
            </w:r>
          </w:p>
        </w:tc>
        <w:tc>
          <w:tcPr>
            <w:tcW w:w="91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114.6</w:t>
            </w:r>
          </w:p>
        </w:tc>
        <w:tc>
          <w:tcPr>
            <w:tcW w:w="1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135.1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215.1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(-) Realized principal investment income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22.6</w:t>
            </w:r>
          </w:p>
        </w:tc>
        <w:tc>
          <w:tcPr>
            <w:tcW w:w="1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63.5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(+) Net interest</w:t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22.6</w:t>
            </w:r>
          </w:p>
        </w:tc>
        <w:tc>
          <w:tcPr>
            <w:tcW w:w="1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26.1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Fee Related Earnings</w:t>
            </w:r>
          </w:p>
        </w:tc>
        <w:tc>
          <w:tcPr>
            <w:tcW w:w="91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$357.7</w:t>
            </w:r>
          </w:p>
        </w:tc>
        <w:tc>
          <w:tcPr>
            <w:tcW w:w="1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$323.3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$633.9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sets forth our total segment revenues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tbl>
      <w:tblPr>
        <w:tblW w:w="73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56"/>
        <w:gridCol w:w="916"/>
        <w:gridCol w:w="135"/>
        <w:gridCol w:w="748"/>
        <w:gridCol w:w="109"/>
        <w:gridCol w:w="736"/>
        <w:gridCol w:w="109"/>
        <w:gridCol w:w="781"/>
      </w:tblGrid>
      <w:tr>
        <w:trPr/>
        <w:tc>
          <w:tcPr>
            <w:tcW w:w="3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4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level fee revenues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$560.1</w:t>
            </w:r>
          </w:p>
        </w:tc>
        <w:tc>
          <w:tcPr>
            <w:tcW w:w="1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$589.6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$1,104.6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$1,115.1</w:t>
            </w:r>
          </w:p>
        </w:tc>
      </w:tr>
      <w:tr>
        <w:trPr/>
        <w:tc>
          <w:tcPr>
            <w:tcW w:w="3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Portfolio advisory and transaction fees, net and other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110.5</w:t>
            </w:r>
          </w:p>
        </w:tc>
        <w:tc>
          <w:tcPr>
            <w:tcW w:w="1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164.6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125.8</w:t>
            </w:r>
          </w:p>
        </w:tc>
      </w:tr>
      <w:tr>
        <w:trPr/>
        <w:tc>
          <w:tcPr>
            <w:tcW w:w="3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performance revenues</w:t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88.7</w:t>
            </w:r>
          </w:p>
        </w:tc>
        <w:tc>
          <w:tcPr>
            <w:tcW w:w="1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134.1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78.2</w:t>
            </w:r>
          </w:p>
        </w:tc>
      </w:tr>
      <w:tr>
        <w:trPr/>
        <w:tc>
          <w:tcPr>
            <w:tcW w:w="3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fund level fee revenues</w:t>
            </w:r>
          </w:p>
        </w:tc>
        <w:tc>
          <w:tcPr>
            <w:tcW w:w="9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759.3</w:t>
            </w:r>
          </w:p>
        </w:tc>
        <w:tc>
          <w:tcPr>
            <w:tcW w:w="1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676.2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1,403.3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1,319.1</w:t>
            </w:r>
          </w:p>
        </w:tc>
      </w:tr>
      <w:tr>
        <w:trPr/>
        <w:tc>
          <w:tcPr>
            <w:tcW w:w="3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314.8</w:t>
            </w:r>
          </w:p>
        </w:tc>
        <w:tc>
          <w:tcPr>
            <w:tcW w:w="1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259.8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376.6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614.9</w:t>
            </w:r>
          </w:p>
        </w:tc>
      </w:tr>
      <w:tr>
        <w:trPr/>
        <w:tc>
          <w:tcPr>
            <w:tcW w:w="3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principal investment income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22.6</w:t>
            </w:r>
          </w:p>
        </w:tc>
        <w:tc>
          <w:tcPr>
            <w:tcW w:w="1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63.5</w:t>
            </w:r>
          </w:p>
        </w:tc>
      </w:tr>
      <w:tr>
        <w:trPr/>
        <w:tc>
          <w:tcPr>
            <w:tcW w:w="3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15.5</w:t>
            </w:r>
          </w:p>
        </w:tc>
        <w:tc>
          <w:tcPr>
            <w:tcW w:w="1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29.7</w:t>
            </w:r>
          </w:p>
        </w:tc>
      </w:tr>
      <w:tr>
        <w:trPr/>
        <w:tc>
          <w:tcPr>
            <w:tcW w:w="3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Segment Revenues</w:t>
            </w:r>
          </w:p>
        </w:tc>
        <w:tc>
          <w:tcPr>
            <w:tcW w:w="9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$1,112.2</w:t>
            </w:r>
          </w:p>
        </w:tc>
        <w:tc>
          <w:tcPr>
            <w:tcW w:w="1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$984.0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$1,863.1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$2,027.2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sets forth our total segment expenses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tbl>
      <w:tblPr>
        <w:tblW w:w="731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81"/>
        <w:gridCol w:w="825"/>
        <w:gridCol w:w="149"/>
        <w:gridCol w:w="825"/>
        <w:gridCol w:w="109"/>
        <w:gridCol w:w="736"/>
        <w:gridCol w:w="109"/>
        <w:gridCol w:w="781"/>
      </w:tblGrid>
      <w:tr>
        <w:trPr/>
        <w:tc>
          <w:tcPr>
            <w:tcW w:w="3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4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Expenses</w:t>
            </w:r>
          </w:p>
        </w:tc>
        <w:tc>
          <w:tcPr>
            <w:tcW w:w="8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8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Cash-based compensation and benefits</w:t>
            </w:r>
          </w:p>
        </w:tc>
        <w:tc>
          <w:tcPr>
            <w:tcW w:w="8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$266.3</w:t>
            </w:r>
          </w:p>
        </w:tc>
        <w:tc>
          <w:tcPr>
            <w:tcW w:w="1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$233.8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$484.8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$457.8</w:t>
            </w:r>
          </w:p>
        </w:tc>
      </w:tr>
      <w:tr>
        <w:trPr/>
        <w:tc>
          <w:tcPr>
            <w:tcW w:w="3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 related compensation</w:t>
            </w:r>
          </w:p>
        </w:tc>
        <w:tc>
          <w:tcPr>
            <w:tcW w:w="82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200.2</w:t>
            </w:r>
          </w:p>
        </w:tc>
        <w:tc>
          <w:tcPr>
            <w:tcW w:w="1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172.1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241.5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399.8</w:t>
            </w:r>
          </w:p>
        </w:tc>
      </w:tr>
      <w:tr>
        <w:trPr/>
        <w:tc>
          <w:tcPr>
            <w:tcW w:w="3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82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466.5</w:t>
            </w:r>
          </w:p>
        </w:tc>
        <w:tc>
          <w:tcPr>
            <w:tcW w:w="1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405.9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726.3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857.6</w:t>
            </w:r>
          </w:p>
        </w:tc>
      </w:tr>
      <w:tr>
        <w:trPr/>
        <w:tc>
          <w:tcPr>
            <w:tcW w:w="3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General, administrative, and other indirect expenses</w:t>
            </w:r>
          </w:p>
        </w:tc>
        <w:tc>
          <w:tcPr>
            <w:tcW w:w="8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120.1</w:t>
            </w:r>
          </w:p>
        </w:tc>
        <w:tc>
          <w:tcPr>
            <w:tcW w:w="1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229.7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201.9</w:t>
            </w:r>
          </w:p>
        </w:tc>
      </w:tr>
      <w:tr>
        <w:trPr/>
        <w:tc>
          <w:tcPr>
            <w:tcW w:w="3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 expense</w:t>
            </w:r>
          </w:p>
        </w:tc>
        <w:tc>
          <w:tcPr>
            <w:tcW w:w="8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15.2</w:t>
            </w:r>
          </w:p>
        </w:tc>
        <w:tc>
          <w:tcPr>
            <w:tcW w:w="1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25.5</w:t>
            </w:r>
          </w:p>
        </w:tc>
      </w:tr>
      <w:tr>
        <w:trPr/>
        <w:tc>
          <w:tcPr>
            <w:tcW w:w="3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82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38.1</w:t>
            </w:r>
          </w:p>
        </w:tc>
        <w:tc>
          <w:tcPr>
            <w:tcW w:w="1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55.8</w:t>
            </w:r>
          </w:p>
        </w:tc>
      </w:tr>
      <w:tr>
        <w:trPr/>
        <w:tc>
          <w:tcPr>
            <w:tcW w:w="3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Segment Expenses</w:t>
            </w:r>
          </w:p>
        </w:tc>
        <w:tc>
          <w:tcPr>
            <w:tcW w:w="82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$639.9</w:t>
            </w:r>
          </w:p>
        </w:tc>
        <w:tc>
          <w:tcPr>
            <w:tcW w:w="1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$553.0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$1,063.8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$1,140.8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Income (loss) before provision for income taxes is the U.S. GAAP financial measure most comparable to Distributable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Earnings and Fee Related Earnings. The following table is a reconciliation of income (loss) before provision for income taxes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Distributable Earnings and to Fee Related Earnings.</w:t>
      </w:r>
    </w:p>
    <w:tbl>
      <w:tblPr>
        <w:tblW w:w="894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46"/>
        <w:gridCol w:w="807"/>
        <w:gridCol w:w="146"/>
        <w:gridCol w:w="847"/>
        <w:gridCol w:w="109"/>
        <w:gridCol w:w="705"/>
        <w:gridCol w:w="127"/>
        <w:gridCol w:w="757"/>
      </w:tblGrid>
      <w:tr>
        <w:trPr/>
        <w:tc>
          <w:tcPr>
            <w:tcW w:w="5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0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98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(loss) before provision for income taxes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$273.8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$440.6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$94.8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$611.6</w:t>
            </w:r>
          </w:p>
        </w:tc>
      </w:tr>
      <w:tr>
        <w:trPr/>
        <w:tc>
          <w:tcPr>
            <w:tcW w:w="5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Adjustments: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unrealized performance and fee related performance revenues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71.1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(124.3)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325.6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(34.3)</w:t>
            </w:r>
          </w:p>
        </w:tc>
      </w:tr>
      <w:tr>
        <w:trPr/>
        <w:tc>
          <w:tcPr>
            <w:tcW w:w="5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 principal investment (income) loss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119.1</w:t>
            </w:r>
          </w:p>
        </w:tc>
        <w:tc>
          <w:tcPr>
            <w:tcW w:w="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(42.5)</w:t>
            </w:r>
          </w:p>
        </w:tc>
      </w:tr>
      <w:tr>
        <w:trPr/>
        <w:tc>
          <w:tcPr>
            <w:tcW w:w="5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Equity-based compensation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117.0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238.8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201.1</w:t>
            </w:r>
          </w:p>
        </w:tc>
      </w:tr>
      <w:tr>
        <w:trPr/>
        <w:tc>
          <w:tcPr>
            <w:tcW w:w="5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Acquisition or disposition-related charges, including amortization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intangibles and impairment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44.9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91.3</w:t>
            </w:r>
          </w:p>
        </w:tc>
        <w:tc>
          <w:tcPr>
            <w:tcW w:w="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170.5</w:t>
            </w:r>
          </w:p>
        </w:tc>
      </w:tr>
      <w:tr>
        <w:trPr/>
        <w:tc>
          <w:tcPr>
            <w:tcW w:w="5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Tax (expense) benefit associated with certain foreign performance revenues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(0.3)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0.4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</w:tr>
      <w:tr>
        <w:trPr/>
        <w:tc>
          <w:tcPr>
            <w:tcW w:w="5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(income) loss attributable to non-controlling interests in consolidated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entities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(87.7)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(78.0)</w:t>
            </w:r>
          </w:p>
        </w:tc>
        <w:tc>
          <w:tcPr>
            <w:tcW w:w="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(37.0)</w:t>
            </w:r>
          </w:p>
        </w:tc>
      </w:tr>
      <w:tr>
        <w:trPr/>
        <w:tc>
          <w:tcPr>
            <w:tcW w:w="5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Other adjustments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80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2.7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7.3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17.1</w:t>
            </w:r>
          </w:p>
        </w:tc>
      </w:tr>
      <w:tr>
        <w:trPr/>
        <w:tc>
          <w:tcPr>
            <w:tcW w:w="5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Distributable Earnings</w:t>
            </w:r>
          </w:p>
        </w:tc>
        <w:tc>
          <w:tcPr>
            <w:tcW w:w="80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$472.3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$431.0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$799.3</w:t>
            </w:r>
          </w:p>
        </w:tc>
        <w:tc>
          <w:tcPr>
            <w:tcW w:w="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$886.4</w:t>
            </w:r>
          </w:p>
        </w:tc>
      </w:tr>
      <w:tr>
        <w:trPr/>
        <w:tc>
          <w:tcPr>
            <w:tcW w:w="5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(-) Realized net performance revenues, net of related compensation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114.6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135.1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215.1</w:t>
            </w:r>
          </w:p>
        </w:tc>
      </w:tr>
      <w:tr>
        <w:trPr/>
        <w:tc>
          <w:tcPr>
            <w:tcW w:w="5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(-) Realized principal investment income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22.6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50.8</w:t>
            </w:r>
          </w:p>
        </w:tc>
        <w:tc>
          <w:tcPr>
            <w:tcW w:w="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63.5</w:t>
            </w:r>
          </w:p>
        </w:tc>
      </w:tr>
      <w:tr>
        <w:trPr/>
        <w:tc>
          <w:tcPr>
            <w:tcW w:w="5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(+) Net interest</w:t>
            </w:r>
          </w:p>
        </w:tc>
        <w:tc>
          <w:tcPr>
            <w:tcW w:w="80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22.6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44.3</w:t>
            </w:r>
          </w:p>
        </w:tc>
        <w:tc>
          <w:tcPr>
            <w:tcW w:w="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26.1</w:t>
            </w:r>
          </w:p>
        </w:tc>
      </w:tr>
      <w:tr>
        <w:trPr/>
        <w:tc>
          <w:tcPr>
            <w:tcW w:w="5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Fee Related Earnings</w:t>
            </w:r>
          </w:p>
        </w:tc>
        <w:tc>
          <w:tcPr>
            <w:tcW w:w="80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$357.7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$323.3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$657.7</w:t>
            </w:r>
          </w:p>
        </w:tc>
        <w:tc>
          <w:tcPr>
            <w:tcW w:w="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$633.9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(1)Equity-based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includes amounts presented in principal investment income and general, administrative and other expenses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 our U.S. GAAP statement of operations.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(2)Includes charges (credits) related to Carlyle corporate actions and non-recurring items that affect period-to-period comparability and are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not reflective of the Company’s operating 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(3)  See reconciliation to most directly comparable U.S. GAAP measure below: </w:t>
      </w:r>
    </w:p>
    <w:tbl>
      <w:tblPr>
        <w:tblW w:w="74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41"/>
        <w:gridCol w:w="1126"/>
        <w:gridCol w:w="109"/>
        <w:gridCol w:w="1261"/>
        <w:gridCol w:w="109"/>
        <w:gridCol w:w="1006"/>
      </w:tblGrid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611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2026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Adjustments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Reportable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611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$270.1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$314.8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 related compensation expense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200.2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performance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$(48.9)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$163.5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$114.6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$69.2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$(46.6)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$22.6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1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2026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Adjustments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Reportable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1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$(636.4)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$1,013.0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$376.6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 related compensation expense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(274.3)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515.8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241.5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performance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$(362.1)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$135.1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$133.6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$(82.8)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$50.8</w:t>
            </w:r>
          </w:p>
        </w:tc>
      </w:tr>
    </w:tbl>
    <w:tbl>
      <w:tblPr>
        <w:tblW w:w="74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41"/>
        <w:gridCol w:w="1126"/>
        <w:gridCol w:w="109"/>
        <w:gridCol w:w="1261"/>
        <w:gridCol w:w="109"/>
        <w:gridCol w:w="1006"/>
      </w:tblGrid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611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2025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Adjustments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Reportable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611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$(379.0)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$259.8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 related compensation expense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(271.5)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172.1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performance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$195.2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$(107.5)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$87.7</w:t>
            </w:r>
          </w:p>
        </w:tc>
      </w:tr>
      <w:tr>
        <w:trPr/>
        <w:tc>
          <w:tcPr>
            <w:tcW w:w="3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$55.2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$(21.7)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$33.5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1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2025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Adjustments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Reportable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Segments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1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$861.7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$(246.8)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$614.9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revenues related compensation expense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615.0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(215.2)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399.8</w:t>
            </w:r>
          </w:p>
        </w:tc>
      </w:tr>
      <w:tr>
        <w:trPr/>
        <w:tc>
          <w:tcPr>
            <w:tcW w:w="3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performance revenues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$246.7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$(31.6)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$215.1</w:t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investment income (loss)</w:t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$(7.9)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$71.4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$63.5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(4)Adjustments to performance revenues and principal investment income (loss) relate to (i) unrealized performance allocations net of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related compensation expense and unrealized principal investment income, which are excluded from our Non-GAAP results, (ii)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amounts earned from the Consolidated Funds, which were eliminated in the U.S. GAAP consolidation but were included in the Non-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GAAP results, (iii) amounts attributable to non-controlling interests in consolidated entities, which were excluded from the Non-GAAP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results, (iv) the reclassification of NGP performance revenues, which are included in investment income in the U.S. GAAP financial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statements, (v) the reclassification of fee related performance revenues, which are included in fund level fee revenues in the segment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results, and (vi) the reclassification of tax expenses associated with certain foreign performance revenues. Adjustments to principal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investment income (loss) also include the reclassification of earnings for the investment in NGP Management and its affiliates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appropriate operating captions for the Non-GAAP results, and the exclusion of charges associated with the investment in NGP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Management and its affiliates that are excluded from the Non-GAAP results.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Distributable Earnings for our reportable segments are as follows:</w:t>
      </w:r>
      <w:r>
        <w:rPr>
          <w:caps w:val="false"/>
          <w:smallCaps w:val="false"/>
        </w:rPr>
        <w:t> </w:t>
      </w:r>
    </w:p>
    <w:tbl>
      <w:tblPr>
        <w:tblW w:w="672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91"/>
        <w:gridCol w:w="1121"/>
        <w:gridCol w:w="203"/>
        <w:gridCol w:w="1121"/>
        <w:gridCol w:w="109"/>
        <w:gridCol w:w="1010"/>
        <w:gridCol w:w="183"/>
        <w:gridCol w:w="1086"/>
      </w:tblGrid>
      <w:tr>
        <w:trPr/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44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20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8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833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1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$218.5</w:t>
            </w:r>
          </w:p>
        </w:tc>
        <w:tc>
          <w:tcPr>
            <w:tcW w:w="2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$368.4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$497.5</w:t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Credit</w:t>
            </w:r>
          </w:p>
        </w:tc>
        <w:tc>
          <w:tcPr>
            <w:tcW w:w="1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158.0</w:t>
            </w:r>
          </w:p>
        </w:tc>
        <w:tc>
          <w:tcPr>
            <w:tcW w:w="2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256.2</w:t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231.4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11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95.8</w:t>
            </w:r>
          </w:p>
        </w:tc>
        <w:tc>
          <w:tcPr>
            <w:tcW w:w="2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174.7</w:t>
            </w:r>
          </w:p>
        </w:tc>
        <w:tc>
          <w:tcPr>
            <w:tcW w:w="1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157.5</w:t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</w:t>
            </w:r>
          </w:p>
        </w:tc>
        <w:tc>
          <w:tcPr>
            <w:tcW w:w="11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$472.3</w:t>
            </w:r>
          </w:p>
        </w:tc>
        <w:tc>
          <w:tcPr>
            <w:tcW w:w="2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$431.0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$799.3</w:t>
            </w:r>
          </w:p>
        </w:tc>
        <w:tc>
          <w:tcPr>
            <w:tcW w:w="1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$886.4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Segment Analysis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Discussed below is our DE and FRE for our segments for the periods presented. Our segment information is reflected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manner used by our chief operating decision maker to make operating and compensation decisions, assess performance,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allocate resources.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segment reporting purposes, revenues and expenses are presented on a basis that deconsolidates our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Funds. As a result, segment revenues from management fees, realized performance revenues and realized principal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income (loss) are different than those presented on a consolidated U.S. GAAP basis because these revenues recognized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certain segments are received from Consolidated Funds and are eliminated in consolidation when presented on a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U.S. GAAP basis. Furthermore, segment expenses are different than related amounts presented on a consolidated U.S. GAAP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basis due to the exclusion of fund expenses that are paid by the Consolidated Funds.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Global Private Equity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following table presents our results of operations for our Global Private Equity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3"/>
        </w:rPr>
        <w:t>(1)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segment:</w:t>
      </w:r>
      <w:r>
        <w:rPr>
          <w:caps w:val="false"/>
          <w:smallCaps w:val="false"/>
        </w:rPr>
        <w:t> </w:t>
      </w:r>
    </w:p>
    <w:tbl>
      <w:tblPr>
        <w:tblW w:w="893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805"/>
        <w:gridCol w:w="145"/>
        <w:gridCol w:w="805"/>
        <w:gridCol w:w="109"/>
        <w:gridCol w:w="631"/>
        <w:gridCol w:w="109"/>
        <w:gridCol w:w="556"/>
        <w:gridCol w:w="109"/>
        <w:gridCol w:w="685"/>
        <w:gridCol w:w="124"/>
        <w:gridCol w:w="736"/>
        <w:gridCol w:w="109"/>
        <w:gridCol w:w="721"/>
        <w:gridCol w:w="109"/>
        <w:gridCol w:w="631"/>
      </w:tblGrid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384" w:type="dxa"/>
            <w:gridSpan w:val="1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level fee revenues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$283.4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$302.4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$(19.0)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$567.7</w:t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$585.4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$(17.7)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(3)%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Portfolio advisory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transaction fees, net and other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17.9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159%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24.7</w:t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Fee related 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3.0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fund level fee revenues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304.3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309.3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597.5</w:t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(2)%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251.5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281.2</w:t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561.8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(280.6)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(50)%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Realized principal investment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(loss)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5.6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(55)%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17.4</w:t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(37)%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5.3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12.3</w:t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566.7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571.9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908.4</w:t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1,207.6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(299.2)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(25)%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Expenses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Cash-based compensation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benefits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108.3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199.6</w:t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209.1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(5)%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Realized performance revenues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related compensation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159.0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178.8</w:t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361.3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(182.5)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(51)%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compensation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benefits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267.3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269.3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378.4</w:t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570.4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(192.0)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(34)%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General, administrative, and 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indirect expenses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54.5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108.4</w:t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99.0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Depreciation and amortization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7.9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16.3</w:t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18.5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36.9</w:t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348.2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540.0</w:t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(170.1)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(24)%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Distributable Earnings</w:t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$218.5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$231.9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$(13.4)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$368.4</w:t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$(129.1)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(26)%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(-) Realized net 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80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92.5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102.4</w:t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200.5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(98.1)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(49)%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(-) Realized principal investment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(loss)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5.6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(6.8)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(55)%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17.4</w:t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(37)%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(+) Net interest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13.2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24.6</w:t>
            </w:r>
          </w:p>
        </w:tc>
        <w:tc>
          <w:tcPr>
            <w:tcW w:w="1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Fee Related Earnings</w:t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$133.6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$(10.0)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$273.2</w:t>
            </w:r>
          </w:p>
        </w:tc>
        <w:tc>
          <w:tcPr>
            <w:tcW w:w="1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$284.8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$(11.6)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(4)%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(1)For purposes of presenting our results of operations for this segment, our earnings from our investments in NGP are presented 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respective operating captions.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Distributable Earnings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provides the components of the changes in Distributable Earnings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months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76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56"/>
        <w:gridCol w:w="1756"/>
        <w:gridCol w:w="109"/>
        <w:gridCol w:w="1591"/>
      </w:tblGrid>
      <w:tr>
        <w:trPr/>
        <w:tc>
          <w:tcPr>
            <w:tcW w:w="4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 v. 2025</w:t>
            </w:r>
          </w:p>
        </w:tc>
      </w:tr>
      <w:tr>
        <w:trPr/>
        <w:tc>
          <w:tcPr>
            <w:tcW w:w="4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Earnings, June 30, 2025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$497.5</w:t>
            </w:r>
          </w:p>
        </w:tc>
      </w:tr>
      <w:tr>
        <w:trPr/>
        <w:tc>
          <w:tcPr>
            <w:tcW w:w="4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Increases (decreases):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Decrease in Fee related earnings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(11.6)</w:t>
            </w:r>
          </w:p>
        </w:tc>
      </w:tr>
      <w:tr>
        <w:trPr/>
        <w:tc>
          <w:tcPr>
            <w:tcW w:w="4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(decrease) in Realized net performance revenues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(98.1)</w:t>
            </w:r>
          </w:p>
        </w:tc>
      </w:tr>
      <w:tr>
        <w:trPr/>
        <w:tc>
          <w:tcPr>
            <w:tcW w:w="4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Decrease in Realized principal investment income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(6.8)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(10.1)</w:t>
            </w:r>
          </w:p>
        </w:tc>
      </w:tr>
      <w:tr>
        <w:trPr/>
        <w:tc>
          <w:tcPr>
            <w:tcW w:w="4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Net interest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(9.3)</w:t>
            </w:r>
          </w:p>
        </w:tc>
      </w:tr>
      <w:tr>
        <w:trPr/>
        <w:tc>
          <w:tcPr>
            <w:tcW w:w="4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decrease</w:t>
            </w:r>
          </w:p>
        </w:tc>
        <w:tc>
          <w:tcPr>
            <w:tcW w:w="17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(129.1)</w:t>
            </w:r>
          </w:p>
        </w:tc>
      </w:tr>
      <w:tr>
        <w:trPr/>
        <w:tc>
          <w:tcPr>
            <w:tcW w:w="4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Earnings, June 30, 2026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$368.4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Realized net performance revenues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  <w:r>
        <w:rPr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Realized net performance revenues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$8.7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months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$98.1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six months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Realized net performance revenues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were primarily attributable to realizations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CJP IV, which realized carry for the first time in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 quarter of 2026, and to a lesser extent, CP VI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Realized net performance revenues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months ended June 30,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were primarily attributable to realizations in NGP XI and, to a lesser extent, CAP IV and CP VI. Realized net performance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revenues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were primarily attributable to realizations in CPP II, NGP XI, and CAP IV.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While overall exit activity increased for the six months ended June 30, 2026, as compared to the six months ended June 30,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2025, the mix of exits was more concentrated in funds not yet realizing performance revenues.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</w:rPr>
        <w:t xml:space="preserve">Realized principal investment income.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Realized principal investment income decreased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$6.8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months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primarily due to lower realized investment income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our U.S. buyout funds. Realized principal investment income decreased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$10.1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six months ended June 30,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primarily due to lower realized principal investment income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U.S. and Europe buyout and infrastructure funds, partially offset by an increase from our Japan buyout funds. Global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Private Equity distributable earnings in the second half of 2026 may be lower than the first half of 2026 due to the expected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realization of a loss on an investment in an infrastructure fund. Through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the cumulative unrealized loss with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respect to this investment is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$222 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will reduce realized principal investment income in Global Private Equity upon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disposition of the investment, which we currently expect will occur later in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Fee Related Earnings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provides the components of the changes in Fee Related Earnings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months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79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31"/>
        <w:gridCol w:w="1756"/>
        <w:gridCol w:w="109"/>
        <w:gridCol w:w="1591"/>
      </w:tblGrid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 v. 2025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Earnings, June 30, 2025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$143.6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$284.8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Increases (decreases):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Decrease in Fee revenues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(9.3)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Decrease in Cash-based compensation and benefits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9.5</w:t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General, administrative and other indirect expenses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(9.4)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All other changes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(2.4)</w:t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decrease</w:t>
            </w:r>
          </w:p>
        </w:tc>
        <w:tc>
          <w:tcPr>
            <w:tcW w:w="17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(11.6)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Earnings, June 30, 2026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$273.2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Fee Revenues.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following table provides the components of the changes in Fee revenues for the periods presented:</w:t>
      </w:r>
    </w:p>
    <w:tbl>
      <w:tblPr>
        <w:tblW w:w="78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96"/>
        <w:gridCol w:w="1756"/>
        <w:gridCol w:w="109"/>
        <w:gridCol w:w="1591"/>
      </w:tblGrid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 v. 2025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3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Lower Fund management fees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$(19.0)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$(17.7)</w:t>
            </w:r>
          </w:p>
        </w:tc>
      </w:tr>
      <w:tr>
        <w:trPr/>
        <w:tc>
          <w:tcPr>
            <w:tcW w:w="43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Higher Portfolio advisory and transaction fees, net and other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3.3</w:t>
            </w:r>
          </w:p>
        </w:tc>
      </w:tr>
      <w:tr>
        <w:trPr/>
        <w:tc>
          <w:tcPr>
            <w:tcW w:w="43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Higher Fee related performance revenues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</w:tr>
      <w:tr>
        <w:trPr/>
        <w:tc>
          <w:tcPr>
            <w:tcW w:w="43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decrease in fee revenues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$(5.0)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$(9.3)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 management fees decreased for the three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compared to the three months ended June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driven by exit activity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funds on which management fees are based on invested capital and step-down in CP VII.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 for the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compared to the six months ended June 30,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driven by exit activity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funds on which management fees are based on invested capital, a management fee step-down in CP VII, and lower catch-up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management fees, partially offset by the activation of management fees in CRP X in April 2025.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Portfolio advisory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transaction fees, net and other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were primarily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driven by fees associated with multiple large transactions that closed during the second quarter of 2026. Portfolio advisory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transaction fees, net and other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reflected fees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associated with the acquisition of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healthcare investment across our U.S., Europe, and Asia buyout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Transaction fees are primarily generated by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activity within our funds, and are therefore impacted by our investment pace. See “—Trends Affecting Our Business”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further discussion on our investment activity and broader market trends.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Cash-based compensation and benefits expense.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Cash-based compensation and benefits expense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six months ended June 30, 2026, as compared to the six months ended June 30, 2025, primarily due to a decrease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bonus accruals, partially offset by the impact of increased headcount.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</w:rPr>
        <w:t>General, administrative and other indirect expenses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General, administrative and other indirect expenses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$4.2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$9.4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primarily due to higher IT-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related spending, higher conference costs, and unfavorable foreign currency remeasurement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resulting from the strengthening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U.S. dollar in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Fee-earning AUM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is presented below for each period together with the components of change during each respective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period.</w:t>
      </w:r>
    </w:p>
    <w:tbl>
      <w:tblPr>
        <w:tblW w:w="56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91"/>
        <w:gridCol w:w="707"/>
        <w:gridCol w:w="111"/>
        <w:gridCol w:w="846"/>
      </w:tblGrid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66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9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166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Components of Fee-earning AUM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7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capital commitments</w:t>
            </w:r>
          </w:p>
        </w:tc>
        <w:tc>
          <w:tcPr>
            <w:tcW w:w="7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$41,021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$42,297</w:t>
            </w:r>
          </w:p>
        </w:tc>
      </w:tr>
      <w:tr>
        <w:trPr/>
        <w:tc>
          <w:tcPr>
            <w:tcW w:w="3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invested capital</w:t>
            </w:r>
          </w:p>
        </w:tc>
        <w:tc>
          <w:tcPr>
            <w:tcW w:w="7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44,700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49,703</w:t>
            </w:r>
          </w:p>
        </w:tc>
      </w:tr>
      <w:tr>
        <w:trPr/>
        <w:tc>
          <w:tcPr>
            <w:tcW w:w="3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net asset value</w:t>
            </w:r>
          </w:p>
        </w:tc>
        <w:tc>
          <w:tcPr>
            <w:tcW w:w="7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8,497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7,364</w:t>
            </w:r>
          </w:p>
        </w:tc>
      </w:tr>
      <w:tr>
        <w:trPr/>
        <w:tc>
          <w:tcPr>
            <w:tcW w:w="3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lower of cost or fair value</w:t>
            </w:r>
          </w:p>
        </w:tc>
        <w:tc>
          <w:tcPr>
            <w:tcW w:w="70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2,339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2,966</w:t>
            </w:r>
          </w:p>
        </w:tc>
      </w:tr>
      <w:tr>
        <w:trPr/>
        <w:tc>
          <w:tcPr>
            <w:tcW w:w="3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Fee-earning AUM</w:t>
            </w:r>
          </w:p>
        </w:tc>
        <w:tc>
          <w:tcPr>
            <w:tcW w:w="70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$96,557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$102,330</w:t>
            </w:r>
          </w:p>
        </w:tc>
      </w:tr>
      <w:tr>
        <w:trPr/>
        <w:tc>
          <w:tcPr>
            <w:tcW w:w="3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Annualized Management Fee Rate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707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1.14%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1.16%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(1)For additional information concerning the components of Fee-earning AUM, see “—Key Financial Measures—Operating Metrics.”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(2)Represents annualized fund management fees divided by the average of the beginning of year and each quarter end’s Fee-earning AUM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in the reporting period. Catch-up management fees were excluded in the calculation of the annualized fund management fees.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table below provides the period to period rollforward of Fee-earning AUM in our Global Private Equity segment.</w:t>
      </w:r>
    </w:p>
    <w:tbl>
      <w:tblPr>
        <w:tblW w:w="61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767"/>
        <w:gridCol w:w="121"/>
        <w:gridCol w:w="867"/>
        <w:gridCol w:w="109"/>
        <w:gridCol w:w="781"/>
        <w:gridCol w:w="109"/>
        <w:gridCol w:w="826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6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0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Beginning of Period</w:t>
            </w:r>
          </w:p>
        </w:tc>
        <w:tc>
          <w:tcPr>
            <w:tcW w:w="7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$99,059</w:t>
            </w:r>
          </w:p>
        </w:tc>
        <w:tc>
          <w:tcPr>
            <w:tcW w:w="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$98,711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$101,366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$98,033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Inflows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7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748</w:t>
            </w:r>
          </w:p>
        </w:tc>
        <w:tc>
          <w:tcPr>
            <w:tcW w:w="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9,169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1,855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10,666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Outflows (including realizations)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7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(3,029)</w:t>
            </w:r>
          </w:p>
        </w:tc>
        <w:tc>
          <w:tcPr>
            <w:tcW w:w="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(6,539)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(6,303)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(8,016)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Market Activity &amp; 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7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(30)</w:t>
            </w:r>
          </w:p>
        </w:tc>
        <w:tc>
          <w:tcPr>
            <w:tcW w:w="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(208)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(258)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Foreign Exchange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76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(191)</w:t>
            </w:r>
          </w:p>
        </w:tc>
        <w:tc>
          <w:tcPr>
            <w:tcW w:w="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(442)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1,905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End of Period</w:t>
            </w:r>
          </w:p>
        </w:tc>
        <w:tc>
          <w:tcPr>
            <w:tcW w:w="76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$96,557</w:t>
            </w:r>
          </w:p>
        </w:tc>
        <w:tc>
          <w:tcPr>
            <w:tcW w:w="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$102,330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$96,557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$102,330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(1)Inflows represents limited partner capital raised by our carry funds or separately managed accounts for which management fees based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on commitments were activated during the period, and the fee-earning commitments invested in vehicles for which management fees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are based on invested capital. Inflows exclude fundraising amounts during the period for which fees have not yet been activated, which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are referenced as Pending Fee-earning AUM.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(2)Outflows represents the impact of realizations from vehicles with management fees based on remaining invested capital at cost or fair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value, changes in basis for funds where the investment period, weighted-average investment period or commitment fee period has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expired during the period, and reductions for funds that are no longer calling for fees. Realizations for funds earning management fees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based on commitments during the period do not affect Fee-earning AUM.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(3)Market Activity &amp; Other represents realized and unrealized gains (losses) on portfolio investments in our carry funds based on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lower of cost or fair value.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(4)Foreign Exchange represents the impact of foreign exchange rate fluctuations on the translation of our non-U.S. dollar denominated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funds. Activity during the period is translated at the average rate for the period. Ending balances are translated at the spot rate as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period end.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$96.6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$99.1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 31,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net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was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$3.0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driven by the expiration of fees in CEOF II during the period and realizations in funds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charge fees on invested capital, notably in CP VII and CEP V.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Offsetting this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$0.7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primarily driven by investments in our evergreen funds which charge fees on net asset value,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as well as investment activity in our funds which charge fees on invested capital.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decreased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$101.4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$6.3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realizations in funds that charge fees on invested capital, notably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CP VII, CRP IX and CEP V, as well as the expiration of fees in CEOF II.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Offsetting this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$1.9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primarily driven by investments in our evergreen funds which charge fees on net asset value,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as well as investment activity in our funds which charge fees on invested capital.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decrease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 6%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$102.3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$9.0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driven by realizations in funds that charge fees on invested capital, notably in CP VII, CEP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V, CRP IX, and the NGP Energy funds, and the expiration of fees in CEOF II during the period.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Offsetting this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$3.9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primarily driven by investments in our evergreen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additional fee-paying capital raised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our life sciences funds, as well as investment activity in our U.S. real estate funds which charge fees on invested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capital.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Total AUM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Total AUM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$162.7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comprised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$120.7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investments at fair value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$42.0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available capital.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the fair value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was publicly traded, and approximately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66%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was aged four or more years. The table below provides the period to period rollforward of Total AUM in our Global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Private Equity segment.</w:t>
      </w:r>
    </w:p>
    <w:tbl>
      <w:tblPr>
        <w:tblW w:w="61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1756"/>
        <w:gridCol w:w="109"/>
        <w:gridCol w:w="1636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Six Months Ended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50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Beginning of Period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$159,027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$163,543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Inflows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6,427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8,670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Outflows (including realizations)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(4,585)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(11,200)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Market Activity &amp; 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2,373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Foreign Exchange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(321)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(683)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End of Period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$162,703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$162,703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(1)Inflows reflects the impact of gross fundraising during the period. For funds or vehicles denominated in foreign currencies, this reflects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translation at the average quarterly rate.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(2)Outflows includes distributions net of recallable or recyclable amounts in our carry funds, related co-investment vehicles,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separately managed accounts, gross redemptions in our evergreen products, and the expiration of available capital.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(3)Market Activity &amp; Other generally represents realized and unrealized gains (losses) on portfolio investments in our carry funds, related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co-investment vehicles, and separately managed accounts, as well as the impact of fees, expenses and non-investment income,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other changes in AUM.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(4)Foreign Exchange represents the impact of foreign exchange rate fluctuations on the translation of our non-U.S. dollar denominated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funds. Activity during the period is translated at the average rate for the period. Ending balances are translated at the spot rate as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period end.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Total AUM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$162.7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$159.0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 31,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net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was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$6.4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driven by $5 billion of capital raised in an investment vehicle that is earmarked for our next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vintage U.S. buyout fund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Market activity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$2.2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driven by appreciation of $0.6 billion from the NGP Energy funds, $0.4 billion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international energy funds, and $0.4 billion from our Asia buyout funds, offset by depreciation of $0.2 billion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from our U.S. real estate funds and, $0.1 billion from our Europe buyout 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Offsetting these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 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$4.6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driven by realizations in our U.S. buyout, Japan buyout and U.S. real estate funds.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Total AUM 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$163.5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due to: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$11.2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primarily driven by realizations in our U.S. buyout, U.S. real estate and Japan buyout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funds;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Negative foreign exchange activity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$0.7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reflected the impact of a strengthening U.S. Dollar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translation of our EUR- and JPY-denominated funds to USD.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Offsetting these decreases were: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$8.7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driven by $5 billion of capital raised in an investment vehicle that is earmarked for our next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vintage U.S. buyout fund, as well as capital raised in U.S. buyout coinvestments and U.S. real estate products;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Market activity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$2.4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driven by appreciation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$1.4 billion from the NGP Energy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$1.3 billion fr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international energy funds,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$0.6 billion from our Japan buyout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offset by depreciation of $0.6 billion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our Europe buyout funds, $0.4 billion from our Asia buyout funds,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$0.4 billion from our U.S. buyout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Fund Performance Metrics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 performance information for our significant investment funds, which we generally define as those with at least $1.0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billion in capital commitments, is included throughout this discussion and analysis to facilitate an understanding of our results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operations for the periods presented. The fund return information reflected in this discussion and analysis is not indicative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performance of The Carlyle Group Inc. and is also not necessarily indicative of the future performance of any particular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fund. An investment in The Carlyle Group Inc. is not an investment in any of our funds. There can be no assurance that any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funds or our other existing and future funds will achieve similar returns.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reflects the performance of our significant funds in our Global Private Equity business. Please see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“—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Our Global Investment Offerings” for a legend of the fund acronyms listed below.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99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91"/>
        <w:gridCol w:w="109"/>
        <w:gridCol w:w="706"/>
        <w:gridCol w:w="706"/>
        <w:gridCol w:w="556"/>
        <w:gridCol w:w="661"/>
        <w:gridCol w:w="691"/>
        <w:gridCol w:w="451"/>
        <w:gridCol w:w="436"/>
        <w:gridCol w:w="406"/>
        <w:gridCol w:w="811"/>
        <w:gridCol w:w="109"/>
        <w:gridCol w:w="757"/>
        <w:gridCol w:w="517"/>
        <w:gridCol w:w="585"/>
      </w:tblGrid>
      <w:tr>
        <w:trPr/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(Amounts 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TOTAL INVESTMENTS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REALIZED/PARTIALLY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REALIZED INVESTMENTS(12)</w:t>
            </w:r>
          </w:p>
        </w:tc>
      </w:tr>
      <w:tr>
        <w:trPr/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6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As of 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9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As of June 30, 2026</w:t>
            </w:r>
          </w:p>
        </w:tc>
      </w:tr>
      <w:tr>
        <w:trPr/>
        <w:tc>
          <w:tcPr>
            <w:tcW w:w="24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Fund (Fee Initiation Date/Step-down Date)(1)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Committed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Capital(2)</w:t>
            </w:r>
          </w:p>
        </w:tc>
        <w:tc>
          <w:tcPr>
            <w:tcW w:w="7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Cumulative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Invested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Capital(3)</w:t>
            </w:r>
          </w:p>
        </w:tc>
        <w:tc>
          <w:tcPr>
            <w:tcW w:w="5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Percent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Invested</w:t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Realized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Value(4)</w:t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Remaining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Fair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Value(5)</w:t>
            </w:r>
          </w:p>
        </w:tc>
        <w:tc>
          <w:tcPr>
            <w:tcW w:w="4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MOIC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(6)</w:t>
            </w:r>
          </w:p>
        </w:tc>
        <w:tc>
          <w:tcPr>
            <w:tcW w:w="4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Gross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IRR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(7)(8)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Net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IRR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(8)(9)</w:t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Net Accrued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Carry/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(Giveback)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(10)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Value(11)</w:t>
            </w:r>
          </w:p>
        </w:tc>
        <w:tc>
          <w:tcPr>
            <w:tcW w:w="51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MOIC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(6)</w:t>
            </w:r>
          </w:p>
        </w:tc>
        <w:tc>
          <w:tcPr>
            <w:tcW w:w="58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Gross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IRR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(7)(8)</w:t>
            </w:r>
          </w:p>
        </w:tc>
      </w:tr>
      <w:tr>
        <w:trPr/>
        <w:tc>
          <w:tcPr>
            <w:tcW w:w="7213" w:type="dxa"/>
            <w:gridSpan w:val="10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Corporate Private Equity</w:t>
            </w:r>
          </w:p>
        </w:tc>
        <w:tc>
          <w:tcPr>
            <w:tcW w:w="8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9" w:type="dxa"/>
            <w:gridSpan w:val="3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CP VIII (Oct 2021 / Oct 2027)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$14,797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$12,419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84%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$3,184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$14,935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1.5x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$4,615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2.2x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50%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CP VII (May 2018 / Oct 2021)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$18,510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$17,787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96%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$13,691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$16,134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1.7x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$256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$19,226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2.1x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CP VI (May 2013 / May 2018)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$13,000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$13,140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101%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$26,929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$1,574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2.2x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$27,665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2.5x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22%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CP V (Jun 2007 / May 2013)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$13,720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$13,238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96%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$28,126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$172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2.1x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$28,136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2.3x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CEP V (Oct 2018 / Oct 2024)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6,416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6,076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95%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1,794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4,266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1.0x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Neg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Neg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878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0.8x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Neg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CEP IV (Sep 2014 / Oct 2018)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3,670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3,964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108%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6,294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1,142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1.9x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6,260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2.1x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CEP III (Jul 2007 / Dec 2013)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5,295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5,177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98%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11,749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0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2.3x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11,749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2.3x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CAP VI (Jun 2024 / Jun 2030)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$2,886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$509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$509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1.0x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n/a 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CAP V (Jun 2018 / Jun 2024)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$6,554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$7,071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108%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$3,067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$6,432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$2,146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23%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CAP IV (Jul 2013 / Jun 2018)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$3,880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$4,146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107%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$8,715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$269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2.2x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$8,707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2.4x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21%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CJP V (Nov 2024 / Nov 2030)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¥434,325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¥119,642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28%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¥—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¥118,146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1.0x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n/a 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CJP IV (Oct 2020 / Nov 2024)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¥258,000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¥236,110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92%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¥304,891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¥256,443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2.4x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39%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28%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¥369,075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3.9x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61%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CJP III (Sep 2013 / Aug 2020)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¥119,505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¥91,192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76%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¥275,264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¥8,832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3.1x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25%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¥274,341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3.3x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26%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CGFSP III (Dec 2017 / Dec 2023)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$1,005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$982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98%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$862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$1,419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2.3x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$1,358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3.4x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29%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CGFSP II (Jun 2013 / Dec 2017)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$1,000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$943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94%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$2,083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$538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2.8x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25%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$2,620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2.8x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26%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CP Growth (Oct 2021 / Oct 2027)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$1,283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$657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51%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$1,065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23%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n/a 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CEOF II (Nov 2015 / Mar 2020)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$2,400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$2,370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99%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$4,109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$1,364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2.3x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15%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$4,622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2.4x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22%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CETP V (Mar 2022 / Jun 2028)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3,180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1,859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58%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€—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2,299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1.2x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€—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0.0x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CETP IV (Jul 2019 / Jun 2022)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1,350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1,204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89%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1,726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970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2.2x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27%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1,837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3.7x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56%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CETP III (Jul 2014 / Jul 2019)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657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614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94%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2,040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215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3.7x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41%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29%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2,040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4.0x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44%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CGP II (Dec 2020 / Jan 2025)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$1,840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$984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53%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$236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$2,245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2.5x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25%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n/a 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CGP (Jan 2015 / Mar 2021)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$3,588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$3,267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91%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$2,110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$2,207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$2,263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1.5x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All Other Active Funds &amp; Vehicles(13)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$22,170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$17,466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$17,340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$20,968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2.1x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Fully Realized Funds &amp; Vehicles(14)(15)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$35,288</w:t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$81,161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</w:t>
            </w:r>
          </w:p>
        </w:tc>
        <w:tc>
          <w:tcPr>
            <w:tcW w:w="4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2.3x</w:t>
            </w:r>
          </w:p>
        </w:tc>
        <w:tc>
          <w:tcPr>
            <w:tcW w:w="4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28%</w:t>
            </w:r>
          </w:p>
        </w:tc>
        <w:tc>
          <w:tcPr>
            <w:tcW w:w="4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20%</w:t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$81,163</w:t>
            </w:r>
          </w:p>
        </w:tc>
        <w:tc>
          <w:tcPr>
            <w:tcW w:w="51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2.3x</w:t>
            </w:r>
          </w:p>
        </w:tc>
        <w:tc>
          <w:tcPr>
            <w:tcW w:w="58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28%</w:t>
            </w:r>
          </w:p>
        </w:tc>
      </w:tr>
      <w:tr>
        <w:trPr/>
        <w:tc>
          <w:tcPr>
            <w:tcW w:w="3306" w:type="dxa"/>
            <w:gridSpan w:val="3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 CORPORATE PRIVATE EQUITY(16)</w:t>
            </w:r>
          </w:p>
        </w:tc>
        <w:tc>
          <w:tcPr>
            <w:tcW w:w="7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$159,284</w:t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n/a </w:t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$222,247</w:t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$78,711</w:t>
            </w:r>
          </w:p>
        </w:tc>
        <w:tc>
          <w:tcPr>
            <w:tcW w:w="45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1.9x</w:t>
            </w:r>
          </w:p>
        </w:tc>
        <w:tc>
          <w:tcPr>
            <w:tcW w:w="43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25%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$1,017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$233,427</w:t>
            </w:r>
          </w:p>
        </w:tc>
        <w:tc>
          <w:tcPr>
            <w:tcW w:w="51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2.3x</w:t>
            </w:r>
          </w:p>
        </w:tc>
        <w:tc>
          <w:tcPr>
            <w:tcW w:w="58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26%</w:t>
            </w:r>
          </w:p>
        </w:tc>
      </w:tr>
      <w:tr>
        <w:trPr/>
        <w:tc>
          <w:tcPr>
            <w:tcW w:w="24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3" w:type="dxa"/>
            <w:gridSpan w:val="10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Real Estate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9" w:type="dxa"/>
            <w:gridSpan w:val="3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CRP X (Apr 2025 / Jul 2030)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$9,000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$939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$18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$989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1.1x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n/a 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CRP IX (Oct 2021 / Dec 2024)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$7,987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$6,488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81%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$978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$6,756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1.2x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$943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26%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CRP VIII (Aug 2017 / Oct 2021)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$5,505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$4,963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90%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$6,125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$2,480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1.7x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30%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$6,093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2.1x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46%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CRP VII (Jun 2014 / Dec 2017)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$4,162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$3,754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90%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$5,216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$944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$(34)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$5,207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1.7x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CRP VI (Mar 2011 / Jun 2014)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$2,340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$2,145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92%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$3,828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$90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1.8x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26%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$3,781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1.9x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28%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CPI (May 2016 / n/a)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$9,050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$9,139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$3,840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$8,254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$2,249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1.7x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All Other Active Funds &amp; Vehicles(17)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$3,025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$724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$2,750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1.1x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$448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1.2x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Fully Realized Funds &amp; Vehicles(15)(18)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$14,177</w:t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$21,547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</w:t>
            </w:r>
          </w:p>
        </w:tc>
        <w:tc>
          <w:tcPr>
            <w:tcW w:w="4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1.5x</w:t>
            </w:r>
          </w:p>
        </w:tc>
        <w:tc>
          <w:tcPr>
            <w:tcW w:w="4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9%</w:t>
            </w:r>
          </w:p>
        </w:tc>
        <w:tc>
          <w:tcPr>
            <w:tcW w:w="4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5%</w:t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$21,560</w:t>
            </w:r>
          </w:p>
        </w:tc>
        <w:tc>
          <w:tcPr>
            <w:tcW w:w="51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1.5x</w:t>
            </w:r>
          </w:p>
        </w:tc>
        <w:tc>
          <w:tcPr>
            <w:tcW w:w="58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</w:tr>
      <w:tr>
        <w:trPr/>
        <w:tc>
          <w:tcPr>
            <w:tcW w:w="3306" w:type="dxa"/>
            <w:gridSpan w:val="3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 REAL ESTATE(16)</w:t>
            </w:r>
          </w:p>
        </w:tc>
        <w:tc>
          <w:tcPr>
            <w:tcW w:w="7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$44,629</w:t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n/a </w:t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$42,275</w:t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$22,275</w:t>
            </w:r>
          </w:p>
        </w:tc>
        <w:tc>
          <w:tcPr>
            <w:tcW w:w="45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1.4x</w:t>
            </w:r>
          </w:p>
        </w:tc>
        <w:tc>
          <w:tcPr>
            <w:tcW w:w="43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7%</w:t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$40,296</w:t>
            </w:r>
          </w:p>
        </w:tc>
        <w:tc>
          <w:tcPr>
            <w:tcW w:w="51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58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</w:tr>
      <w:tr>
        <w:trPr/>
        <w:tc>
          <w:tcPr>
            <w:tcW w:w="24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3" w:type="dxa"/>
            <w:gridSpan w:val="10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Infrastructure &amp; Natural Resources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9" w:type="dxa"/>
            <w:gridSpan w:val="3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CIEP II (Apr 2019 / Apr 2025)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$2,286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$1,301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57%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$1,084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$1,667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2.1x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31%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$910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3.8x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NM**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CIEP I (Sep 2013 / Jun 2019)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$2,500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$2,470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99%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$3,650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$1,645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2.1x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$4,442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2.3x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CGIOF (Dec 2018 / Sep 2023)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$2,201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$2,136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97%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$680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$3,082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1.8x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$832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1.9x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CRSEF II (Nov 2022 / Aug 2027)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$1,187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$511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43%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$1,037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2.0x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41%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28%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n/a 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NGP XIII (Feb 2023 / Feb 2028)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$2,300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$1,150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50%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$199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$1,719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1.7x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50%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33%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$182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5.0x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NGP XII (Jul 2017 / Jul 2022)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$4,304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$3,686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86%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$4,947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$2,944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2.1x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21%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15%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$4,607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2.8x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33%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NGP XI (Oct 2014 / Jul 2017)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$5,325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$5,034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95%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$8,355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$1,582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2.0x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$8,857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2.1x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NGP X (Jan 2012 / Dec 2014)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$3,586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$3,351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93%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$3,578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$265</w:t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1.1x</w:t>
            </w:r>
          </w:p>
        </w:tc>
        <w:tc>
          <w:tcPr>
            <w:tcW w:w="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3%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$3,359</w:t>
            </w:r>
          </w:p>
        </w:tc>
        <w:tc>
          <w:tcPr>
            <w:tcW w:w="5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1.2x</w:t>
            </w:r>
          </w:p>
        </w:tc>
        <w:tc>
          <w:tcPr>
            <w:tcW w:w="5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All Other Active Funds &amp; Vehicles(19)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$5,424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$3,685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$5,880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1.8x</w:t>
            </w:r>
          </w:p>
        </w:tc>
        <w:tc>
          <w:tcPr>
            <w:tcW w:w="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15%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$3,761</w:t>
            </w:r>
          </w:p>
        </w:tc>
        <w:tc>
          <w:tcPr>
            <w:tcW w:w="5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2.4x</w:t>
            </w:r>
          </w:p>
        </w:tc>
        <w:tc>
          <w:tcPr>
            <w:tcW w:w="5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21%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Fully Realized Funds &amp; Vehicles(15)(20)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$3,534</w:t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$5,581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4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4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8%</w:t>
            </w:r>
          </w:p>
        </w:tc>
        <w:tc>
          <w:tcPr>
            <w:tcW w:w="4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5%</w:t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$5,581</w:t>
            </w:r>
          </w:p>
        </w:tc>
        <w:tc>
          <w:tcPr>
            <w:tcW w:w="51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58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8%</w:t>
            </w:r>
          </w:p>
        </w:tc>
      </w:tr>
      <w:tr>
        <w:trPr/>
        <w:tc>
          <w:tcPr>
            <w:tcW w:w="3306" w:type="dxa"/>
            <w:gridSpan w:val="3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TOTAL INFRASTRUCTURE &amp; NATURAL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RESOURCES(16)</w:t>
            </w:r>
          </w:p>
        </w:tc>
        <w:tc>
          <w:tcPr>
            <w:tcW w:w="7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$28,597</w:t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n/a </w:t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$31,760</w:t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$19,820</w:t>
            </w:r>
          </w:p>
        </w:tc>
        <w:tc>
          <w:tcPr>
            <w:tcW w:w="45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1.8x</w:t>
            </w:r>
          </w:p>
        </w:tc>
        <w:tc>
          <w:tcPr>
            <w:tcW w:w="43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9%</w:t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$32,531</w:t>
            </w:r>
          </w:p>
        </w:tc>
        <w:tc>
          <w:tcPr>
            <w:tcW w:w="51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2.0x</w:t>
            </w:r>
          </w:p>
        </w:tc>
        <w:tc>
          <w:tcPr>
            <w:tcW w:w="58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/>
          <w:sz w:val="18"/>
        </w:rPr>
      </w:pPr>
      <w:r>
        <w:rPr>
          <w:rFonts w:ascii="Times New Roman;serif" w:hAnsi="Times New Roman;serif"/>
          <w:b w:val="false"/>
          <w:i/>
          <w:sz w:val="18"/>
        </w:rPr>
        <w:t xml:space="preserve">*Net accrued fee related performance revenues for CPI are excluded from Net Accrued Performance Revenues. These amounts will be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18"/>
        </w:rPr>
        <w:t>reflected as fee related performance revenues when realized, and included in Fund level fee revenues in our segment results. A</w:t>
      </w:r>
      <w:r>
        <w:rPr>
          <w:rFonts w:ascii="Times New Roman;serif" w:hAnsi="Times New Roman;serif"/>
          <w:b w:val="false"/>
          <w:i/>
          <w:strike w:val="false"/>
          <w:dstrike w:val="false"/>
          <w:sz w:val="18"/>
          <w:u w:val="none"/>
          <w:effect w:val="none"/>
        </w:rPr>
        <w:t xml:space="preserve">ccrued fee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18"/>
          <w:u w:val="none"/>
          <w:effect w:val="none"/>
        </w:rPr>
        <w:t>related performance revenues for CPI were immaterial as of June 30, 2026.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/>
          <w:sz w:val="18"/>
        </w:rPr>
      </w:pPr>
      <w:r>
        <w:rPr>
          <w:rFonts w:ascii="Times New Roman;serif" w:hAnsi="Times New Roman;serif"/>
          <w:b w:val="false"/>
          <w:i/>
          <w:sz w:val="18"/>
        </w:rPr>
        <w:t xml:space="preserve">**The IRR is incalculable, which occurs in instances when a distribution occurs prior to a Limited Partner capital contribution due to the use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Times New Roman;serif" w:hAnsi="Times New Roman;serif"/>
          <w:b w:val="false"/>
          <w:i/>
          <w:sz w:val="18"/>
        </w:rPr>
        <w:t>of fund-level credit facilities.</w:t>
      </w:r>
      <w:r>
        <w:rPr>
          <w:strike w:val="false"/>
          <w:dstrike w:val="false"/>
          <w:color w:val="6C849C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fund step-down date represents the contractual step-down date under the respective fund agreements for funds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the fee basis step-down has not yet occurred. Funds without a listed Fee Initiation Date and Step-down Date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 yet initiated fees.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(2)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All amounts shown represent total capital commitments as of June 30, 2026. Certain of our recent vintage funds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currently in fundraising and total capital commitments are subject to change.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(3)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Represents the original cost of investments since inception of the fund.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(4)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Represents all realized proceeds since inception of the fund.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(5)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Represents remaining fair value, before management fees, expenses and carried interest, and may include remaining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escrow values for realized investments.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(6)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Multiple of invested capital (“MOIC”) represents total value, before management fees, expenses and carried interest,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divided by cumulative invested capital.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(7)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Gross Internal Rate of Return (“Gross IRR”) represents an annualized return on Limited Partner invested capital,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contributions, distributions and unrealized fair value as of the reporting date, before the impact of management fees,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partnership expenses and carried interest. For fund vintages 2017 and after, Gross IRR includes the impact of 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expense related to the funding of investments on fund lines of credit. Gross IRR is calculated based on the timing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Limited Partner cash flows, which may differ to varying degrees from the timing of actual investment cash flows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fund. Subtotal Gross IRR aggregations for multiple funds are calculated based on actual cash flow dates for each fund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represent a theoretical time-weighted return for a Limited Partner who invested sequentially in each fund.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(8)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funds marked “NM,” IRR may be positive or negative, but is not considered meaningful because of the limited time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since initial investment and early stage of capital deployment. For funds marked “Neg,” IRR is considered meaningful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but is negative as of reporting period end.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(9)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Net Internal Rate of Return (“Net IRR”) represents an annualized return on Limited Partner invested capital, based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contributions, distributions and unrealized fair value as of the reporting date, after the impact of all management fees,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partnership expenses and carried interest, including current accruals. Net IRR is calculated based on the timing of Limited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Partner cash flows, which may differ to varying degrees from the timing of actual investment cash flows for the fund.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 level IRRs are based on aggregate Limited Partner cash flows, and this blended return may differ from that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individual Limited Partners. As a result, certain funds may generate accrued performance revenues with a blended Net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IRR that is below the preferred return hurdle for that fund. Subtotal Net IRR aggregations for multiple funds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calculated based on actual cash flow dates for each fund and represent a theoretical time-weighted return for a Limited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Partner who invested sequentially in each fund.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(10)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Represents the net accrued performance revenue balance/(giveback obligation) as of the current quarter end.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(11)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Represents all realized proceeds combined with remaining fair value, before management fees, expenses and carried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(12)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 investment is considered realized when the investment fund has completely exited, and ceases to own an interest in,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investment. An investment is considered partially realized when the total amount of proceeds received in respect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such investment, including dividends, interest or other distributions and/or return of capital, represents at least 85%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invested capital and such investment is not yet fully realized. Because part of our value creation strategy involves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pursuing best exit alternatives, we believe information regarding Realized/Partially Realized MOIC and Gross IRR, when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considered together with the other investment performance metrics presented, provides investors with meaningful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information regarding our investment performance by removing the impact of investments where significant realization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activity has not yet occurred. Realized/Partially Realized MOIC and Gross IRR have limitations as measures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 performance and should not be considered in isolation. Such limitations include the fact that these measures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do not include the performance of earlier stage and other investments that do not satisfy the criteria provided above.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exclusion of such investments will have a positive impact on Realized/Partially Realized MOIC and Gross IRR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instances when the MOIC and Gross IRR in respect of such investments are less than the aggregate MOIC and Gross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IRR. Our measurements of Realized/Partially Realized MOIC and Gross IRR may not be comparable to those of other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companies that use similarly titled measures.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(13)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includes the following funds, as well as all active co-investments, separately managed accounts (SMAs),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stand-alone investments arranged by us: MENA, CCI, CSSAF I, CPF I, CAP Growth I, CAP Growth II, CBPF II, CAGP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IV, ABV 8, ABV 9, ACCD 2, ACCD 3, and CCD-CIF.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(14)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includes the following funds, as well as related co-investments, separately managed accounts (SMAs),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certain other stand-alone investments arranged by us: CP I, CP II, CP III, CP IV, CEP I, CEP II, CAP I, CAP II, CAP III,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CBPF I, CJP I, CJP II, CMG, CVP I, CVP II, CUSGF III, CGFSP I, CEVP I, CETP I, CETP II, CAVP I, CAVP II,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CAGP III, CEOF I, Mexico, and CSABF.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(15)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Funds are included when all investments have been realized. There may be remaining fair value and net accrued carry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where there are outstanding escrow balances or undistributed proceeds.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(16)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purposes of aggregation, funds that report in foreign currency have been converted to U.S. dollars at the reporting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period spot rate.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(17)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includes the following funds, as well as all active co-investments, separately managed accounts (SMAs),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stand-alone investments arranged by us: CCR, CER I, and CER II.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(18)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includes the following funds, as well as related co-investments, separately managed accounts (SMAs),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certain other stand-alone investments arranged by us: CRP I, CRP II, CRP III, CRP IV, CRP V, CRCP I, CAREP I,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CAREP II, CEREP I, CEREP II, and CEREP III.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(19)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includes the following funds, as well as all active co-investments, separately managed accounts (SMAs),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stand-alone investments arranged by us: NGP GAP, NGP RP I, NGP RP II, NGP RP III, NGP ETP IV, NGP SRA II,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CRSEF.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(20)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includes the following funds, as well as related co-investments, separately managed accounts (SMAs),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certain other stand-alone investments arranged by us: CIP, CPP II, and CPOCP.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Global Credit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following table presents our results of operations for our Global Credit segment:</w:t>
      </w:r>
    </w:p>
    <w:tbl>
      <w:tblPr>
        <w:tblW w:w="87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66"/>
        <w:gridCol w:w="805"/>
        <w:gridCol w:w="145"/>
        <w:gridCol w:w="805"/>
        <w:gridCol w:w="109"/>
        <w:gridCol w:w="631"/>
        <w:gridCol w:w="109"/>
        <w:gridCol w:w="556"/>
        <w:gridCol w:w="109"/>
        <w:gridCol w:w="708"/>
        <w:gridCol w:w="128"/>
        <w:gridCol w:w="708"/>
        <w:gridCol w:w="109"/>
        <w:gridCol w:w="631"/>
        <w:gridCol w:w="109"/>
        <w:gridCol w:w="571"/>
      </w:tblGrid>
      <w:tr>
        <w:trPr/>
        <w:tc>
          <w:tcPr>
            <w:tcW w:w="25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25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25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233" w:type="dxa"/>
            <w:gridSpan w:val="1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level fee revenues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$148.6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$170.0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$(21.4)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$295.9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$309.6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$(13.7)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(4)%</w:t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Portfolio advisory and transaction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fees, net and other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92.6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126%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139.8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104.4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34%</w:t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performance revenues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53.6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85.7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49%</w:t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fund level fee revenues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294.8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239.6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521.4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471.4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11%</w:t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54.2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64.9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253%</w:t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Realized principal investment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(loss)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6.6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(45)%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15.9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(9)%</w:t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7.8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15.0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363.4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263.7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99.7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617.2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521.3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18%</w:t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Expenses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Cash-based compensation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benefits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111.9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205.2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16%</w:t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Realized performance revenues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related compensation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33.5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40.2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265%</w:t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compensation and benefits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145.4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245.4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30%</w:t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General, administrative, and 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indirect expenses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40.5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76.0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Depreciation and amortization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4.8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9.7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26%</w:t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14.7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29.9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31%</w:t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205.4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142.8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361.0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289.9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25%</w:t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Distributable Earnings</w:t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$158.0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$256.2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$231.4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11%</w:t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(-) Realized net 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80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20.7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24.7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234%</w:t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(-) Realized principal investment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(loss)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6.6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(45)%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15.9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(9)%</w:t>
            </w:r>
          </w:p>
        </w:tc>
      </w:tr>
      <w:tr>
        <w:trPr/>
        <w:tc>
          <w:tcPr>
            <w:tcW w:w="25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(+) Net interest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6.9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14.9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69%</w:t>
            </w:r>
          </w:p>
        </w:tc>
      </w:tr>
      <w:tr>
        <w:trPr/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Fee Related Earnings</w:t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$137.6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$111.4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$26.2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$230.5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$215.3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Distributable Earnings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provides the components of the changes in Distributable Earnings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months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70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6"/>
        <w:gridCol w:w="1756"/>
        <w:gridCol w:w="109"/>
        <w:gridCol w:w="1591"/>
      </w:tblGrid>
      <w:tr>
        <w:trPr/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 v. 2025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Earnings, June 30, 2025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$231.4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Increases (decreases):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Fee related earnings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15.2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Realized net performance revenues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17.3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Decrease in Realized principal investment income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(1.6)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Net interest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(6.1)</w:t>
            </w:r>
          </w:p>
        </w:tc>
      </w:tr>
      <w:tr>
        <w:trPr/>
        <w:tc>
          <w:tcPr>
            <w:tcW w:w="3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increase</w:t>
            </w:r>
          </w:p>
        </w:tc>
        <w:tc>
          <w:tcPr>
            <w:tcW w:w="17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24.8</w:t>
            </w:r>
          </w:p>
        </w:tc>
      </w:tr>
      <w:tr>
        <w:trPr/>
        <w:tc>
          <w:tcPr>
            <w:tcW w:w="3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Earnings, June 30, 2026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$158.0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$256.2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</w:rPr>
        <w:t xml:space="preserve">Realized net performance revenues.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Realized net performance revenues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$18.7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months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$17.3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six months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primarily attributable to realizations in CCOF II.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/>
          <w:sz w:val="20"/>
        </w:rPr>
        <w:t xml:space="preserve">Fee Related </w:t>
      </w: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Earnings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provides the components of the changes in Fee Related Earnings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months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79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31"/>
        <w:gridCol w:w="1756"/>
        <w:gridCol w:w="109"/>
        <w:gridCol w:w="1591"/>
      </w:tblGrid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 v. 2025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Earnings, June 30, 2025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$111.4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$215.3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Increases (decreases):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Fee revenues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50.0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Cash-based compensation and benefits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(23.7)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(28.0)</w:t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General, administrative and other indirect expenses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(4.8)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All other changes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(2.0)</w:t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increase</w:t>
            </w:r>
          </w:p>
        </w:tc>
        <w:tc>
          <w:tcPr>
            <w:tcW w:w="17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15.2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Earnings, June 30, 2026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$230.5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</w:rPr>
        <w:t>Fee Revenues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following table provides the components of the changes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Fee revenues for the periods presented: </w:t>
      </w:r>
    </w:p>
    <w:tbl>
      <w:tblPr>
        <w:tblW w:w="78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96"/>
        <w:gridCol w:w="1756"/>
        <w:gridCol w:w="109"/>
        <w:gridCol w:w="1591"/>
      </w:tblGrid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 v. 2025</w:t>
            </w:r>
          </w:p>
        </w:tc>
      </w:tr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3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Lower Fund management fees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$(21.4)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$(13.7)</w:t>
            </w:r>
          </w:p>
        </w:tc>
      </w:tr>
      <w:tr>
        <w:trPr/>
        <w:tc>
          <w:tcPr>
            <w:tcW w:w="43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Higher Portfolio advisory and transaction fees, net and other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35.4</w:t>
            </w:r>
          </w:p>
        </w:tc>
      </w:tr>
      <w:tr>
        <w:trPr/>
        <w:tc>
          <w:tcPr>
            <w:tcW w:w="43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Higher Fee related performance revenues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28.3</w:t>
            </w:r>
          </w:p>
        </w:tc>
      </w:tr>
      <w:tr>
        <w:trPr/>
        <w:tc>
          <w:tcPr>
            <w:tcW w:w="43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increase in Fee revenues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$55.2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$50.0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 management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was primarily attributable to $19 million of catch-up subordinated management fees in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aviation funds in 2025, due in part to the collection of insurance proceeds and the sale of collateral in those vehicles, that did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not recur in 2026. This was partially offset by increases in management fees from CCOF III, CTAC, and direct lending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products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Portfolio advisory and transaction fees, net and other fees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months ended June 30,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was primarily driven by an increase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markets fees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Capital markets fees in the three months ended June 30, 2026 were elevated in part due to approximately $49 million related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an investment vehicle that raised $5 billion of capital which is earmarked for our next vintage U.S. buyout fund.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recognition of capital markets fees can be volatile as they are primarily generated by investment activity. See “—Trends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Affecting Our Business” for further discussion on o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ur investment activity and broader market trends.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increase in Fee related performance revenues for the three and six months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compared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primarily due to the restructuring of certain fee arrangements in our asset-backed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finance products, the impact of which included approximately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catch-up fees.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Cash-based compensation and benefits expense.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Cash-based compensation and benefits expense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$23.7 million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$28.0 million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primarily due to increased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headcount to support the growth of the business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as well as an increase in fee related compensation.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 xml:space="preserve">Fee-earning AUM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is presented below for each period together with the components of change during each respective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period.</w:t>
      </w:r>
    </w:p>
    <w:tbl>
      <w:tblPr>
        <w:tblW w:w="56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16"/>
        <w:gridCol w:w="781"/>
        <w:gridCol w:w="109"/>
        <w:gridCol w:w="826"/>
      </w:tblGrid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1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Credit</w:t>
            </w:r>
          </w:p>
        </w:tc>
        <w:tc>
          <w:tcPr>
            <w:tcW w:w="171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Components of Fee-earning AUM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capital commitments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$2,549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$2,530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invested capital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22,876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20,884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collateral balances, at par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42,368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45,062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net asset value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4,209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3,512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Fee-earning AUM based on fair value and 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95,628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90,796</w:t>
            </w:r>
          </w:p>
        </w:tc>
      </w:tr>
      <w:tr>
        <w:trPr/>
        <w:tc>
          <w:tcPr>
            <w:tcW w:w="3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Fee-earning AUM</w:t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$167,630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$162,784</w:t>
            </w:r>
          </w:p>
        </w:tc>
      </w:tr>
      <w:tr>
        <w:trPr/>
        <w:tc>
          <w:tcPr>
            <w:tcW w:w="3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Annualized Management Fee Rate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78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0.35%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0.36%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(1)For additional information concerning the components of Fee-earning AUM, see “—Key Financial Measures—Operating Metrics.”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(2)Includes the fair value of Fortitude’s general account assets covered by the strategic advisory services agreement and funds with fees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based on gross asset value.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(3)Represents annualized fund management fees divided by the average of the beginning of year and each quarter end’s Fee-earning AUM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in the reporting period. Catch-up management fees were excluded in the calculation of the annualized fund management fees.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table below provides the period to period rollforward of Global Credit Fee-earning AUM.</w:t>
      </w:r>
    </w:p>
    <w:tbl>
      <w:tblPr>
        <w:tblW w:w="61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820"/>
        <w:gridCol w:w="114"/>
        <w:gridCol w:w="820"/>
        <w:gridCol w:w="109"/>
        <w:gridCol w:w="781"/>
        <w:gridCol w:w="109"/>
        <w:gridCol w:w="826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2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1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9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Beginning of Period</w:t>
            </w:r>
          </w:p>
        </w:tc>
        <w:tc>
          <w:tcPr>
            <w:tcW w:w="8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$166,438</w:t>
            </w:r>
          </w:p>
        </w:tc>
        <w:tc>
          <w:tcPr>
            <w:tcW w:w="1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$160,731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$169,460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$154,186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Inflows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8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4,605</w:t>
            </w:r>
          </w:p>
        </w:tc>
        <w:tc>
          <w:tcPr>
            <w:tcW w:w="1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4,470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7,889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12,281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Outflows (including realizations)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8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(2,634)</w:t>
            </w:r>
          </w:p>
        </w:tc>
        <w:tc>
          <w:tcPr>
            <w:tcW w:w="1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(3,415)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(7,154)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(6,528)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Market Activity &amp; 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8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(683)</w:t>
            </w:r>
          </w:p>
        </w:tc>
        <w:tc>
          <w:tcPr>
            <w:tcW w:w="1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(2,302)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1,702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Foreign Exchange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82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(96)</w:t>
            </w:r>
          </w:p>
        </w:tc>
        <w:tc>
          <w:tcPr>
            <w:tcW w:w="1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(263)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1,143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End of Period</w:t>
            </w:r>
          </w:p>
        </w:tc>
        <w:tc>
          <w:tcPr>
            <w:tcW w:w="82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$167,630</w:t>
            </w:r>
          </w:p>
        </w:tc>
        <w:tc>
          <w:tcPr>
            <w:tcW w:w="1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$162,784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$167,630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$162,784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(1)Inflows represents limited partner capital raised by our carry funds or separately managed accounts for which management fees based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on commitments were activated during the period, the fee-earning commitments invested in vehicles for which management fees are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based on invested capital, incremental fee-earning collateral from new CLO issuances and resets, reinsurance and other transactions at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Fortitude, and gross subscriptions in our vehicles for which management fees are based on net asset value.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(2)Outflows represents the impact of realizations from vehicles with management fees based on remaining invested capital at cost or fair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value, changes in basis for funds where the investment period, weighted-average investment period or commitment fee period has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expired during the period, reductions for funds that are no longer calling for fees, gross redemptions in our evergreen products,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outflows from our liquid credit products. Realizations for funds earning management fees based on commitments during the period do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not affect Fee-earning AUM.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(3)Market Activity &amp; Other represents realized and unrealized gains (losses) on portfolio investments in funds or vehicles based on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lower of cost or fair value or net asset value, activity of funds with fees based on gross asset value, and changes in the fair value of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Fortitude’s general account assets covered by the strategic advisory services agreement.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(4)Foreign Exchange represents the impact of foreign exchange rate fluctuations on the translation of our non-U.S. dollar denominated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funds. Activity during the period is translated at the average rate for the period. Ending balances are translated at the spot rate as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period end.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$167.6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 increase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$166.4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 31,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net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increase was due to: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$4.6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deployment across the platform, including two new-issue CLOs in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U.S. liquid credit platform, deployment in our opportunistic credit and asset-backed finance funds, and closed block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and flow reinsurance transactions in our insurance strategy.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Offsetting these increases 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Outflows of $2.6 billion, driven by outflows from our liquid credit and direct lending products, as well 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realizations across the platform; an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Negative market activity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$0.7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primarily reflected a decrease in the fair value of assets covered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Fortitude strategic advisory services agreement.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Fee-earning AUM at 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decreased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$169.5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$7.2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outflows from our liquid credit products and realizations in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opportunistic credit funds;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Negative market activity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$2.3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primarily reflected a decrease in the fair value of assets covered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Fortitude strategic advisory services agreement.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Offsetting these decreases 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$7.9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deployment across the platform, closed block and flow reinsurance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transactions in our insurance strategy, and the closing of two U.S. CLOs and one European CLO.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increased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$162.8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$22.4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reflected capital deployment across the platform, including the closing of seven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CLOs and three European CLOs, deployment across our asset-backed finance, opportunistic credit, and direct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lending funds, and closed block and flow reinsurance transactions in our insurance strategy.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Offsetting this increase 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$14.5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included outflows from our liquid credit products and realizations across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platform;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Negative market activity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$2.8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was primarily driven by a decrease in the fair value of assets covered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by the Fortitude strategic advisory services agreement, partially offset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our cross-platform credit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products.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Total AUM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table below provides the period to period rollforward of Total AUM in our Global Credit segment.</w:t>
      </w:r>
      <w:r>
        <w:rPr>
          <w:caps w:val="false"/>
          <w:smallCaps w:val="false"/>
        </w:rPr>
        <w:t> </w:t>
      </w:r>
    </w:p>
    <w:tbl>
      <w:tblPr>
        <w:tblW w:w="60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1756"/>
        <w:gridCol w:w="109"/>
        <w:gridCol w:w="1591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5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Beginning of Period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$209,495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$211,328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Inflows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5,824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9,730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Outflows (including realizations)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(4,964)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(9,679)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Market Activity &amp; 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Foreign Exchange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(296)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End of Period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$211,119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$211,119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(1)Inflows generally reflects the impact of gross fundraising, as well as reinsurance and other transactions at Fortitude during the period.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For funds or vehicles denominated in foreign currencies, this reflects translation at the average quarterly rate.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(2)Outflows includes distributions net of recallable or recyclable amounts in our carry funds, related co-investment vehicles,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separately managed accounts, gross redemptions in our evergreen products, outflows from our liquid credit products, and the expiration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available capital.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(3)Market Activity &amp; Other generally represents realized and unrealized gains (losses) on portfolio investments in our carry funds, related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co-investment vehicles, and separately managed accounts, as well as the impact of fees, expenses and non-investment income, change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 gross asset value for our business development companies, changes in the fair value of Fortitude’s general account assets covered by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the strategic advisory services agreement, and other changes in AUM.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(4)Foreign Exchange represents the impact of foreign exchange rate fluctuations on the translation of our non-U.S. dollar denominated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funds. Activity during the period is translated at the average rate for the period. Ending balances are translated at the spot rate as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period end.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Total AUM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$211.1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compared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$209.5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 31,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net increase was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$5.8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the closing of three U.S. CLOs, capital raised in our asset-backed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finance, infrastructure credit, and opportunistic credit products, and closed block and flow reinsurance transactions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 our insurance strategy;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Positive market activity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$0.9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primarily from an increase in the fair value of our direct lending,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opportunistic credit, and aviation products, partially offset by a decrease in the fair value of assets covered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Fortitude strategic advisory services agreement.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Offsetting these increases 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$5.0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primarily reflected outflows from our liquid credit products and realizations across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platform, notably in our direct lending, aviation, asset-backed finance, and opportunistic credit products.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AUM 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slightly decreased from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$211.3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$9.7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including outflows in our liquid credit products and realizations across the platform,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notably in our aviation, direct lending, and asset-backed finance products.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Offsetting this decrease 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$9.7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capital raised in our asset-backed finance strategy, including the first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closing in our asset-backed income fund, the closing of three U.S. CLOs and one European CLO, and closed block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and flow reinsurance transactions in our insurance strategy.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Fund Performance Metrics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 performance information for certain of our Global Credit funds is included throughout this discussion and analysis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 facilitate an understanding of our results of operations for the periods presented. The fund return information reflected in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discussion and analysis is not indicative of the performance of The Carlyle Group Inc. and is also not necessarily indicative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future performance of any particular fund. An investment in The Carlyle Group Inc. is not an investment in any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funds. There can be no assurance that any of our funds or our other existing and future funds will achieve similar returns.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following table reflects the performance of our significant carry funds in our Global Credit business. Please see “—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Our Global Investment Offerings” for a legend of the fund acronyms listed below. </w:t>
      </w:r>
    </w:p>
    <w:tbl>
      <w:tblPr>
        <w:tblW w:w="89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56"/>
        <w:gridCol w:w="109"/>
        <w:gridCol w:w="706"/>
        <w:gridCol w:w="706"/>
        <w:gridCol w:w="556"/>
        <w:gridCol w:w="586"/>
        <w:gridCol w:w="691"/>
        <w:gridCol w:w="631"/>
        <w:gridCol w:w="661"/>
        <w:gridCol w:w="556"/>
        <w:gridCol w:w="1111"/>
      </w:tblGrid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(Dollars 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6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TOTAL INVESTMENTS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6" w:type="dxa"/>
            <w:gridSpan w:val="6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As of June 30, 2026</w:t>
            </w:r>
          </w:p>
        </w:tc>
      </w:tr>
      <w:tr>
        <w:trPr/>
        <w:tc>
          <w:tcPr>
            <w:tcW w:w="26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Fund (Fee Initiation Date/Step-down Date)(1)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Committed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Capital(2)</w:t>
            </w:r>
          </w:p>
        </w:tc>
        <w:tc>
          <w:tcPr>
            <w:tcW w:w="7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Cumulative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Invested 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Capital (3)</w:t>
            </w:r>
          </w:p>
        </w:tc>
        <w:tc>
          <w:tcPr>
            <w:tcW w:w="5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Percent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Invested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Realized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Value (4)</w:t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Remaining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(5)</w:t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MOIC (6)</w:t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Gross IRR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(7) (8)</w:t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Net IRR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(8) (9)</w:t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Net Accrued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 xml:space="preserve">Carry/(Giveback)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2"/>
                <w:u w:val="none"/>
                <w:effect w:val="none"/>
              </w:rPr>
              <w:t>(10)</w:t>
            </w:r>
          </w:p>
        </w:tc>
      </w:tr>
      <w:tr>
        <w:trPr/>
        <w:tc>
          <w:tcPr>
            <w:tcW w:w="3471" w:type="dxa"/>
            <w:gridSpan w:val="3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Global Credit Carry Funds</w:t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CCOF III - Levered (Feb 2023 / Oct 2028)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$4,678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$4,697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100%</w:t>
            </w:r>
          </w:p>
        </w:tc>
        <w:tc>
          <w:tcPr>
            <w:tcW w:w="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$925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$4,765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1.2x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25%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$36</w:t>
            </w:r>
          </w:p>
        </w:tc>
      </w:tr>
      <w:tr>
        <w:trPr/>
        <w:tc>
          <w:tcPr>
            <w:tcW w:w="26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CCOF II (Nov 2020 / Mar 2026)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$4,430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$5,950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134%</w:t>
            </w:r>
          </w:p>
        </w:tc>
        <w:tc>
          <w:tcPr>
            <w:tcW w:w="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$5,251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$3,136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1.4x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14%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$99</w:t>
            </w:r>
          </w:p>
        </w:tc>
      </w:tr>
      <w:tr>
        <w:trPr/>
        <w:tc>
          <w:tcPr>
            <w:tcW w:w="26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CCOF I (Nov 2017 / Sep 2022)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$2,373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$3,543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149%</w:t>
            </w:r>
          </w:p>
        </w:tc>
        <w:tc>
          <w:tcPr>
            <w:tcW w:w="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$3,920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$1,275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1.5x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$30</w:t>
            </w:r>
          </w:p>
        </w:tc>
      </w:tr>
      <w:tr>
        <w:trPr/>
        <w:tc>
          <w:tcPr>
            <w:tcW w:w="26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CSP IV (Apr 2016 / Dec 2020)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$2,500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$2,500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100%</w:t>
            </w:r>
          </w:p>
        </w:tc>
        <w:tc>
          <w:tcPr>
            <w:tcW w:w="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$1,822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$1,799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1.4x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9%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5%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CICF II (Mar 2024 / Dec 2029)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$2,011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$474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24%</w:t>
            </w:r>
          </w:p>
        </w:tc>
        <w:tc>
          <w:tcPr>
            <w:tcW w:w="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$211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$298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1.1x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SASOF III (Nov 2014 / n/a)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$833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$991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119%</w:t>
            </w:r>
          </w:p>
        </w:tc>
        <w:tc>
          <w:tcPr>
            <w:tcW w:w="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$1,313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$58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1.4x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19%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12%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</w:t>
            </w:r>
          </w:p>
        </w:tc>
      </w:tr>
      <w:tr>
        <w:trPr/>
        <w:tc>
          <w:tcPr>
            <w:tcW w:w="26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All Other Active Funds &amp; Vehicles(11)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$13,942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$6,871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$11,256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12%</w:t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$112</w:t>
            </w:r>
          </w:p>
        </w:tc>
      </w:tr>
      <w:tr>
        <w:trPr/>
        <w:tc>
          <w:tcPr>
            <w:tcW w:w="26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Fully Realized Funds &amp; Vehicles(12)(13)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$9,698</w:t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n/a</w:t>
            </w:r>
          </w:p>
        </w:tc>
        <w:tc>
          <w:tcPr>
            <w:tcW w:w="5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$12,155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$29</w:t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9%</w:t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4%</w:t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 GLOBAL CREDIT CARRY FUNDS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$41,796</w:t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n/a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$32,468</w:t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$22,617</w:t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7%</w:t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$283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fund step-down date represents the contractual step-down date under the respective fund agreements for funds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the fee basis step-down has not yet occurred. Funds without a listed Fee Initiation Date and Step-down Date have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 yet initiated fees.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(2)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All amounts shown represent total capital commitments as of June 30, 2026. Certain of our recent vintage funds are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currently in fundraising and total capital commitments are subject to change.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Committed capital for CCOF II excludes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$150 million in capital committed by a CCOF II investor to a side vehicle. The CCOF III platform, which includes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CCOF III - Levered, CCOF III - Unlevered, and CCOF III PSV, collectively has $5.7 billion of committed capital.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(3)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Represents the original cost of investments since the inception of the fund. For CSP III and CSP IV, reflects amounts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net of investment level recallable proceeds which is adjusted to reflect recyclability of invested capital for the purpose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calculating the fund MOIC.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(4)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Represents all realized proceeds since inception of the fund.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(5)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Represents remaining fair value, before management fees, expenses and carried interest, and may include remaining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escrow values for realized investments.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(6)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Multiple of invested capital (“MOIC”) represents total value, before management fees, expenses and carried interest,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divided by cumulative invested capital.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(7)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Gross Internal Rate of Return (“Gross IRR”) represents an annualized return on Limited Partner invested capital,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contributions, distributions and unrealized fair value as of the reporting date, before the impact of management fees,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partnership expenses and carried interest. For fund vintages 2017 and after, Gross IRR includes the impact of 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expense related to the funding of investments on fund lines of credit. Gross IRR is calculated based on the timing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Limited Partner cash flows, which may differ to varying degrees from the timing of actual investment cash flows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fund. Subtotal Gross IRR aggregations for multiple funds are calculated based on actual cash flow dates for each fund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represent a theoretical time-weighted return for a Limited Partner who invested sequentially in each fund.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(8)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funds marked “NM,” IRR may be positive or negative, but is not considered meaningful because of the limited time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since initial investment and early stage of capital deployment. For funds marked “Neg,” IRR is considered meaningful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but is negative as of reporting period end.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(9)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Net Internal Rate of Return (“Net IRR”) represents an annualized return on Limited Partner invested capital, based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contributions, distributions and unrealized fair value as of the reporting date, after the impact of all management fees,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partnership expenses and carried interest, including current accruals. Net IRR is calculated based on the timing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Limited Partner cash flows, which may differ to varying degrees from the timing of actual investment cash flows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fund. Fund level IRRs are based on aggregate Limited Partner cash flows, and this blended return may differ from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individual Limited Partners. As a result, certain funds may generate accrued performance revenues with a blended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Net IRR that is below the preferred return hurdle for that fund. Subtotal Net IRR aggregations for multiple funds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calculated based on actual cash flow dates for each fund and represent a theoretical time-weighted return for a Limited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Partner who invested sequentially in each fund.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(10)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Represents the net accrued performance revenue balance/(giveback obligation) as of the current quarter end.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(11)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includes the following funds, as well as all active co-investments, separately managed accounts (SMAs),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stand-alone investments arranged by us: SASOF IV, SASOF V, CAPF VII, CICF, CAF, CALF, CCOF III - Unlevered,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CCOF III PSV.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(12)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 includes the following funds, as well as related co-investments, separately managed accounts (SMAs),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certain other stand-alone investments arranged by us: CSP I, CSP II, CSP III, CEMOF I, CEMOF II, CSC, CMP I,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CMP II, SASOF II, and CASCOF.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(13)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Funds are included when all investments have been realized. There may be remaining fair value and net accrued carry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where there are outstanding escrow balances or undistributed proceeds.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Carlyle AlpInvest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following table presents our results of operations for our Carlyle AlpInvest segment:</w:t>
      </w:r>
    </w:p>
    <w:tbl>
      <w:tblPr>
        <w:tblW w:w="857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805"/>
        <w:gridCol w:w="145"/>
        <w:gridCol w:w="805"/>
        <w:gridCol w:w="109"/>
        <w:gridCol w:w="511"/>
        <w:gridCol w:w="109"/>
        <w:gridCol w:w="556"/>
        <w:gridCol w:w="109"/>
        <w:gridCol w:w="708"/>
        <w:gridCol w:w="128"/>
        <w:gridCol w:w="708"/>
        <w:gridCol w:w="109"/>
        <w:gridCol w:w="511"/>
        <w:gridCol w:w="109"/>
        <w:gridCol w:w="601"/>
      </w:tblGrid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023" w:type="dxa"/>
            <w:gridSpan w:val="1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level fee revenues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Fund management fees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$128.1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$241.0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Portfolio advisory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transaction fees, net and other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NM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Fee related 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32.1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218%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43.3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108%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fund level fee revenues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160.2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127.3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284.4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240.9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Realized performance revenues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9.1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30.5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(12)%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Realized principal investment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10.4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17.5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(5)%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2.4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182.1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148.4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337.5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Expenses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 and benefits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Cash-based compensation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benefits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46.1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80.0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Realized performance revenues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related compensation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7.7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22.5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(18)%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compensation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benefits</w:t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53.8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102.5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99.0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General, administrative, and 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indirect expenses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25.1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45.3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Depreciation and amortization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</w:t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2.5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4.9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9.9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expenses</w:t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86.3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162.8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Distributable Earnings</w:t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$95.8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$78.2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$17.6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$174.7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$17.2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(-) Realized net 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80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1.4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(26)%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8.0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(-) Realized principal investment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</w:t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10.4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17.5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(5)%</w:t>
            </w:r>
          </w:p>
        </w:tc>
      </w:tr>
      <w:tr>
        <w:trPr/>
        <w:tc>
          <w:tcPr>
            <w:tcW w:w="25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(+) Net interest</w:t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2.5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4.8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140%</w:t>
            </w:r>
          </w:p>
        </w:tc>
      </w:tr>
      <w:tr>
        <w:trPr/>
        <w:tc>
          <w:tcPr>
            <w:tcW w:w="25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(=) Fee Related Earnings</w:t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$86.5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$68.3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$18.2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$154.0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$133.8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Distributable Earnings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provides the components of the changes in Distributable Earnings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months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7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21"/>
        <w:gridCol w:w="1756"/>
        <w:gridCol w:w="109"/>
        <w:gridCol w:w="1591"/>
      </w:tblGrid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 v. 2025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Earnings, June 30, 2025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$157.5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Increases (decreases):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Fee related earnings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20.2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(Decrease) increase in Realized net performance revenues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0.8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(decrease) in Realized principal investment income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(1.0)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Net interest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(2.8)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increase</w:t>
            </w:r>
          </w:p>
        </w:tc>
        <w:tc>
          <w:tcPr>
            <w:tcW w:w="17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17.2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Distributable Earnings, June 30, 2026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$95.8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$174.7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Fee Related Earnings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provides the components of the changes in Fee Related Earnings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and six months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79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31"/>
        <w:gridCol w:w="1756"/>
        <w:gridCol w:w="109"/>
        <w:gridCol w:w="1591"/>
      </w:tblGrid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 v. 2025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6" w:type="dxa"/>
            <w:gridSpan w:val="3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Earnings, June 30, 2025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$68.3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$133.8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Increases (decreases):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Fee revenues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43.5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Cash-based compensation and benefits</w:t>
            </w:r>
          </w:p>
        </w:tc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(8.5)</w:t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Increase in General, administrative and other indirect expenses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(5.3)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(13.6)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All other changes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(0.5)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(1.2)</w:t>
            </w:r>
          </w:p>
        </w:tc>
      </w:tr>
      <w:tr>
        <w:trPr/>
        <w:tc>
          <w:tcPr>
            <w:tcW w:w="4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increase</w:t>
            </w:r>
          </w:p>
        </w:tc>
        <w:tc>
          <w:tcPr>
            <w:tcW w:w="17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20.2</w:t>
            </w:r>
          </w:p>
        </w:tc>
      </w:tr>
      <w:tr>
        <w:trPr/>
        <w:tc>
          <w:tcPr>
            <w:tcW w:w="4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 Related Earnings, June 30, 2026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$154.0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</w:rPr>
        <w:t>Fee Revenues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Fee revenues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$32.9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$43.5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primarily driven by an increase in Fee related performance revenues of $22.0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$22.5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million, respectively, reflecting growth and performance in our CAPM and CAPS funds, which drove a corresponding increase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cash-based compensation and benefits. Fund management fees also increased by $10.9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$20.9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six months ended June 30, 2026, respectively,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compared to three and six months ended June 30, 2025, primarily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driven by the impact of fundraising in AAF II, ASPF II, and ASF VIII, as well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continued growth in our CAPM and CAPS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These increases were partially offset by decreases in catch-up management fees of $11.0 million and $22.9 million,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respectively,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primarily due to the conclusion of fundraising for our most recent vintage secondaries &amp; portfolio finance funds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third quarter of 2025. Catch-up management fees totaled $11.5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$10.6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three and six months 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2026, respectively.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</w:rPr>
        <w:t>General, administrative and other indirect expenses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General, administrative and other indirect expenses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$5.3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$13.6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compared to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primarily due to 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increase in professional fees and fundraising costs.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Fee-earning AUM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is presented below for each period together with the components of change during each respective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period.</w:t>
      </w:r>
      <w:r>
        <w:rPr>
          <w:caps w:val="false"/>
          <w:smallCaps w:val="false"/>
        </w:rPr>
        <w:t xml:space="preserve"> </w:t>
      </w:r>
    </w:p>
    <w:tbl>
      <w:tblPr>
        <w:tblW w:w="688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21"/>
        <w:gridCol w:w="749"/>
        <w:gridCol w:w="118"/>
        <w:gridCol w:w="798"/>
      </w:tblGrid>
      <w:tr>
        <w:trPr/>
        <w:tc>
          <w:tcPr>
            <w:tcW w:w="5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66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</w:t>
            </w:r>
          </w:p>
        </w:tc>
      </w:tr>
      <w:tr>
        <w:trPr/>
        <w:tc>
          <w:tcPr>
            <w:tcW w:w="52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4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1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2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166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Components of Fee-earning AUM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capital commitments</w:t>
            </w:r>
          </w:p>
        </w:tc>
        <w:tc>
          <w:tcPr>
            <w:tcW w:w="74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$29,056</w:t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$25,607</w:t>
            </w:r>
          </w:p>
        </w:tc>
      </w:tr>
      <w:tr>
        <w:trPr/>
        <w:tc>
          <w:tcPr>
            <w:tcW w:w="5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Fee-earning AUM based on invested capital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9,398</w:t>
            </w:r>
          </w:p>
        </w:tc>
        <w:tc>
          <w:tcPr>
            <w:tcW w:w="11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10,022</w:t>
            </w:r>
          </w:p>
        </w:tc>
      </w:tr>
      <w:tr>
        <w:trPr/>
        <w:tc>
          <w:tcPr>
            <w:tcW w:w="52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net asset value</w:t>
            </w:r>
          </w:p>
        </w:tc>
        <w:tc>
          <w:tcPr>
            <w:tcW w:w="74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21,161</w:t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15,345</w:t>
            </w:r>
          </w:p>
        </w:tc>
      </w:tr>
      <w:tr>
        <w:trPr/>
        <w:tc>
          <w:tcPr>
            <w:tcW w:w="5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Fee-earning AUM based on lower of cost or fair market value and other</w:t>
            </w:r>
          </w:p>
        </w:tc>
        <w:tc>
          <w:tcPr>
            <w:tcW w:w="74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10,607</w:t>
            </w:r>
          </w:p>
        </w:tc>
        <w:tc>
          <w:tcPr>
            <w:tcW w:w="11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8,613</w:t>
            </w:r>
          </w:p>
        </w:tc>
      </w:tr>
      <w:tr>
        <w:trPr/>
        <w:tc>
          <w:tcPr>
            <w:tcW w:w="52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Fee-earning AUM</w:t>
            </w:r>
          </w:p>
        </w:tc>
        <w:tc>
          <w:tcPr>
            <w:tcW w:w="749" w:type="dxa"/>
            <w:tcBorders>
              <w:top w:val="single" w:sz="8" w:space="0" w:color="000000"/>
              <w:bottom w:val="doub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$70,222</w:t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top w:val="single" w:sz="8" w:space="0" w:color="000000"/>
              <w:bottom w:val="doub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$59,587</w:t>
            </w:r>
          </w:p>
        </w:tc>
      </w:tr>
      <w:tr>
        <w:trPr/>
        <w:tc>
          <w:tcPr>
            <w:tcW w:w="52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Annualized Management Fee Rate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749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0.68%</w:t>
            </w:r>
          </w:p>
        </w:tc>
        <w:tc>
          <w:tcPr>
            <w:tcW w:w="11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0.67%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(1)For additional information concerning the components of Fee-earning AUM, see “—Key Financial Measures—Operating Metrics.”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(2)Includes amounts committed to or reserved for certain AlpInvest funds.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(3)Represents annualized fund management fees divided by the average of the beginning of year and each quarter end’s Fee-earning AUM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in the reporting period. Catch-up management fees were excluded in the calculation of the annualized fund management fees.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table below provides the period to period rollforward of Fee-earning AUM in our Carlyle AlpInvest segment.</w:t>
      </w:r>
    </w:p>
    <w:tbl>
      <w:tblPr>
        <w:tblW w:w="606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813"/>
        <w:gridCol w:w="128"/>
        <w:gridCol w:w="813"/>
        <w:gridCol w:w="109"/>
        <w:gridCol w:w="715"/>
        <w:gridCol w:w="112"/>
        <w:gridCol w:w="762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1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2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Beginning of Period</w:t>
            </w:r>
          </w:p>
        </w:tc>
        <w:tc>
          <w:tcPr>
            <w:tcW w:w="8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$67,860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$54,401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$65,952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$52,139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Inflows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8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3,145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4,399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6,391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6,957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Outflows (including realizations)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8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(726)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(851)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(1,746)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(1,867)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Market Activity &amp; 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8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131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195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Foreign Exchange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8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(188)</w:t>
            </w:r>
          </w:p>
        </w:tc>
        <w:tc>
          <w:tcPr>
            <w:tcW w:w="1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1,458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(473)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2,163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End of Period</w:t>
            </w:r>
          </w:p>
        </w:tc>
        <w:tc>
          <w:tcPr>
            <w:tcW w:w="8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$70,222</w:t>
            </w:r>
          </w:p>
        </w:tc>
        <w:tc>
          <w:tcPr>
            <w:tcW w:w="1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$59,587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$70,222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$59,587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(1)Inflows represents limited partner capital raised by our carry funds or separately managed accounts for which management fees based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on commitments were activated during the period, fee-earning commitments invested in vehicles for which management fees are based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on invested capital, and gross subscriptions in our vehicles for which management fees are based on net asset value. Inflows exclude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fundraising amounts during the period for which fees have not yet been activated, which are referenced as Pending Fee-earning AUM.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(2)Outflows represents the impact of realizations from vehicles with management fees based on remaining invested capital at cost or fair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value, changes in basis for funds where the investment period, weighted-average investment period, or commitment fee period has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expired during the period, and reductions for funds that are no longer calling for fees. Distributions for funds earning management fees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based on commitments during the period do not affect Fee-earning AUM.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(3)Market Activity &amp; Other represents realized and unrealized gains (losses) on portfolio investments in our carry funds based on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lower of cost or fair value and net asset value.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(4)Foreign Exchange represents the impact of foreign exchange rate fluctuations on the translation of our non-U.S. dollar denominated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funds. Activity during the period is translated at the average rate for the period. Ending balances are translated at the spot rate as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period end.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$70.2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 increase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$67.9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 31,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net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increase was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$3.1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fee-paying capital raised and investment activity across all strategies,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notably in our secondaries &amp; portfolio finance and CAPM 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Offsetting this increase were: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$0.7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realizations in funds that charge fees on invested capital, mostly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our primary and secondaries &amp; portfolio finance funds.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increased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$66.0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$6.4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investment activity and fee-paying capital raised in our secondaries &amp;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portfolio finance strategy, as well as investment activity in our Carlyle AlpInvest wealth products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Offsetting this increase 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$1.7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step-downs in fee bases, as well as realizations in products across all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strategies that charge fees on invested capital.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Fee-earning AUM 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increased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18%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compared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$59.6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$15.5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were driven by fee-paying capital raised and investment activity across all strategies,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notably in our secondaries &amp; portfolio finance and Carlyle AlpInvest wealth products;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Market appreciation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$0.8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was driven by our Carlyle AlpInvest wealth products in which fees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based on net assert value.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Offsetting these increases 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$5.1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reflected realizations across all strategies and step-downs in fee bases in our primary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Total AUM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table below provides the period to period rollforward of Total AUM in our Carlyle AlpInvest segment.</w:t>
      </w:r>
    </w:p>
    <w:tbl>
      <w:tblPr>
        <w:tblW w:w="60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1756"/>
        <w:gridCol w:w="109"/>
        <w:gridCol w:w="1591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30, 2026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5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Beginning of Period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$106,896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$101,996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Inflows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4,533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11,362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Outflows (including realizations)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(1,770)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(3,966)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Market Activity &amp; Other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2,391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3,108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Foreign Exchange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7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(377)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(827)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Balance, End of Period</w:t>
            </w:r>
          </w:p>
        </w:tc>
        <w:tc>
          <w:tcPr>
            <w:tcW w:w="1756" w:type="dxa"/>
            <w:tcBorders>
              <w:top w:val="single" w:sz="8" w:space="0" w:color="000000"/>
              <w:bottom w:val="doub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$111,673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  <w:bottom w:val="doub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$111,673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(1)Inflows reflects the impact of gross fundraising during the period. For funds or vehicles denominated in foreign currencies, this reflects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translation at the average quarterly rate.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(2)Outflows includes distributions in our carry funds, related co-investment vehicles and separately managed accounts, as well as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expiration of available capital.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(3)Market Activity &amp; Other generally represents realized and unrealized gains (losses) on portfolio investments in our carry funds, related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co-investment vehicles and separately managed accounts, the net impact of fees, expenses and non-investment income, as well as other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changes in AUM.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(4)Foreign Exchange represents the impact of foreign exchange rate fluctuations on the translation of our non-U.S. dollar denominated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funds. Activity during the period is translated at the average rate for the period. Ending balances are translated at the spot rate as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period end.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Total AUM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$111.7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 increase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compared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$106.9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 31,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net increase was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$4.5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reflected fundraising across the segment, notably in our secondaries &amp; portfolio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finance and CAPM funds;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Market appreciation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$2.4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which was driven by our secondaries &amp; portfolio finance and primary 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Offsetting these increases 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$1.8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predominantly from realizations in our secondaries &amp; portfolio finance and primary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strategies.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Total AUM 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increased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compared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$102.0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due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$11.4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reflected fundraising across the platform, notably in cross-strategy SMAs and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AlpInvest wealth products;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Market appreciation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$3.1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which was driven by our secondaries &amp; portfolio finance and primary strategies,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as well as our Carlyle AlpInvest wealth products.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Offsetting these increases were: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Outflows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$4.0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which reflected realizations across all strategies;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Negative foreign exchange activity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$0.8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primarily reflected the impact of a strengthening U.S. Dollar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translation of our EUR-denominated funds to USD.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Fund Performance Metrics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fund return information reflected in this discussion and analysis is not indicative of the performance of The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Group Inc. and is also not necessarily indicative of the future performance of any particular fund. An investment in The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Group Inc. is not an investment in any of our funds. There can be no assurance that any of our funds or our other existing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future funds will achieve similar returns.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reflects the performance of our significant funds in our Carlyle AlpInvest business. We also 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 performance information for portfolios of investments held by separately managed accounts, generally aggregated either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as invested alongside the relevant commingled fund or over a specified time period.</w:t>
      </w:r>
    </w:p>
    <w:tbl>
      <w:tblPr>
        <w:tblW w:w="92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  <w:gridCol w:w="109"/>
        <w:gridCol w:w="601"/>
        <w:gridCol w:w="676"/>
        <w:gridCol w:w="796"/>
        <w:gridCol w:w="661"/>
        <w:gridCol w:w="781"/>
        <w:gridCol w:w="661"/>
        <w:gridCol w:w="481"/>
        <w:gridCol w:w="511"/>
        <w:gridCol w:w="511"/>
        <w:gridCol w:w="81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(Amounts 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213" w:type="dxa"/>
            <w:gridSpan w:val="8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 INVESTMENTS</w:t>
            </w:r>
          </w:p>
        </w:tc>
      </w:tr>
      <w:tr>
        <w:trPr/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213" w:type="dxa"/>
            <w:gridSpan w:val="8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 of June 30, 2026</w:t>
            </w:r>
          </w:p>
        </w:tc>
      </w:tr>
      <w:tr>
        <w:trPr/>
        <w:tc>
          <w:tcPr>
            <w:tcW w:w="26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Carlyle AlpInvest (1)(8)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Vintage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Year</w:t>
            </w:r>
          </w:p>
        </w:tc>
        <w:tc>
          <w:tcPr>
            <w:tcW w:w="6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Fund Size</w:t>
            </w:r>
          </w:p>
        </w:tc>
        <w:tc>
          <w:tcPr>
            <w:tcW w:w="7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Cumulative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Capital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(2)(3)</w:t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Realized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Value (3)</w:t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Remaining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(3)</w:t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(3)(4)</w:t>
            </w:r>
          </w:p>
        </w:tc>
        <w:tc>
          <w:tcPr>
            <w:tcW w:w="4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MOIC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(5)</w:t>
            </w:r>
          </w:p>
        </w:tc>
        <w:tc>
          <w:tcPr>
            <w:tcW w:w="5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Gross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IRR  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(6)(10)</w:t>
            </w:r>
          </w:p>
        </w:tc>
        <w:tc>
          <w:tcPr>
            <w:tcW w:w="5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IRR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(7)(10)</w:t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Net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Accrued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Carry/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(Giveback)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(12)</w:t>
            </w:r>
          </w:p>
        </w:tc>
      </w:tr>
      <w:tr>
        <w:trPr/>
        <w:tc>
          <w:tcPr>
            <w:tcW w:w="2641" w:type="dxa"/>
            <w:tcBorders>
              <w:top w:val="single" w:sz="8" w:space="0" w:color="000000"/>
              <w:bottom w:val="dotted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>
              <w:top w:val="single" w:sz="8" w:space="0" w:color="000000"/>
              <w:bottom w:val="dotted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dotted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76" w:type="dxa"/>
            <w:tcBorders>
              <w:top w:val="single" w:sz="8" w:space="0" w:color="000000"/>
              <w:bottom w:val="dotted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213" w:type="dxa"/>
            <w:gridSpan w:val="8"/>
            <w:tcBorders>
              <w:top w:val="single" w:sz="8" w:space="0" w:color="000000"/>
              <w:bottom w:val="dotted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(Reported in Local Currency, in Millions)</w:t>
            </w:r>
          </w:p>
        </w:tc>
      </w:tr>
      <w:tr>
        <w:trPr/>
        <w:tc>
          <w:tcPr>
            <w:tcW w:w="264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SECONDARIES &amp; PORTFOLIO FINANCE</w:t>
            </w:r>
          </w:p>
        </w:tc>
        <w:tc>
          <w:tcPr>
            <w:tcW w:w="109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ASF VIII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2024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$13,422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$8,187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$575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$10,146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$10,721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$76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ASF VII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2020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$6,769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$5,023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$2,635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$5,438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$8,074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$121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ASF VII - SMAs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2020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2,043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1,780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745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1,941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2,686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1.5x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$40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ASF VI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2017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$3,333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$2,814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$3,210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$1,440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$4,650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1.7x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$57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ASF VI - SMAs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2017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2,817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2,691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2,910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1,408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4,318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$49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ASF V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2012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$756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$671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$1,104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$89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$1,193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1.8x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ASF V - SMAs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2012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3,916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4,005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7,090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310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7,400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1.8x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2009-2011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2010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1,859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1,965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3,395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57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3,452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1.8x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ASPF II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2023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$2,227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$1,554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$340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$1,532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$1,873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1.2x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24%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$15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AAF II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$1,661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$335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$28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$402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$429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All Other Active Funds &amp; Vehicles (9)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Various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$2,011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$543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$2,249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$2,793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1.4x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15%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$41</w:t>
            </w:r>
          </w:p>
        </w:tc>
      </w:tr>
      <w:tr>
        <w:trPr/>
        <w:tc>
          <w:tcPr>
            <w:tcW w:w="264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Fully Realized Funds &amp; Vehicles </w:t>
            </w:r>
          </w:p>
        </w:tc>
        <w:tc>
          <w:tcPr>
            <w:tcW w:w="109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Various</w:t>
            </w:r>
          </w:p>
        </w:tc>
        <w:tc>
          <w:tcPr>
            <w:tcW w:w="676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4,424</w:t>
            </w:r>
          </w:p>
        </w:tc>
        <w:tc>
          <w:tcPr>
            <w:tcW w:w="66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7,207</w:t>
            </w:r>
          </w:p>
        </w:tc>
        <w:tc>
          <w:tcPr>
            <w:tcW w:w="78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</w:t>
            </w:r>
          </w:p>
        </w:tc>
        <w:tc>
          <w:tcPr>
            <w:tcW w:w="66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7,219</w:t>
            </w:r>
          </w:p>
        </w:tc>
        <w:tc>
          <w:tcPr>
            <w:tcW w:w="48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51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19%</w:t>
            </w:r>
          </w:p>
        </w:tc>
        <w:tc>
          <w:tcPr>
            <w:tcW w:w="51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81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41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CO-INVESTMENTS</w:t>
            </w:r>
          </w:p>
        </w:tc>
        <w:tc>
          <w:tcPr>
            <w:tcW w:w="109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ACF IX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2023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$4,120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$2,569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$189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$2,888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$3,077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1.2x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15%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ACF IX - SMAs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2023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$1,124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$411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$29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$472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$501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1.2x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ACF VIII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2021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$3,614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$3,466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$539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$4,294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$4,833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1.4x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$18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ACF VIII - SMAs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2021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$1,099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$1,013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$162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$1,238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$1,400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1.4x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ACF VII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2017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$1,688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$1,683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$1,907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$1,322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$3,229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1.9x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$55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ACF VII - SMAs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2017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1,452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1,415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1,315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1,244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2,559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1.8x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$38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2014-2016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2014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1,274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1,079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2,573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162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2,734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2.5x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24%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22%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2012-2013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2012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1,124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1,029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2,818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123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2,941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2.9x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28%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26%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2009-2010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2010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1,475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1,343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3,569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383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3,953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2.9x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23%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21%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Strategic SMAs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Various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$5,155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$2,876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$5,586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$8,462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15%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$80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All Other Active Funds &amp; Vehicles (9)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Various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90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166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28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194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2.2x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36%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33%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41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Fully Realized Funds &amp; Vehicles</w:t>
            </w:r>
          </w:p>
        </w:tc>
        <w:tc>
          <w:tcPr>
            <w:tcW w:w="109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Various</w:t>
            </w:r>
          </w:p>
        </w:tc>
        <w:tc>
          <w:tcPr>
            <w:tcW w:w="676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5,907</w:t>
            </w:r>
          </w:p>
        </w:tc>
        <w:tc>
          <w:tcPr>
            <w:tcW w:w="661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10,082</w:t>
            </w:r>
          </w:p>
        </w:tc>
        <w:tc>
          <w:tcPr>
            <w:tcW w:w="781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€—</w:t>
            </w:r>
          </w:p>
        </w:tc>
        <w:tc>
          <w:tcPr>
            <w:tcW w:w="661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10,083</w:t>
            </w:r>
          </w:p>
        </w:tc>
        <w:tc>
          <w:tcPr>
            <w:tcW w:w="481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1.7x</w:t>
            </w:r>
          </w:p>
        </w:tc>
        <w:tc>
          <w:tcPr>
            <w:tcW w:w="511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15%</w:t>
            </w:r>
          </w:p>
        </w:tc>
        <w:tc>
          <w:tcPr>
            <w:tcW w:w="511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811" w:type="dxa"/>
            <w:tcBorders>
              <w:bottom w:val="dotted" w:sz="4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4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PRIMARY INVESTMENTS</w:t>
            </w:r>
          </w:p>
        </w:tc>
        <w:tc>
          <w:tcPr>
            <w:tcW w:w="109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dotted" w:sz="4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2024-2026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2024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4,343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347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366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378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1.1x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NM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2021-2023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2021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4,704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2,218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237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2,542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2,779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1.3x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2018-2020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2018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$3,116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$2,753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$1,087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$3,134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$4,221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1.5x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2015-2017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2015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2,501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2,539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3,090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1,988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5,078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2.0x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18%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2012-2014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2012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5,080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5,841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10,135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2,707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12,841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2.2x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$10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2009-2011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2009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4,877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5,627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10,741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1,299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12,040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2.1x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16%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2006-2008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2005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11,500</w:t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13,093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22,034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1,032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23,066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1.8x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SMAs 2003-2005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2003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4,628</w:t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4,969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7,913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122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8,034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10%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9%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All Other Active Funds &amp; Vehicles (9)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Various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1,792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1,832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2,034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1.1x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3%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2%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264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Fully Realized Funds &amp; Vehicles</w:t>
            </w:r>
          </w:p>
        </w:tc>
        <w:tc>
          <w:tcPr>
            <w:tcW w:w="109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Various</w:t>
            </w:r>
          </w:p>
        </w:tc>
        <w:tc>
          <w:tcPr>
            <w:tcW w:w="676" w:type="dxa"/>
            <w:tcBorders>
              <w:bottom w:val="dotted" w:sz="4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4,833</w:t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7,881</w:t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23</w:t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€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7,904</w:t>
            </w:r>
          </w:p>
        </w:tc>
        <w:tc>
          <w:tcPr>
            <w:tcW w:w="4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1.6x</w:t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12%</w:t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11%</w:t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4027" w:type="dxa"/>
            <w:gridSpan w:val="4"/>
            <w:tcBorders>
              <w:top w:val="dotted" w:sz="4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 CARLYLE ALPINVEST (USD)(11)</w:t>
            </w:r>
          </w:p>
        </w:tc>
        <w:tc>
          <w:tcPr>
            <w:tcW w:w="79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$114,108</w:t>
            </w:r>
          </w:p>
        </w:tc>
        <w:tc>
          <w:tcPr>
            <w:tcW w:w="6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$135,924</w:t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$58,434</w:t>
            </w:r>
          </w:p>
        </w:tc>
        <w:tc>
          <w:tcPr>
            <w:tcW w:w="6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$194,358</w:t>
            </w:r>
          </w:p>
        </w:tc>
        <w:tc>
          <w:tcPr>
            <w:tcW w:w="4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1.7x</w:t>
            </w:r>
          </w:p>
        </w:tc>
        <w:tc>
          <w:tcPr>
            <w:tcW w:w="5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5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13%</w:t>
            </w:r>
          </w:p>
        </w:tc>
        <w:tc>
          <w:tcPr>
            <w:tcW w:w="8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$655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Includes private equity and mezzanine primary fund investments, secondary fund investments and co-investments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originated by AlpInvest. Excluded from the performance information shown are: (a) investments that were not originated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by AlpInvest (i.e., AlpInvest did not make the original investment decision or recommendation); (b) Direct Investments,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was spun off from AlpInvest in 2005; (c) Carlyle AlpInvest Private Markets (“CAPM”); (d) Carlyle AlpInvest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Private Markets Secondaries (“CAPS”); and (e) LP co-investment vehicles managed by AlpInvest. As of June 30, 2026,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excluded portfolios amounted to approximately $19.9 billion of AUM in the aggregate.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(2)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Represents the original cost of investments since inception of the fund.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(3)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exclude the impact of FX, all foreign currency cash flows have been converted to the currency representing a majority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capital committed to the relevant fund at the reporting period spot rate.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(4)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Represents all realized proceeds combined with remaining fair value, before management fees, expenses and carried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(5)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Multiple of invested capital (“MOIC”) represents total value, before management fees, expenses and carried interest,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divided by cumulative invested capital.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(6)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Gross Internal Rate of Return (“Gross IRR”) represents the annualized IRR for the period indicated on Limited Partner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invested capital based on investment contributions, distributions and unrealized value of the underlying investments, before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fees, expenses and carried interest at the AlpInvest level.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(7)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Net Internal Rate of Return (“Net IRR”) represents the annualized IRR for the period indicated on Limited Partner invested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capital based on investment contributions, distributions and unrealized value of the underlying investments, after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fees, expenses and carried interest. Fund level IRRs are based on aggregate Limited Partner cash flows,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this blended return may differ from that of individual Limited Partners. As a result, certain funds may generate accrued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 revenues with a blended Net IRR that is below the preferred return hurdle for that fund. 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9"/>
          <w:u w:val="none"/>
          <w:effect w:val="none"/>
        </w:rPr>
        <w:t>(8)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ASF” stands for AlpInvest Secondaries Fund, “ACF” stands for AlpInvest Co-Investment Fund, “ASPF” stands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AlpInvest Strategic Portfolio Finance, “AAF” stands for AlpInvest Atom Fund, and “SMAs” are Separately Managed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Accounts. “ASF - SMAs” and “ACF - SMAs” reflect the aggregated portfolios of investments held by SMAs within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relevant strategy, which invest alongside the relevant ASF or ACF (as applicable). Strategic SMAs reflect the aggregated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portfolios of co-investments made by SMAs sourced from the SMA investor’s own private equity fund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portfolio. Other SMAs reflect the aggregated portfolios of investments within the relevant strategy that began making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in the corresponding time periods.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Co-Investments SMAs 2014-2016 does not include two SMAs that started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2016 but invested a substantial majority alongside ACF VII. These two SMAs have instead been grouped with ACF VII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- SMAs. ACF IX SMAs and Primary Investments SMAs 2024-2026 do not include one SMA that started in 2026 but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 a substantial majority alongside ACF X and Primary Investments 2027-2029. This SMA will remain grouped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All Other Active Funds &amp; Vehicles until the activation of ACF X and Primary Investments 2027-2029. An SMA may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pursue multiple investment strategies and make commitments over multiple years.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(9)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Includes ASF VIII - SMAs,  AlpInvest Atom Fund, all mezzanine investment portfolios, all ‘clean technology’ private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equity investment portfolios, all strategic portfolio finance SMAs, all AlpInvest senior portfolio lending SMAs, and any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state-focused investment mandate portfolios.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(10)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funds marked “NM,” IRR may be positive or negative, but is not considered meaningful because of the limited time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since initial investment and early stage of capital deployment. For funds marked “Neg,” IRR is considered meaningful but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negative as of reporting period end.</w:t>
      </w:r>
      <w:r>
        <w:rPr>
          <w:caps w:val="false"/>
          <w:smallCaps w:val="false"/>
          <w:sz w:val="24"/>
        </w:rPr>
        <w:t xml:space="preserve"> 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(11)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purposes of aggregation, funds that report in foreign currency have been converted to U.S. dollars at the reporting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period spot rate.</w:t>
      </w:r>
      <w:r>
        <w:rPr>
          <w:caps w:val="false"/>
          <w:smallCaps w:val="false"/>
          <w:sz w:val="24"/>
        </w:rPr>
        <w:t xml:space="preserve"> 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9"/>
        </w:rPr>
        <w:t>(12)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Represents the net accrued performance revenue balance/(giveback obligation) as of the current quarter end.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Total Net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Accrued Carry excludes net accrued carry which was retained as part of the sale of MRE on April 1, 2021. There was no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net accrued carry balance for MRE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Liquidity and Capital Resources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Historical Liquidity and Capital Resources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have historically required limited capital resources to support the working capital and operating needs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business. Our management fees have largely covered our operating costs and all realized performance allocations, after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covering the related compensation, are available for distribution to stockholders. Approximately 97% of all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commitments to our funds are provided by our fund investors, with the remaining amount typically funded by Carlyle,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senior Carlyle professionals, advisors, and other professionals. We may elect to invest additional amounts in new investment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areas or other growth opportunities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through increased investment in our funds, which we may subsequently transfer to newly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developed products.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Our Sources of Liquidity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have multiple sources of liquidity to meet our capital needs, as outlined below. Although we may consider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financings to invest in growing our business, such as the $800.0 million senior note offering in 2025, we believe these sources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will be sufficient to fund our capital needs for at least the next twelve months. We believe we will meet longer-term expected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future cash requirements and obligations through a combination of existing cash and cash equivalent balances, cash flow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operations, accumulated earnings, and amounts available for borrowing from our senior revolving credit facility or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financings.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Cash, Cash Equivalents, and Corporate Treasury Investments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Cash and cash equivalents, as well as corporate treasury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(if any),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were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$1.3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However, a portion of this cash is allocated for specific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business purposes, including, but not limited to: (i) performance allocations and incentive fee related cash that has been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received but not yet distributed as performance allocations and incentive fee related compensation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(ii) amounts owed to non-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controlling interests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and (iii) regulatory capital. After deducting cash amounts allocated to the specific requirements mentioned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above, the remaining cash, cash equivalents, and corporate treasury investments, was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$0.6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June 30,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Borrowings.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credit facilities, notes offerings, and CLO borrowings are additional sources of liquidity, as discussed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Borrowings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condensed consolidated financial statements.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amended and restated revolving credit facility has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borrowing capacity of $1.0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of June 30, 2026, and is scheduled to mature on May 29, 2030. Additionally,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subsidiaries of the Company are parties to a revolving line of credit, primarily intended to support certain lending activities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within the Global Credit segment, which provides for a revolving line of credit with a capacity of $300 million, that matures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September 2027, and a second revolving line of credit with a capacity of $200 million, that matures on August 19, 2026, but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which we expect to extend.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There are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amounts outstanding on the credit facilities as of June 30,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summarizes our debt obligations as of June 30, 2026. The maturity profile of these debt obligations,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our credit facilities, and our other contractual obligations is presented under “Contractual Obligations” below.</w:t>
      </w:r>
    </w:p>
    <w:tbl>
      <w:tblPr>
        <w:tblW w:w="640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31"/>
        <w:gridCol w:w="826"/>
        <w:gridCol w:w="1531"/>
        <w:gridCol w:w="109"/>
        <w:gridCol w:w="796"/>
        <w:gridCol w:w="109"/>
        <w:gridCol w:w="1501"/>
      </w:tblGrid>
      <w:tr>
        <w:trPr/>
        <w:tc>
          <w:tcPr>
            <w:tcW w:w="1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Instrument</w:t>
            </w:r>
          </w:p>
        </w:tc>
        <w:tc>
          <w:tcPr>
            <w:tcW w:w="8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Coupon</w:t>
            </w:r>
          </w:p>
        </w:tc>
        <w:tc>
          <w:tcPr>
            <w:tcW w:w="15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Maturity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Carrying Value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(1)</w:t>
            </w:r>
          </w:p>
        </w:tc>
      </w:tr>
      <w:tr>
        <w:trPr/>
        <w:tc>
          <w:tcPr>
            <w:tcW w:w="15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0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1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CLO Borrowings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Various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Various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$350.3</w:t>
            </w:r>
          </w:p>
        </w:tc>
      </w:tr>
      <w:tr>
        <w:trPr/>
        <w:tc>
          <w:tcPr>
            <w:tcW w:w="1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Senior Notes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3.500%</w:t>
            </w:r>
          </w:p>
        </w:tc>
        <w:tc>
          <w:tcPr>
            <w:tcW w:w="1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September 19, 2029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425.0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423.5</w:t>
            </w:r>
          </w:p>
        </w:tc>
      </w:tr>
      <w:tr>
        <w:trPr/>
        <w:tc>
          <w:tcPr>
            <w:tcW w:w="1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Senior Notes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5.050%</w:t>
            </w:r>
          </w:p>
        </w:tc>
        <w:tc>
          <w:tcPr>
            <w:tcW w:w="1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September 19, 2035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800.0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791.6</w:t>
            </w:r>
          </w:p>
        </w:tc>
      </w:tr>
      <w:tr>
        <w:trPr/>
        <w:tc>
          <w:tcPr>
            <w:tcW w:w="1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Senior Notes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5.625%</w:t>
            </w:r>
          </w:p>
        </w:tc>
        <w:tc>
          <w:tcPr>
            <w:tcW w:w="1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March 30, 2043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600.5</w:t>
            </w:r>
          </w:p>
        </w:tc>
      </w:tr>
      <w:tr>
        <w:trPr/>
        <w:tc>
          <w:tcPr>
            <w:tcW w:w="1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Senior Notes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5.650%</w:t>
            </w:r>
          </w:p>
        </w:tc>
        <w:tc>
          <w:tcPr>
            <w:tcW w:w="1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September 15, 2048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350.0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346.8</w:t>
            </w:r>
          </w:p>
        </w:tc>
      </w:tr>
      <w:tr>
        <w:trPr/>
        <w:tc>
          <w:tcPr>
            <w:tcW w:w="1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Subordinated Notes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4.625%</w:t>
            </w:r>
          </w:p>
        </w:tc>
        <w:tc>
          <w:tcPr>
            <w:tcW w:w="1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May 15, 2061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500.0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486.1</w:t>
            </w:r>
          </w:p>
        </w:tc>
      </w:tr>
      <w:tr>
        <w:trPr/>
        <w:tc>
          <w:tcPr>
            <w:tcW w:w="3888" w:type="dxa"/>
            <w:gridSpan w:val="3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debt obligations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$3,026.1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$2,998.8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(1)Carrying value reflects unamortized original issue discount or premium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deferred financing costs.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(2)CLO borrowings carried a weighted-average interest rate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4.87%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weighted-average remaining maturity of 10.5 years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as of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June 30, 2026. See Note 5, Borrowings, for fair values and additional terms.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Realized Performance Allocation Revenues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Another source of liquidity we may use to meet our capital needs is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realized performance allocation revenues generated by our investment funds. Performance allocations are generally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when an underlying investment is profitably disposed of and the fund’s cumulative returns are in excess of the preferred return.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certain funds, performance allocations are realized once all invested capital and expenses have been returned to the fund’s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investors and the fund’s cumulative returns are in excess of the preferred return.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accrued performance allocations by segment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gross and net of accrued giveback obligations,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set forth below:</w:t>
      </w:r>
    </w:p>
    <w:tbl>
      <w:tblPr>
        <w:tblW w:w="924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79"/>
        <w:gridCol w:w="2372"/>
        <w:gridCol w:w="228"/>
        <w:gridCol w:w="1930"/>
        <w:gridCol w:w="109"/>
        <w:gridCol w:w="1126"/>
      </w:tblGrid>
      <w:tr>
        <w:trPr/>
        <w:tc>
          <w:tcPr>
            <w:tcW w:w="34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2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Accrued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Allocations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2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Giveback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Obligation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Accrued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</w:tr>
      <w:tr>
        <w:trPr/>
        <w:tc>
          <w:tcPr>
            <w:tcW w:w="34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765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4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</w:t>
            </w:r>
          </w:p>
        </w:tc>
        <w:tc>
          <w:tcPr>
            <w:tcW w:w="23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$3,996.8</w:t>
            </w:r>
          </w:p>
        </w:tc>
        <w:tc>
          <w:tcPr>
            <w:tcW w:w="2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$(66.9)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$3,929.9</w:t>
            </w:r>
          </w:p>
        </w:tc>
      </w:tr>
      <w:tr>
        <w:trPr/>
        <w:tc>
          <w:tcPr>
            <w:tcW w:w="34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Credit</w:t>
            </w:r>
          </w:p>
        </w:tc>
        <w:tc>
          <w:tcPr>
            <w:tcW w:w="23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793.4</w:t>
            </w:r>
          </w:p>
        </w:tc>
        <w:tc>
          <w:tcPr>
            <w:tcW w:w="2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(25.5)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767.9</w:t>
            </w:r>
          </w:p>
        </w:tc>
      </w:tr>
      <w:tr>
        <w:trPr/>
        <w:tc>
          <w:tcPr>
            <w:tcW w:w="34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237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1,818.0</w:t>
            </w:r>
          </w:p>
        </w:tc>
        <w:tc>
          <w:tcPr>
            <w:tcW w:w="2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1,818.0</w:t>
            </w:r>
          </w:p>
        </w:tc>
      </w:tr>
      <w:tr>
        <w:trPr/>
        <w:tc>
          <w:tcPr>
            <w:tcW w:w="34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237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$6,608.2</w:t>
            </w:r>
          </w:p>
        </w:tc>
        <w:tc>
          <w:tcPr>
            <w:tcW w:w="2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$(92.4)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$6,515.8</w:t>
            </w:r>
          </w:p>
        </w:tc>
      </w:tr>
      <w:tr>
        <w:trPr/>
        <w:tc>
          <w:tcPr>
            <w:tcW w:w="8009" w:type="dxa"/>
            <w:gridSpan w:val="4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Plus:  Accrued performance allocations from NGP Carry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401.2</w:t>
            </w:r>
          </w:p>
        </w:tc>
      </w:tr>
      <w:tr>
        <w:trPr/>
        <w:tc>
          <w:tcPr>
            <w:tcW w:w="8009" w:type="dxa"/>
            <w:gridSpan w:val="4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Less:  Accrued performance allocation-related compensation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(4,496.7)</w:t>
            </w:r>
          </w:p>
        </w:tc>
      </w:tr>
      <w:tr>
        <w:trPr/>
        <w:tc>
          <w:tcPr>
            <w:tcW w:w="8009" w:type="dxa"/>
            <w:gridSpan w:val="4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Plus:  Receivable for giveback obligations from current and former employees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39.4</w:t>
            </w:r>
          </w:p>
        </w:tc>
      </w:tr>
      <w:tr>
        <w:trPr/>
        <w:tc>
          <w:tcPr>
            <w:tcW w:w="8009" w:type="dxa"/>
            <w:gridSpan w:val="4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Less:  Deferred taxes on certain foreign accrued performance allocations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(14.6)</w:t>
            </w:r>
          </w:p>
        </w:tc>
      </w:tr>
      <w:tr>
        <w:trPr/>
        <w:tc>
          <w:tcPr>
            <w:tcW w:w="8009" w:type="dxa"/>
            <w:gridSpan w:val="4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Less/Plus:  Net accrued performance allocations/giveback obligations attributable to non-controlling interests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entities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(66.3)</w:t>
            </w:r>
          </w:p>
        </w:tc>
      </w:tr>
      <w:tr>
        <w:trPr/>
        <w:tc>
          <w:tcPr>
            <w:tcW w:w="8009" w:type="dxa"/>
            <w:gridSpan w:val="4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Plus:  Net accrued performance allocations attributable to Consolidated Funds, eliminated in consolidation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23.2</w:t>
            </w:r>
          </w:p>
        </w:tc>
      </w:tr>
      <w:tr>
        <w:trPr/>
        <w:tc>
          <w:tcPr>
            <w:tcW w:w="8009" w:type="dxa"/>
            <w:gridSpan w:val="4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accrued performance revenues before timing differences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2,402.0</w:t>
            </w:r>
          </w:p>
        </w:tc>
      </w:tr>
      <w:tr>
        <w:trPr/>
        <w:tc>
          <w:tcPr>
            <w:tcW w:w="8009" w:type="dxa"/>
            <w:gridSpan w:val="4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Less/Plus:  Timing differences between the period when accrued performance allocations/giveback obligations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are realized and the period they are collected/distributed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12.6</w:t>
            </w:r>
          </w:p>
        </w:tc>
      </w:tr>
      <w:tr>
        <w:trPr/>
        <w:tc>
          <w:tcPr>
            <w:tcW w:w="8009" w:type="dxa"/>
            <w:gridSpan w:val="4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accrued performance revenues attributable to The Carlyle Group Inc.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$2,414.6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(1)Accrued incentive fees are excluded from net accrued performance revenues.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(2)Accrued performance allocations from NGP funds are presented as principal equity method investments in the condensed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consolidated balance sheets.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net accrued performance revenues attributable to The Carlyle Group Inc., excluding realized amounts, related to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carry funds and our other vehicles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as well as the carry fund appreciation (depreciation), is set forth below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by segment (Dollars in millions):</w:t>
      </w:r>
    </w:p>
    <w:tbl>
      <w:tblPr>
        <w:tblW w:w="97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41"/>
        <w:gridCol w:w="736"/>
        <w:gridCol w:w="109"/>
        <w:gridCol w:w="736"/>
        <w:gridCol w:w="109"/>
        <w:gridCol w:w="736"/>
        <w:gridCol w:w="109"/>
        <w:gridCol w:w="736"/>
        <w:gridCol w:w="109"/>
        <w:gridCol w:w="736"/>
        <w:gridCol w:w="109"/>
        <w:gridCol w:w="736"/>
        <w:gridCol w:w="109"/>
        <w:gridCol w:w="1171"/>
      </w:tblGrid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1" w:type="dxa"/>
            <w:gridSpan w:val="11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Carry Fund Appreciation/(Depreciation)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Accrued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1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Quarter-to-Date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1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Year-to-Date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1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Last Twelve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Months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Q2 2025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Q2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Q2 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Q2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Q2 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Q2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Overall Carry Fund Appreciation/(Depreciation)</w:t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Private Equity: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$1,476.2</w:t>
            </w:r>
          </w:p>
        </w:tc>
      </w:tr>
      <w:tr>
        <w:trPr/>
        <w:tc>
          <w:tcPr>
            <w:tcW w:w="35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Corporate Private Equity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1,016.5</w:t>
            </w:r>
          </w:p>
        </w:tc>
      </w:tr>
      <w:tr>
        <w:trPr/>
        <w:tc>
          <w:tcPr>
            <w:tcW w:w="35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Real Estate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34.5</w:t>
            </w:r>
          </w:p>
        </w:tc>
      </w:tr>
      <w:tr>
        <w:trPr/>
        <w:tc>
          <w:tcPr>
            <w:tcW w:w="35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Infrastructure &amp; Natural Resources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425.2</w:t>
            </w:r>
          </w:p>
        </w:tc>
      </w:tr>
      <w:tr>
        <w:trPr/>
        <w:tc>
          <w:tcPr>
            <w:tcW w:w="35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Global Credit Carry Funds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283.2</w:t>
            </w:r>
          </w:p>
        </w:tc>
      </w:tr>
      <w:tr>
        <w:trPr/>
        <w:tc>
          <w:tcPr>
            <w:tcW w:w="35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Carlyle AlpInvest Carry Funds 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655.2</w:t>
            </w:r>
          </w:p>
        </w:tc>
      </w:tr>
      <w:tr>
        <w:trPr/>
        <w:tc>
          <w:tcPr>
            <w:tcW w:w="35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Accrued Performance Revenues 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$2,414.6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(1)Appreciation/(Depreciation) represents unrealized gain/(loss) for the period on a total return basis before fees and expenses.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percentage of return is calculated as: ending remaining investment fair market value plus net investment outflow (sales proceeds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minus net purchases) minus beginning remaining investment fair market value divided by beginning remaining investment fair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market value. Amounts are fund only, and do not include coinvestments.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Realized Principal Investment Income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Another source of liquidity we may use to meet our capital needs is the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principal investment income generated by our equity method investments and other principal investments. Certain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investments attributable to The Carlyle Group Inc. (excluding certain general partner interests, certain strategic investments,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investments in certain CLOs) may be sold at our discretion as a source of liquidity.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Investments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consist of the following:</w:t>
      </w:r>
    </w:p>
    <w:tbl>
      <w:tblPr>
        <w:tblW w:w="90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26"/>
        <w:gridCol w:w="1291"/>
        <w:gridCol w:w="109"/>
        <w:gridCol w:w="1096"/>
        <w:gridCol w:w="109"/>
        <w:gridCol w:w="781"/>
      </w:tblGrid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Investments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Funds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Investments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in NGP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5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6" w:type="dxa"/>
            <w:gridSpan w:val="5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Investments, excluding performance allocations</w:t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$2,944.0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$679.4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$3,623.4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Less: Amounts attributable to non-controlling interests in consolidated entities</w:t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(396.6)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(396.6)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Plus: Investments in Consolidated Funds, eliminated in consolidation</w:t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1,107.8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1,107.8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Less: Strategic equity method investments in NGP Management</w:t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(230.7)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(230.7)</w:t>
            </w:r>
          </w:p>
        </w:tc>
      </w:tr>
      <w:tr>
        <w:trPr/>
        <w:tc>
          <w:tcPr>
            <w:tcW w:w="56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Less: Investment in NGP general partners - accrued performance allocations</w:t>
            </w:r>
          </w:p>
        </w:tc>
        <w:tc>
          <w:tcPr>
            <w:tcW w:w="12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(401.2)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(401.2)</w:t>
            </w:r>
          </w:p>
        </w:tc>
      </w:tr>
      <w:tr>
        <w:trPr/>
        <w:tc>
          <w:tcPr>
            <w:tcW w:w="56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investments attributable to The Carlyle Group Inc.</w:t>
            </w:r>
          </w:p>
        </w:tc>
        <w:tc>
          <w:tcPr>
            <w:tcW w:w="12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$3,655.2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$47.5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$3,702.7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(1)Represents our total investment in NGP. 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Investments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, to our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investments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can be further attributed as follows (Dollars in millions):</w:t>
      </w:r>
    </w:p>
    <w:tbl>
      <w:tblPr>
        <w:tblW w:w="69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1"/>
        <w:gridCol w:w="781"/>
      </w:tblGrid>
      <w:tr>
        <w:trPr/>
        <w:tc>
          <w:tcPr>
            <w:tcW w:w="6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Carlyle Funds, excluding CLOs:</w:t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Global Private Equity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$1,432.9</w:t>
            </w:r>
          </w:p>
        </w:tc>
      </w:tr>
      <w:tr>
        <w:trPr/>
        <w:tc>
          <w:tcPr>
            <w:tcW w:w="6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Global Credit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1,258.3</w:t>
            </w:r>
          </w:p>
        </w:tc>
      </w:tr>
      <w:tr>
        <w:trPr/>
        <w:tc>
          <w:tcPr>
            <w:tcW w:w="6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AlpInvest</w:t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406.6</w:t>
            </w:r>
          </w:p>
        </w:tc>
      </w:tr>
      <w:tr>
        <w:trPr/>
        <w:tc>
          <w:tcPr>
            <w:tcW w:w="6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investments in Carlyle Funds, excluding CLOs</w:t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3,097.8</w:t>
            </w:r>
          </w:p>
        </w:tc>
      </w:tr>
      <w:tr>
        <w:trPr/>
        <w:tc>
          <w:tcPr>
            <w:tcW w:w="6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CLOs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447.3</w:t>
            </w:r>
          </w:p>
        </w:tc>
      </w:tr>
      <w:tr>
        <w:trPr/>
        <w:tc>
          <w:tcPr>
            <w:tcW w:w="6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investments</w:t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157.6</w:t>
            </w:r>
          </w:p>
        </w:tc>
      </w:tr>
      <w:tr>
        <w:trPr/>
        <w:tc>
          <w:tcPr>
            <w:tcW w:w="6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investments attributable to The Carlyle Group Inc.</w:t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3,702.7</w:t>
            </w:r>
          </w:p>
        </w:tc>
      </w:tr>
      <w:tr>
        <w:trPr/>
        <w:tc>
          <w:tcPr>
            <w:tcW w:w="6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CLO borrowings collateralized by investments attributable to The Carlyle Group Inc.</w:t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(350.3)</w:t>
            </w:r>
          </w:p>
        </w:tc>
      </w:tr>
      <w:tr>
        <w:trPr/>
        <w:tc>
          <w:tcPr>
            <w:tcW w:w="6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investments attributable to The Carlyle Group Inc., net of CLO borrowings</w:t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$3,352.4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(1)Excludes our strategic equity method investment in NGP Management and investments in NGP general partners - accrued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performance allocations. This balance also includes amounts bridged by us on behalf of investment funds for which we have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entered into warehouse agreements. Under such warehouse agreements, we may elect to transfer investments for a price that differs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from fair value.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(2)Includes the Company’s indirect investment in Fortitude through Carlyle FRL, a Carlyle-affiliated investment fund, as discussed in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Investments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, to the condensed consolidated financial statements. This investment had a carrying value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$732.7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as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Our Liquidity Needs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generally use our working capital and cash flows to invest in growth initiatives, service our debt, fund the working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capital needs of our business and investment funds, and return capital to our common stockholders in the form of dividends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stock repurchases.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 the future, we expect that our primary liquidity needs will be to:</w:t>
      </w: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provide capital to facilitate the growth of our existing business lines;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provide capital to facilitate our expansion into new, complementary business lines, including acquisitions;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pay operating expenses, including compensation and compliance costs and other obligations as they arise;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fund costs of litigation and contingencies, including related legal costs;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fund the capital investments in our funds;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fund capital expenditures;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repay borrowings and related interest costs and expenses;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pay earn-outs and contingent cash consideration associated with our acquisitions and strategic investments;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pay income taxes, including corporate income taxes;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pay dividends to our common stockholders in accordance with our dividend policy;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repurchase our common stock and pay any associated taxes;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settle tax withholding obligations in connection with net share settlements of equity-based awards.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Common Stockholder Dividends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Under our dividend policy for our common stock, our intention is to pay dividends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holders of our common stock in an amount of $0.35 per common share on a quarterly basis ($1.40 annually). For U.S. federal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income tax purposes, any dividends we pay generally will be treated as qualified dividend income (generally taxable to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individual stockholders at capital gain rates) paid by a domestic corporation to the extent paid out of our current or accumulated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earnings and profits, as determined for U.S. federal income tax purposes, with any excess dividends treated as return of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 the extent of the stockholder’s basis. The declaration and payment of dividends to holders of our common stock will be 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sole discretion of our Board of Directors and in compliance with applicable law, and our dividend policy may be changed at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time.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To date, w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ith respect to dividend year 2026, the Board of Directors has declared a dividend to common stockholders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totaling $250.4 million, or $0.70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 share, including the second quarter 2026 dividend declared in July 2026.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With respect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full dividend year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the Board of Directors declared cumulative dividends to common stockholders totaling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$505.1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or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$1.40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per share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For further information, see Note 12, Equity, to the condensed consolidated financial statements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in this Quarterly Report on Form 10-Q.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/>
          <w:sz w:val="20"/>
        </w:rPr>
        <w:t>Fund Commitments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  <w:r>
        <w:rPr/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Generally, up to 3% of all capital commitments to our investment funds are made by Carlyle,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senior Carlyle professionals, advisors, and other professionals. Carlyle will generally commit up to 1% of capital commitments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related to our carry funds, although we may elect to invest additional amounts in funds focused on new investment areas 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other growth opportunities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may, from time to time, exercise our right to purchase additional interests in our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 that become available in the ordinary course of their operations. We expect our senior Carlyle professionals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employees to continue to make significant capital contributions to our funds based on their existing commitments, and to make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capital commitments to future funds consistent with the level of their historical commitments. We also intend to make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investments in our evergreen funds and our CLO vehicles. Our investments in our European CLO vehicles will comply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risk retention rules as discussed in “Risk Retention Rules” later in this section.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 substantial majority of the remaining commitments to our investment funds are expected to be funded by senior Carlyle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professionals, operating executives, and other professionals through our internal co-investment program. Of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$4.3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unfunded commitments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$3.4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is subscribed individually by senior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professionals, operating executives, and other professionals, with the balance funded directly by the Company. Approximately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76%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$4.3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unfunded commitments relate to investment funds in our Global Private Equity segment.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Under the Carlyle Global Capital Markets platform, certain of our subsidiaries may act as an underwriter, syndicator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placement agent for security offerings and loan originations. We earn fees in connection with these activities and bear the risk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the sale of such securities and placement of such loans, which may be longer dated.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there were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material commitments related to the origination and syndication of loans and securities under the Carlyle Global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Markets platform.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z w:val="20"/>
        </w:rPr>
        <w:t>Repurchase Program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During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we paid an aggregate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$365.0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 repurchase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retire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7.9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shares of common stock. In addition, during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we paid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 aggregate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$143.9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retired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2.6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shares of common stock to settle tax withholding obligations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connection with net share settlements of equity-based awards, for a total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$508.9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10.5 million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shares repurchased or withheld this year.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June 30, 2026, $1.6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repurchase capacity remained under the share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repurchase program, which reflects the cost of common shares repurchased as well as tax withholding payments made by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related to the net share settlement of equity-based awards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For further information on our repurchase program, see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to the condensed consolidated financial statements included in this Quarterly Report on Form 10-Q.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Cash Flows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tables summarize our condensed consolidated statements of cash flows by activities attributable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Company and the Consolidated Funds. </w:t>
      </w:r>
    </w:p>
    <w:tbl>
      <w:tblPr>
        <w:tblW w:w="837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91"/>
        <w:gridCol w:w="1036"/>
        <w:gridCol w:w="147"/>
        <w:gridCol w:w="1097"/>
      </w:tblGrid>
      <w:tr>
        <w:trPr/>
        <w:tc>
          <w:tcPr>
            <w:tcW w:w="60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28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60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4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60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28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60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Statements of Cash Flows Data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the Company’s operating activities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$230.8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$530.2</w:t>
            </w:r>
          </w:p>
        </w:tc>
      </w:tr>
      <w:tr>
        <w:trPr/>
        <w:tc>
          <w:tcPr>
            <w:tcW w:w="60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the Consolidated Funds’ operating activities, after eliminations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(1,473.7)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(1,051.1)</w:t>
            </w:r>
          </w:p>
        </w:tc>
      </w:tr>
      <w:tr>
        <w:trPr/>
        <w:tc>
          <w:tcPr>
            <w:tcW w:w="60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operating activities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(1,242.9)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(520.9)</w:t>
            </w:r>
          </w:p>
        </w:tc>
      </w:tr>
      <w:tr>
        <w:trPr/>
        <w:tc>
          <w:tcPr>
            <w:tcW w:w="60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investing activities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(60.1)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(34.2)</w:t>
            </w:r>
          </w:p>
        </w:tc>
      </w:tr>
      <w:tr>
        <w:trPr/>
        <w:tc>
          <w:tcPr>
            <w:tcW w:w="60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the Company’s financing activities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(868.2)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(515.5)</w:t>
            </w:r>
          </w:p>
        </w:tc>
      </w:tr>
      <w:tr>
        <w:trPr/>
        <w:tc>
          <w:tcPr>
            <w:tcW w:w="60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the Consolidated Funds’ financing activities, after eliminations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1,496.7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1,042.3</w:t>
            </w:r>
          </w:p>
        </w:tc>
      </w:tr>
      <w:tr>
        <w:trPr/>
        <w:tc>
          <w:tcPr>
            <w:tcW w:w="60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financing activities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628.5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526.8</w:t>
            </w:r>
          </w:p>
        </w:tc>
      </w:tr>
      <w:tr>
        <w:trPr/>
        <w:tc>
          <w:tcPr>
            <w:tcW w:w="60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Effect of foreign exchange rate changes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(41.1)</w:t>
            </w:r>
          </w:p>
        </w:tc>
        <w:tc>
          <w:tcPr>
            <w:tcW w:w="14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38.7</w:t>
            </w:r>
          </w:p>
        </w:tc>
      </w:tr>
      <w:tr>
        <w:trPr/>
        <w:tc>
          <w:tcPr>
            <w:tcW w:w="60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cash, cash equivalents and restricted cash</w:t>
            </w:r>
          </w:p>
        </w:tc>
        <w:tc>
          <w:tcPr>
            <w:tcW w:w="10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$(715.6)</w:t>
            </w:r>
          </w:p>
        </w:tc>
        <w:tc>
          <w:tcPr>
            <w:tcW w:w="14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$10.4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condensed consolidated statements of cash flows include the cash flows of our Consolidated Funds, which include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certain consolidated investment funds and the CLOs. Generally, the consolidation of the Consolidated Funds has a gross-up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effect on our assets, liabilities and cash flows activities. The primary cash flow activities of the Consolidated Funds generally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include (i) purchases of investments, (ii) proceeds from sales of investments, and (iii) net borrowings of the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Funds. Contributions from and distributions to the non-controlling interest holders on the condensed consolidated statements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cash flows primarily relate to non-controlling interest holders in the Consolidated Funds. The impact that the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 had on cash flows attributable to the Company for the periods presented were limited to our interest in these funds,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is included in the discussion below. Thus we excluded the Consolidated Funds from the discussion below.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Net cash used in operating activities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cash used in operating activities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primarily consists of: (i) net cash generated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operating activities, which include the receipt of management fees, realized performance allocations and incentive fees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after payments for compensation and general, administrative and other expenses, and (ii) our net investment activity,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include purchases of and proceeds from our investment activities.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 and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we received management fees and realized performance allocations,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principal investment income, and incentive fees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$1.8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$1.9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respectively, partially offset by payments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compensation, interest, and general, administrative and other expenses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$1.4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$1.6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included payment of 2025 and 2024 year-end bonuses paid in January 2026 and 2025, respectively.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 and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net cash provided by (used in) our investment activities were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$(132.5)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$17.7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respectively, which primarily represented cash used to fund commitments and investments in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portfolio offset by proceeds related to distributions of our investments.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our investments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totaled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$3.4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$3.0 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respectively. We expect our commitments to and investments in our funds will continue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increase with the growth of our assets under management and our investments in new products.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Net cash used in investing activities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 and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cash used in investing activities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primarily reflected capital expenditures related to information technology, leasehold improvements, and other fixed assets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$60.1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$34.2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, respectively.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Net cash provided by financing activities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 and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we paid dividends to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common stockholders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$252.1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$252.7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respectively.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 and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we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paid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$508.9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$280.1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respectively, to repurchase and retire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10.5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5.6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shares, respectively,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which included shares retired in connection with the net share settlement of equity-based awards.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Our Balance Sheet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Total assets were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$28.2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$0.9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compared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total assets was primarily attributable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Investments, including Performance allocations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$0.9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and cash equivalents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$0.7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partially offset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increase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of Consolidated Funds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$0.8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decrease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Investments, including Performance allocations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primarily driven by declines in CP VII’s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accrued performance allocations, largely attributable to declines in market prices of certain public investments and the impact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preferred return, partially offset by appreciation in our international energy funds, CJP IV, and secondaries &amp; portfolio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finance funds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Refer to “—Cash Flows” in Part I, Item 2 of this Quarterly Report on Form 10-Q for details on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Cash and cash equivalents.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Total liabilities were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$21.0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$1.1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liabilities was primarily attributable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Accrued compensation and benefits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$0.8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decrease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Other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liabilities of Consolidated Funds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$0.6 billion, partially offset by an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Loans payable of Consolidated Funds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$0.4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Accrued compensation and benefits was primarily attributable to a decrease in Accrued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allocations, on which Accrued performance allocations and incentive fee related compensation is based, as well as the payment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of previously realized performance allocations and incentive fee related compensation and year-end bonuses.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assets and liabilities of the Consolidated Funds are generally held within separate legal entities and, as a result,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assets of the Consolidated Funds are not available to meet our liquidity requirements and similarly the liabilities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Consolidated Funds are non-recourse to us. The number of funds that we consolidate fluctuates period to period. In general,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number of funds we are required to consolidate has been increasing as a result of our investment in new products and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indirect interest in funds through our indirect investment in Fortitude.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balance sheet without the effect of the Consolidated Funds can be seen in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Supplemental Financial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Information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condensed consolidated financial statements included in this Quarterly Report on Form 10-Q. 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June 30,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our total assets without the effect of the Consolidated Funds were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$15.2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including cash and cash equivalents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$1.3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Investments, including accrued performance allocations,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$11.4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Unconsolidated Entities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Certain of our funds have entered into lines of credit secured by their investors’ unpaid capital commitments or by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pledge of the equity of the underlying investment. These lines of credit are used primarily to reduce the overall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capital calls to investors or for working capital needs. In certain instances, however, they may be used for other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related activities, including serving as bridge financing for investments. The degree of leverage employed varies among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Off-balance Sheet Arrangements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normal course of business, we enter into various off-balance sheet arrangements including sponsoring and owning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limited or general partner interests in consolidated and non-consolidated funds, entering into derivative transactions,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entering into guarantee arrangements. We also have ongoing capital commitment arrangements with certain of our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and non-consolidated funds.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further information regarding our off-balance sheet arrangements, 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Summary of Significant Accounting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Policies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and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Commitments and Contingencies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condensed consolidated financial statements included in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Quarterly Report on Form 10-Q. Other than what we have disclosed in this Quarterly Report on Form 10-Q, we do not have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other off-balance sheet arrangements that would require us to fund losses or guarantee target returns to investors in any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other investment funds.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Contractual Obligations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sets forth information relating to our contractual obligations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on a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basis and on a basis excluding the obligations of the Consolidated Funds:</w:t>
      </w:r>
    </w:p>
    <w:tbl>
      <w:tblPr>
        <w:tblW w:w="88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86"/>
        <w:gridCol w:w="1216"/>
        <w:gridCol w:w="109"/>
        <w:gridCol w:w="886"/>
        <w:gridCol w:w="109"/>
        <w:gridCol w:w="886"/>
        <w:gridCol w:w="109"/>
        <w:gridCol w:w="916"/>
        <w:gridCol w:w="109"/>
        <w:gridCol w:w="901"/>
      </w:tblGrid>
      <w:tr>
        <w:trPr/>
        <w:tc>
          <w:tcPr>
            <w:tcW w:w="3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Jul. 1, 2026 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Dec. 31,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2027-2028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2029-2030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Thereafter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5241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millions)</w:t>
            </w:r>
          </w:p>
        </w:tc>
      </w:tr>
      <w:tr>
        <w:trPr/>
        <w:tc>
          <w:tcPr>
            <w:tcW w:w="3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Debt obligations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$82.3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$446.4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$2,461.0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$3,026.1</w:t>
            </w:r>
          </w:p>
        </w:tc>
      </w:tr>
      <w:tr>
        <w:trPr/>
        <w:tc>
          <w:tcPr>
            <w:tcW w:w="3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Interest payable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75.7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293.3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268.8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1,669.9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2,307.7</w:t>
            </w:r>
          </w:p>
        </w:tc>
      </w:tr>
      <w:tr>
        <w:trPr/>
        <w:tc>
          <w:tcPr>
            <w:tcW w:w="3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Other consideration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23.0</w:t>
            </w:r>
          </w:p>
        </w:tc>
      </w:tr>
      <w:tr>
        <w:trPr/>
        <w:tc>
          <w:tcPr>
            <w:tcW w:w="3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Operating lease obligations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(4)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184.5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183.6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378.6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786.3</w:t>
            </w:r>
          </w:p>
        </w:tc>
      </w:tr>
      <w:tr>
        <w:trPr/>
        <w:tc>
          <w:tcPr>
            <w:tcW w:w="3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Capital commitments to Carlyle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(5)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4,338.5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4,338.5</w:t>
            </w:r>
          </w:p>
        </w:tc>
      </w:tr>
      <w:tr>
        <w:trPr/>
        <w:tc>
          <w:tcPr>
            <w:tcW w:w="3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Tax receivable agreement payments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(6)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13.5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41.6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63.9</w:t>
            </w:r>
          </w:p>
        </w:tc>
      </w:tr>
      <w:tr>
        <w:trPr/>
        <w:tc>
          <w:tcPr>
            <w:tcW w:w="3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Loans payable of Consolidated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(7)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206.7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819.9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12,818.1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14,665.8</w:t>
            </w:r>
          </w:p>
        </w:tc>
      </w:tr>
      <w:tr>
        <w:trPr/>
        <w:tc>
          <w:tcPr>
            <w:tcW w:w="3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Unfunded commitments of the CLOs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(8)</w:t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23.0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23.0</w:t>
            </w:r>
          </w:p>
        </w:tc>
      </w:tr>
      <w:tr>
        <w:trPr/>
        <w:tc>
          <w:tcPr>
            <w:tcW w:w="3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contractual obligations</w:t>
            </w:r>
          </w:p>
        </w:tc>
        <w:tc>
          <w:tcPr>
            <w:tcW w:w="12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4,737.1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1,395.8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1,732.2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17,369.2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25,234.3</w:t>
            </w:r>
          </w:p>
        </w:tc>
      </w:tr>
      <w:tr>
        <w:trPr/>
        <w:tc>
          <w:tcPr>
            <w:tcW w:w="3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Loans payable of Consolidated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(7)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(206.7)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(821.1)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(819.9)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(12,818.1)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(14,665.8)</w:t>
            </w:r>
          </w:p>
        </w:tc>
      </w:tr>
      <w:tr>
        <w:trPr/>
        <w:tc>
          <w:tcPr>
            <w:tcW w:w="3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Capital commitments to Carlyle funds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(5)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(3,363.7)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(3,363.7)</w:t>
            </w:r>
          </w:p>
        </w:tc>
      </w:tr>
      <w:tr>
        <w:trPr/>
        <w:tc>
          <w:tcPr>
            <w:tcW w:w="3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Unfunded commitments of the CLOs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(8)</w:t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(23.0)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(23.0)</w:t>
            </w:r>
          </w:p>
        </w:tc>
      </w:tr>
      <w:tr>
        <w:trPr/>
        <w:tc>
          <w:tcPr>
            <w:tcW w:w="3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Carlyle Operating Entities contractual obligations</w:t>
            </w:r>
          </w:p>
        </w:tc>
        <w:tc>
          <w:tcPr>
            <w:tcW w:w="121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$1,143.7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$574.7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$912.3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$4,551.1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$7,181.8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(1)The table above assumes that no prepayments are made on the senior and subordinated notes and that the outstanding balances, if any, on the senior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credit facility and Global Credit Revolving Credit Facility are repaid on the maturity dates of credit facilities. The CLO term loans are included in the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table above based on the earlier of the stated maturity date or the date the CLO is expected to be dissolved. 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Borrowings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, to the condensed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consolidated financial statements for the various maturity dates of our borrowings.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(2)Interest payments assume that no prepayments are made and loans are held until maturity with the exception of the CLO term loans, which are based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on the earlier of the stated maturity date or the date the CLO is expected to be dissolved.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(3)These obligations represent our estimate of amounts to be paid on the contingent cash obligations associated with our acquisition of Abingworth. The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payment obligations are unsecured obligations of the Company or a subsidiary thereof, subordinated in right of payment to indebtedness of the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Company and its subsidiaries, and do not bear interest.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(4)We lease office space in various countries around the world, including our largest offices in Washington, D.C., New York City, London, Amsterdam,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and Hong Kong, which have non-cancelable lease agreements expiring in various years through 2037. The amounts in this table represent the minimum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lease payments required over the term of the lease.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(5)These obligations generally represent commitments by us to fund a portion of the purchase price paid for each investment made by our funds. These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amounts are generally due on demand and are therefore presented in the less than one year category. A substantial majority of these investments is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expected to be funded by senior Carlyle professionals and other professionals through our internal co-investment program. Of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$4.3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of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unfunded commitments to the funds, 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$3.4 billion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is subscribed individually by senior Carlyle professionals, advisors and other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professionals, with the balance funded directly by the Company. Additionally, these obligations include accrued giveback that has been realized but not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yet paid to the respective funds, a portion of which is payable by current and former senior Carlyle professionals.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(6)In connection with our initial public offering, we entered into a tax receivable agreement with the limited partners of the Carlyle Holdings partnerships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whereby we agreed to pay such limited partners 85% of the amount of cash tax savings, if any, in U.S. federal, state and local income tax realized as a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result of increases in tax basis resulting from exchanges of Carlyle Holdings partnership units for common units of The Carlyle Group L.P. From and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after the consummation of the Conversion, former holders of Carlyle Holdings partnership units do not have any rights to payments under the tax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receivable agreement except for payment obligations pre-existing at the time of the Conversion with respect to exchanges that occurred prior to the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Conversion. These obligations are more than offset by the future cash tax savings that we are expected to realize.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(7)These obligations represent amounts due to holders of debt securities issued by the consolidated CLO vehicles. These obligations include interest to be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paid on debt securities issued by the consolidated CLO vehicles. Interest payments assume that no prepayments are made and loans are held until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maturity. For debt securities with rights only to the residual value of the CLO and no stated interest, no interest payments were included in this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calculation. Interest payments on variable-rate debt securities are based on interest rates in effect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, at spreads to market rates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pursuant to the debt agreements, and range 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1.65%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to 11.09%.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 xml:space="preserve">(8)These obligations represent commitments of the CLOs to fund certain investments. These amounts are generally due on demand and are therefore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presented in the less than one year category.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Contingent Cash Payments For Business Acquisitions and Strategic Investments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have certain contingent cash obligations associated with our acquisition of Abingworth, which are accounted for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expense, and are accrued over the service period. If earned, payments are made in the quarter following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 year to which the payments relate. The contingent cash obligations relate to future incentive payments of up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$130.0 million that are payable upon the achievement of certain performance targets during 2025 through 2028, which is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maximum amount that could be paid as of June 30, 2026. Through June 30, 2026, we paid $4.3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related to these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contingent obligations and have accrued $16.1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June 30,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Risk Retention Rules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will continue to comply with the risk retention rules governing CLOs issued in Europe for which we are a sponsor,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which require a combination of capital from our balance sheet, commitments from senior Carlyle professionals and/or third-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party financing.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Guarantees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Commitments and Contingencies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condensed consolidated financial statements included in this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Quarterly Report on Form 10-Q for information related to all of our material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guarantees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Indemnifications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many of our service contracts, we agree to indemnify the third-party service provider under certain circumstances.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terms of the indemnities vary from contract to contract, and the amount of indemnification liability, if any, cannot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determined and has not been included in the table above or recorded in our condensed consolidated financial statements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Commitments and Contingencies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condensed consolidated financial statements included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this Quarterly Report on Form 10-Q for information related to indemnifications.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>Contingent Obligations (Giveback)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Carried interest is ultimately realized when: (1) an underlying investment is profitably disposed of, (2) certain costs borne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by the limited partner investors have been reimbursed, (3) the fund’s cumulative returns are in excess of the preferred return,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(4) we have decided to collect carry rather than return additional capital to limited partner investors. Realized carried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interest may be required to be returned by us in future periods if the fund’s investment values decline below certain levels.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When the fair value of a fund’s investments remains constant or falls below certain return hurdles, previously recognized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performance allocations are reversed. See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Commitments and Contingencies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condensed consolidated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statements included in this Quarterly Report on Form 10-Q for additional information related to our contingent obligations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(giveback).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z w:val="20"/>
        </w:rPr>
      </w:pPr>
      <w:r>
        <w:rPr>
          <w:rFonts w:ascii="Times New Roman;serif" w:hAnsi="Times New Roman;serif"/>
          <w:b/>
          <w:i/>
          <w:sz w:val="20"/>
        </w:rPr>
        <w:t xml:space="preserve">Other Contingencies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 the ordinary course of business, we are a party to litigation, investigations, inquiries, employment-related matters,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disputes and other potential claims. We discuss certain of these matters in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Commitments and Contingencies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condensed consolidated financial statements included in this Quarterly Report on Form 10-Q.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Carlyle Common Stock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 rollforward of our common stock outstanding is as follows:</w:t>
      </w:r>
    </w:p>
    <w:tbl>
      <w:tblPr>
        <w:tblW w:w="63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81"/>
        <w:gridCol w:w="2281"/>
      </w:tblGrid>
      <w:tr>
        <w:trPr/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 stock outstanding, beginning of period</w:t>
            </w:r>
          </w:p>
        </w:tc>
        <w:tc>
          <w:tcPr>
            <w:tcW w:w="22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357,374,023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Shares issued</w:t>
            </w:r>
          </w:p>
        </w:tc>
        <w:tc>
          <w:tcPr>
            <w:tcW w:w="22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3,932,257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Shares repurchased/retired</w:t>
            </w:r>
          </w:p>
        </w:tc>
        <w:tc>
          <w:tcPr>
            <w:tcW w:w="22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(7,917,242)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 stock outstanding, end of period</w:t>
            </w:r>
          </w:p>
        </w:tc>
        <w:tc>
          <w:tcPr>
            <w:tcW w:w="22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353,389,038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120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Shares of The Carlyle Group Inc. common stock issued during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relate to the vesting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Company’s restricted stock units. Shares of The Carlyle Group Inc. common stock repurchased during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six months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relate to shares repurchased and subsequently retired as part of our share repurchase program. Shares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Carlyle Group Inc. common stock issued and repurchased/retired during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exclude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retired as part of the net share settlement of equity-based awards.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total shares as of June 30, 2026 as shown above exclude approximately 3.0 million net common shares, representing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vesting of restricted stock units subsequent to June 30, 2026 that will participate in the common shareholder dividend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will be paid on August 26,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Critical Accounting Policies and Estimates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preparation of our condensed consolidated financial statements in conformity with U.S. GAAP requires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management to make estimates and judgments that affect the reported amounts of assets and liabilities, revenues and expenses,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and related disclosures of contingent assets and liabilities. These estimates and judgments are based on historical information,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information currently available to us and various other assumptions management believes to be reasonable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circumstances. Actual results could vary from those estimates and we may change our estimates and assumptions in future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evaluations. Changes in these estimates and assumptions may have a material effect on our results of operations and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condition.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There have been no material changes in the critical accounting estimates since those discussed in our Annual Report 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Form 10-K for the year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3.Quantitative and Qualitative Disclosures About Market Risk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primary exposure to market risk is related to our role as general partner or investment advisor to our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funds and the sensitivities to movements in the fair value of their investments, including the effect on management fees,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incentive fees and investment income, including performance allocations. Although our investment funds share many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themes, each of our asset management asset classes runs its own investment and risk management processes, subject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overall risk tolerance and philosophy. The investment process of our investment funds involves a comprehensive due diligence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approach, including review of reputation of shareholders and management, company size and sensitivity of cash flow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generation, business sector and competitive risks, portfolio fit, exit risks and other key factors highlighted by the deal team. Key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investment decisions are generally subject to approval by both the fund-level managing directors, as well as the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committee, which generally comprises one or more of the three founding partners as well as senior investment professionals.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Once an investment in a portfolio company has been made, our fund teams closely monitor the performance of the portfolio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company, generally through frequent contact with management and the receipt of financial and management reports.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There was no material change in our market risks during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months ended June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. For additional information,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refer to our Annual Report on Form 10-K for the year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4.Controls and Procedures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Evaluation of Disclosure Controls and Procedures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 maintain disclosure controls and procedures (as that term is defined in Rules 13a-15(e) and 15d-15(e) 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Securities Exchange Act of 1934, as amended (the “Exchange Act”)) that are designed to ensure that information required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disclosed in our reports under the Exchange Act is recorded, processed, summarized and reported within the time periods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specified in the SEC’s rules and forms, and that such information is accumulated and communicated to our management,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including our principal executive officer and principal financial officer, as appropriate, to allow timely decisions regarding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required disclosures. In designing disclosure controls and procedures, our management necessarily was required to apply 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judgment in evaluating the cost-benefit relationship of possible disclosure controls and procedures. The design of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disclosure controls and procedures also is based in part upon certain assumptions about the likelihood of future events,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there can be no assurance that any design will succeed in achieving its stated goals under all potential future conditions.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controls and procedures, no matter how well designed and operated, can provide only reasonable, not absolute, assurance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achieving the desired control objectives.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Our management, with the participation of our principal executive officer and principal financial officer, has evaluated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effectiveness of the design and operation of our disclosure controls and procedures as of the end of the period covered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this report. Based upon that evaluation and subject to the foregoing, our principal executive officer and principal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121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officer concluded that, as of the end of the period covered by this report, the design and operation of our disclosure controls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procedures were effective to accomplish their objectives at the reasonable assurance level.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Changes in Internal Control over Financial Reporting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There have been no changes in our internal control over financial reporting (as defined in Rule 13a-15(f) and 15d-15(f)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under the Exchange Act) during the fiscal quarter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that have materially affected, or that are reasonably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likely to materially affect, our internal control over financial reporting.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122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PART II - OTHER INFORMATION</w:t>
      </w:r>
    </w:p>
    <w:p>
      <w:pPr>
        <w:pStyle w:val="TextBody"/>
        <w:bidi w:val="0"/>
        <w:spacing w:lineRule="atLeast" w:line="24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1. Legal Proceedings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information required with respect to this item can be found under “Legal Matters” in Note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Commitments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Contingencies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of the notes to the Company’s condensed consolidated financial statements contained in this Quarterly Report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on Form 10-Q, and such information is incorporated by reference into this Item 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1A.  Risk Factors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a discussion of our potential risks and uncertainties, see the information under Item 1A. “Risk Factors” in our Annual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Report on Form 10-K for the year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2.Unregistered Sales of Equity Securities and Use of Proceeds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Issuer Purchases of Equity Securities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following table sets forth repurchases of our common stock during the three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periods indicated. During the three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6.6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shares were repurchased. In addition,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0.1 million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shares were retired in connection with the net share settlement of equity-based awards, which are not included in the 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below.</w:t>
      </w:r>
    </w:p>
    <w:tbl>
      <w:tblPr>
        <w:tblW w:w="95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31"/>
        <w:gridCol w:w="1666"/>
        <w:gridCol w:w="1216"/>
        <w:gridCol w:w="1711"/>
        <w:gridCol w:w="2266"/>
      </w:tblGrid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Period</w:t>
            </w:r>
          </w:p>
        </w:tc>
        <w:tc>
          <w:tcPr>
            <w:tcW w:w="16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(a) Total number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purchased</w:t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(b) Average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price paid per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</w:t>
            </w:r>
          </w:p>
        </w:tc>
        <w:tc>
          <w:tcPr>
            <w:tcW w:w="17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(c) Total number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shares purchased as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part of publicly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announced plans 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programs</w:t>
            </w:r>
          </w:p>
        </w:tc>
        <w:tc>
          <w:tcPr>
            <w:tcW w:w="22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(d) Maximum number (or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approximate dollar value)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of shares that may yet be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purchased under the plans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or programs (3)</w:t>
            </w:r>
          </w:p>
        </w:tc>
      </w:tr>
      <w:tr>
        <w:trPr/>
        <w:tc>
          <w:tcPr>
            <w:tcW w:w="27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9" w:type="dxa"/>
            <w:gridSpan w:val="4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(Dollars in millions, except share and per share data)</w:t>
            </w:r>
          </w:p>
        </w:tc>
      </w:tr>
      <w:tr>
        <w:trPr/>
        <w:tc>
          <w:tcPr>
            <w:tcW w:w="2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April 1, 2026 to April 30, 2026 (1)</w:t>
            </w:r>
          </w:p>
        </w:tc>
        <w:tc>
          <w:tcPr>
            <w:tcW w:w="16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7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2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$1,935.0</w:t>
            </w:r>
          </w:p>
        </w:tc>
      </w:tr>
      <w:tr>
        <w:trPr/>
        <w:tc>
          <w:tcPr>
            <w:tcW w:w="2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May 1, 2026 to May 31, 2026 (1)(2)</w:t>
            </w:r>
          </w:p>
        </w:tc>
        <w:tc>
          <w:tcPr>
            <w:tcW w:w="16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2,585,942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$46.97</w:t>
            </w:r>
          </w:p>
        </w:tc>
        <w:tc>
          <w:tcPr>
            <w:tcW w:w="17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2,585,942</w:t>
            </w:r>
          </w:p>
        </w:tc>
        <w:tc>
          <w:tcPr>
            <w:tcW w:w="22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$1,813.5</w:t>
            </w:r>
          </w:p>
        </w:tc>
      </w:tr>
      <w:tr>
        <w:trPr/>
        <w:tc>
          <w:tcPr>
            <w:tcW w:w="27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June 1, 2026 to June 30, 2026 (1)(2)</w:t>
            </w:r>
          </w:p>
        </w:tc>
        <w:tc>
          <w:tcPr>
            <w:tcW w:w="16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3,999,447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$44.64</w:t>
            </w:r>
          </w:p>
        </w:tc>
        <w:tc>
          <w:tcPr>
            <w:tcW w:w="17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3,999,447</w:t>
            </w:r>
          </w:p>
        </w:tc>
        <w:tc>
          <w:tcPr>
            <w:tcW w:w="22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$1,635.0</w:t>
            </w:r>
          </w:p>
        </w:tc>
      </w:tr>
      <w:tr>
        <w:trPr/>
        <w:tc>
          <w:tcPr>
            <w:tcW w:w="27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16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6,585,389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6,585,389</w:t>
            </w:r>
          </w:p>
        </w:tc>
        <w:tc>
          <w:tcPr>
            <w:tcW w:w="22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(1)The Board of Directors reset the total repurchase authorization of our previously approved share repurchase program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$2.0 billion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 shares of our common stock, effective as of February 26, 2026. Under the share repurchase program, shares of our common stock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may be repurchased from time to time in open market transactions, in privately negotiated transactions, or otherwise, including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through Rule 10b5-1 plans. The timing and actual number of shares of common stock repurchased will depend on a variety of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factors, including legal requirements and price, economic, and market conditions. In addition to the repurchase of common stock,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the repurchase program is used for the payment of tax withholding amounts upon net share settlement of equity-based awards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granted pursuant to our Equity Incentive Plan or otherwise based on the value of shares withheld that would have otherwise been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issued to the award holder. The repurchase program may be suspended or discontinued at any time and does not have a specified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expiration date.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(2)Reflects shares purchased in open market and brokered transactions, which were subsequently retired.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(3)The remaining repurchase authorization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$1,630.9 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when factoring in the net share settlement of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equity-based awards.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3. Defaults Upon Senior Securities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Not applicable.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4. Mine Safety Disclosures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Not applicable.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5. Other Information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123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Item 6. Exhibits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following is a list of all exhibits filed or furnished as part of this report:</w:t>
      </w: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46"/>
        <w:gridCol w:w="9259"/>
      </w:tblGrid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6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6"/>
                <w:u w:val="single"/>
              </w:rPr>
              <w:t>Exhibit No.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6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6"/>
                <w:u w:val="single"/>
              </w:rPr>
              <w:t>Description</w:t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3.1</w:t>
            </w:r>
          </w:p>
        </w:tc>
        <w:tc>
          <w:tcPr>
            <w:tcW w:w="925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r:id="rId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 xml:space="preserve">Amended and Restated Certificate of Incorporation of The Carlyle Group Inc. (incorporated by reference to </w:t>
              </w:r>
            </w:hyperlink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r:id="rId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>Exhibit 3.1 to the Registrant’s Current Report on Form 8-K filed with the SEC on June 2, 2023).</w:t>
              </w:r>
            </w:hyperlink>
          </w:p>
        </w:tc>
      </w:tr>
      <w:tr>
        <w:trPr/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3.2</w:t>
            </w:r>
          </w:p>
        </w:tc>
        <w:tc>
          <w:tcPr>
            <w:tcW w:w="925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r:id="rId7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 xml:space="preserve">Bylaws of The Carlyle Group Inc. (incorporated by reference to Exhibit 3.3 to the Registrant’s Current Report on </w:t>
              </w:r>
            </w:hyperlink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r:id="rId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>Form 8-K filed with the SEC on January 2, 2020).</w:t>
              </w:r>
            </w:hyperlink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10.1+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r:id="rId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 xml:space="preserve">The Carlyle Group Inc. Amended and Restated 2012 Equity Incentive Plan (incorporated by reference to Exhibit </w:t>
              </w:r>
            </w:hyperlink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r:id="rId10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>10.1 to the Registrant’s Current Report on Form 8-K filed with the SEC on June 5, 2026).</w:t>
              </w:r>
            </w:hyperlink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10.2*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cg20260630exhibit102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 xml:space="preserve">Amendment No. 1, dated as of April 6, 2026, to the Aircraft Lease Agreement by and between Falstaff Partners </w:t>
              </w:r>
            </w:hyperlink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cg20260630exhibit102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>LLC and Carlyle Investment Management L.L.C.</w:t>
              </w:r>
            </w:hyperlink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22*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cg20260630exhibit22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>Senior and Subordinated Notes, Issuers, and Guarantors.</w:t>
              </w:r>
            </w:hyperlink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31.1*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cg20260630exhibit31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>Certification of the principal executive officer pursuant to Rule 13a – 14(a).</w:t>
              </w:r>
            </w:hyperlink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31.2*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cg20260630exhibit312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>Certification of the principal financial officer pursuant to Rule 13a – 14(a).</w:t>
              </w:r>
            </w:hyperlink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32.1**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cg20260630exhibit32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 xml:space="preserve">Certification of the principal executive officer pursuant to 18 U.S.C. Section 1350, as adopted pursuant to </w:t>
              </w:r>
            </w:hyperlink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cg20260630exhibit32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>Section 906 of the Sarbanes-Oxley Act of 2002.</w:t>
              </w:r>
            </w:hyperlink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32.2**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cg20260630exhibit322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 xml:space="preserve">Certification of the principal financial officer pursuant to 18 U.S.C. Section 1350, as adopted pursuant to </w:t>
              </w:r>
            </w:hyperlink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cg20260630exhibit322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19"/>
                  <w:u w:val="single"/>
                </w:rPr>
                <w:t>Section 906 of the Sarbanes-Oxley Act of 2002.</w:t>
              </w:r>
            </w:hyperlink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101.INS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Inline XBRL Instance Document - the Instance Document does not appear in the Interactive Data File because its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XBRL tags are embedded within the Inline XBRL document.</w:t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101.SCH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Inline XBRL Taxonomy Extension Schema Document.</w:t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101.CAL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Inline XBRL Taxonomy Extension Calculation Linkbase Document.</w:t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101.DEF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Inline XBRL Taxonomy Extension Definition Linkbase Document.</w:t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101.LAB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Inline XBRL Taxonomy Extension Labels Linkbase Document.</w:t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101.PRE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Inline XBRL Taxonomy Extension Presentation Linkbase Document.</w:t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104</w:t>
            </w:r>
          </w:p>
        </w:tc>
        <w:tc>
          <w:tcPr>
            <w:tcW w:w="9259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 xml:space="preserve">The cover page from The Carlyle Group Inc.’s Quarterly Report on Form 10-Q for the quarter ended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9"/>
                <w:u w:val="none"/>
                <w:effect w:val="none"/>
              </w:rPr>
              <w:t xml:space="preserve">June 30,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9"/>
                <w:u w:val="none"/>
                <w:effect w:val="none"/>
              </w:rPr>
              <w:t>2026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>, formatted in Inline XBRL (included within the Exhibit 101 attachments).</w:t>
            </w:r>
          </w:p>
        </w:tc>
      </w:tr>
    </w:tbl>
    <w:tbl>
      <w:tblPr>
        <w:tblW w:w="95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925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*</w:t>
            </w:r>
          </w:p>
        </w:tc>
        <w:tc>
          <w:tcPr>
            <w:tcW w:w="9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Filed herewith.</w:t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**</w:t>
            </w:r>
          </w:p>
        </w:tc>
        <w:tc>
          <w:tcPr>
            <w:tcW w:w="9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Furnished herewith.</w:t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+</w:t>
            </w:r>
          </w:p>
        </w:tc>
        <w:tc>
          <w:tcPr>
            <w:tcW w:w="9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Management contract or compensatory plan or arrangement in which directors and/or executive officers are eligible to participate.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The agreements and other documents filed as exhibits to this report are not intended to provide factual information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other disclosure other than with respect to the terms of the agreements or other documents themselves, and you should not rely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on them for that purpose. In particular, any representations and warranties made by us in these agreements or other documents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were made solely within the specific context of the relevant agreement or document and may not describe the actual state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affairs as of the date they were made or at any other time.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124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afb00052f0ed424eaab8b899d03d2762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SIGNATURES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Pursuant to the requirements of the Securities Exchange Act of 1934, the registrant has duly caused this report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signed on its behalf by the undersigned thereunto duly authorized.</w:t>
      </w:r>
    </w:p>
    <w:tbl>
      <w:tblPr>
        <w:tblW w:w="57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51"/>
        <w:gridCol w:w="146"/>
        <w:gridCol w:w="631"/>
        <w:gridCol w:w="146"/>
        <w:gridCol w:w="2866"/>
      </w:tblGrid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64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The Carlyle Group Inc.</w:t>
            </w:r>
          </w:p>
        </w:tc>
      </w:tr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Date: August 10, 2026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8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Justin V. Plouffe</w:t>
            </w:r>
          </w:p>
        </w:tc>
      </w:tr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86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Justin V. Plouffe</w:t>
            </w:r>
          </w:p>
        </w:tc>
      </w:tr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Title: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Chief Financial Officer</w:t>
            </w:r>
          </w:p>
        </w:tc>
      </w:tr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(Principal Financial Officer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Authorized Officer)</w:t>
            </w:r>
          </w:p>
        </w:tc>
      </w:tr>
    </w:tbl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6D6D6D"/>
          <w:sz w:val="24"/>
          <w:u w:val="none"/>
          <w:effect w:val="none"/>
          <w:shd w:fill="E4E4E4" w:val="clear"/>
        </w:rPr>
      </w:pPr>
      <w:bookmarkStart w:id="4" w:name="cg20260630exhibit102.htm"/>
      <w:bookmarkStart w:id="5" w:name="kscg20260630exhibit102"/>
      <w:bookmarkEnd w:id="4"/>
      <w:bookmarkEnd w:id="5"/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6D6D6D"/>
          <w:sz w:val="24"/>
          <w:u w:val="none"/>
          <w:effect w:val="none"/>
          <w:shd w:fill="E4E4E4" w:val="clear"/>
        </w:rPr>
        <w:t>1</w:t>
      </w:r>
      <w:r>
        <w:br w:type="page"/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Exhibit 10.2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AMENDMENT NO. 1 TO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AIRCRAFT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LEASE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AGREEMENT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This Amendment No. 1 to the Aircraft Lease Agreement (the “Amendment”) is made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and entered into this April 6, 2026 between Falstaff Partners LLC (“Lessor”)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Carlyle Investment Management L.L.C. (“Lessee”) and relates to the Aircraft Lease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Agreement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(the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Lease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Agreement”)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entered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into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by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between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Lessor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Lessee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on April 21, 2025.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WHEREAS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Lessee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Lessor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agree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make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certain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amendments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Lease </w: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6645275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3117215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5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24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2329815</wp:posOffset>
                </wp:positionH>
                <wp:positionV relativeFrom="line">
                  <wp:posOffset>635</wp:posOffset>
                </wp:positionV>
                <wp:extent cx="787400" cy="350520"/>
                <wp:effectExtent l="0" t="0" r="0" b="0"/>
                <wp:wrapNone/>
                <wp:docPr id="6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4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Agreement,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pt;height:27.6pt;mso-wrap-distance-left:0pt;mso-wrap-distance-right:0pt;mso-wrap-distance-top:0pt;mso-wrap-distance-bottom:0pt;margin-top:0pt;mso-position-vertical:top;mso-position-vertical-relative:text;margin-left:18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Agreement,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2287270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7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18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1872615</wp:posOffset>
                </wp:positionH>
                <wp:positionV relativeFrom="line">
                  <wp:posOffset>635</wp:posOffset>
                </wp:positionV>
                <wp:extent cx="415290" cy="175260"/>
                <wp:effectExtent l="0" t="0" r="0" b="0"/>
                <wp:wrapNone/>
                <wp:docPr id="8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Lease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7pt;height:13.8pt;mso-wrap-distance-left:0pt;mso-wrap-distance-right:0pt;mso-wrap-distance-top:0pt;mso-wrap-distance-bottom:0pt;margin-top:0pt;mso-position-vertical:top;mso-position-vertical-relative:text;margin-left:14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Lease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1830070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9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14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1618615</wp:posOffset>
                </wp:positionH>
                <wp:positionV relativeFrom="line">
                  <wp:posOffset>635</wp:posOffset>
                </wp:positionV>
                <wp:extent cx="211455" cy="350520"/>
                <wp:effectExtent l="0" t="0" r="0" b="0"/>
                <wp:wrapNone/>
                <wp:docPr id="10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65pt;height:27.6pt;mso-wrap-distance-left:0pt;mso-wrap-distance-right:0pt;mso-wrap-distance-top:0pt;mso-wrap-distance-bottom:0pt;margin-top:0pt;mso-position-vertical:top;mso-position-vertical-relative:text;margin-left:12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1576070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1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12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1457325</wp:posOffset>
                </wp:positionH>
                <wp:positionV relativeFrom="line">
                  <wp:posOffset>635</wp:posOffset>
                </wp:positionV>
                <wp:extent cx="118745" cy="175260"/>
                <wp:effectExtent l="0" t="0" r="0" b="0"/>
                <wp:wrapNone/>
                <wp:docPr id="1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5pt;height:13.8pt;mso-wrap-distance-left:0pt;mso-wrap-distance-right:0pt;mso-wrap-distance-top:0pt;mso-wrap-distance-bottom:0pt;margin-top:0pt;mso-position-vertical:top;mso-position-vertical-relative:text;margin-left:1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1414145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13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111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99745" cy="350520"/>
                <wp:effectExtent l="0" t="0" r="0" b="0"/>
                <wp:wrapNone/>
                <wp:docPr id="14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7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defined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3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defined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3160395</wp:posOffset>
                </wp:positionH>
                <wp:positionV relativeFrom="line">
                  <wp:posOffset>635</wp:posOffset>
                </wp:positionV>
                <wp:extent cx="211455" cy="350520"/>
                <wp:effectExtent l="0" t="0" r="0" b="0"/>
                <wp:wrapNone/>
                <wp:docPr id="15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65pt;height:27.6pt;mso-wrap-distance-left:0pt;mso-wrap-distance-right:0pt;mso-wrap-distance-top:0pt;mso-wrap-distance-bottom:0pt;margin-top:0pt;mso-position-vertical:top;mso-position-vertical-relative:text;margin-left:24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6205220</wp:posOffset>
                </wp:positionH>
                <wp:positionV relativeFrom="line">
                  <wp:posOffset>635</wp:posOffset>
                </wp:positionV>
                <wp:extent cx="440055" cy="350520"/>
                <wp:effectExtent l="0" t="0" r="0" b="0"/>
                <wp:wrapNone/>
                <wp:docPr id="16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further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65pt;height:27.6pt;mso-wrap-distance-left:0pt;mso-wrap-distance-right:0pt;mso-wrap-distance-top:0pt;mso-wrap-distance-bottom:0pt;margin-top:0pt;mso-position-vertical:top;mso-position-vertical-relative:text;margin-left:48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further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6161405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17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48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5949950</wp:posOffset>
                </wp:positionH>
                <wp:positionV relativeFrom="line">
                  <wp:posOffset>635</wp:posOffset>
                </wp:positionV>
                <wp:extent cx="211455" cy="350520"/>
                <wp:effectExtent l="0" t="0" r="0" b="0"/>
                <wp:wrapNone/>
                <wp:docPr id="18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(as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65pt;height:27.6pt;mso-wrap-distance-left:0pt;mso-wrap-distance-right:0pt;mso-wrap-distance-top:0pt;mso-wrap-distance-bottom:0pt;margin-top:0pt;mso-position-vertical:top;mso-position-vertical-relative:text;margin-left:4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(as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5906135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19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46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5567680</wp:posOffset>
                </wp:positionH>
                <wp:positionV relativeFrom="line">
                  <wp:posOffset>635</wp:posOffset>
                </wp:positionV>
                <wp:extent cx="339090" cy="175260"/>
                <wp:effectExtent l="0" t="0" r="0" b="0"/>
                <wp:wrapNone/>
                <wp:docPr id="20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6444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7pt;height:13.8pt;mso-wrap-distance-left:0pt;mso-wrap-distance-right:0pt;mso-wrap-distance-top:0pt;mso-wrap-distance-bottom:0pt;margin-top:0pt;mso-position-vertical:top;mso-position-vertical-relative:text;margin-left:43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6444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5526405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21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43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5009515</wp:posOffset>
                </wp:positionH>
                <wp:positionV relativeFrom="line">
                  <wp:posOffset>635</wp:posOffset>
                </wp:positionV>
                <wp:extent cx="516255" cy="350520"/>
                <wp:effectExtent l="0" t="0" r="0" b="0"/>
                <wp:wrapNone/>
                <wp:docPr id="2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65pt;height:27.6pt;mso-wrap-distance-left:0pt;mso-wrap-distance-right:0pt;mso-wrap-distance-top:0pt;mso-wrap-distance-bottom:0pt;margin-top:0pt;mso-position-vertical:top;mso-position-vertical-relative:text;margin-left:39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4966335</wp:posOffset>
                </wp:positionH>
                <wp:positionV relativeFrom="line">
                  <wp:posOffset>635</wp:posOffset>
                </wp:positionV>
                <wp:extent cx="43180" cy="175260"/>
                <wp:effectExtent l="0" t="0" r="0" b="0"/>
                <wp:wrapNone/>
                <wp:docPr id="23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pt;height:13.8pt;mso-wrap-distance-left:0pt;mso-wrap-distance-right:0pt;mso-wrap-distance-top:0pt;mso-wrap-distance-bottom:0pt;margin-top:0pt;mso-position-vertical:top;mso-position-vertical-relative:text;margin-left:39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4602480</wp:posOffset>
                </wp:positionH>
                <wp:positionV relativeFrom="line">
                  <wp:posOffset>635</wp:posOffset>
                </wp:positionV>
                <wp:extent cx="363855" cy="350520"/>
                <wp:effectExtent l="0" t="0" r="0" b="0"/>
                <wp:wrapNone/>
                <wp:docPr id="24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serial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65pt;height:27.6pt;mso-wrap-distance-left:0pt;mso-wrap-distance-right:0pt;mso-wrap-distance-top:0pt;mso-wrap-distance-bottom:0pt;margin-top:0pt;mso-position-vertical:top;mso-position-vertical-relative:text;margin-left:36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serial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4558665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25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35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4966970</wp:posOffset>
                </wp:positionH>
                <wp:positionV relativeFrom="line">
                  <wp:posOffset>635</wp:posOffset>
                </wp:positionV>
                <wp:extent cx="491490" cy="175260"/>
                <wp:effectExtent l="0" t="0" r="0" b="0"/>
                <wp:wrapNone/>
                <wp:docPr id="26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Lessee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7pt;height:13.8pt;mso-wrap-distance-left:0pt;mso-wrap-distance-right:0pt;mso-wrap-distance-top:0pt;mso-wrap-distance-bottom:0pt;margin-top:0pt;mso-position-vertical:top;mso-position-vertical-relative:text;margin-left:39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Lessee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378710" cy="350520"/>
                <wp:effectExtent l="0" t="0" r="0" b="0"/>
                <wp:wrapNone/>
                <wp:docPr id="27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87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conditions provided for therein;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conditions provided for therein;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8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6391910</wp:posOffset>
                </wp:positionH>
                <wp:positionV relativeFrom="line">
                  <wp:posOffset>635</wp:posOffset>
                </wp:positionV>
                <wp:extent cx="254000" cy="350520"/>
                <wp:effectExtent l="0" t="0" r="0" b="0"/>
                <wp:wrapNone/>
                <wp:docPr id="29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7.6pt;mso-wrap-distance-left:0pt;mso-wrap-distance-right:0pt;mso-wrap-distance-top:0pt;mso-wrap-distance-bottom:0pt;margin-top:0pt;mso-position-vertical:top;mso-position-vertical-relative:text;margin-left:50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6349365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0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9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5968365</wp:posOffset>
                </wp:positionH>
                <wp:positionV relativeFrom="line">
                  <wp:posOffset>635</wp:posOffset>
                </wp:positionV>
                <wp:extent cx="381000" cy="350520"/>
                <wp:effectExtent l="0" t="0" r="0" b="0"/>
                <wp:wrapNone/>
                <wp:docPr id="31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terms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7.6pt;mso-wrap-distance-left:0pt;mso-wrap-distance-right:0pt;mso-wrap-distance-top:0pt;mso-wrap-distance-bottom:0pt;margin-top:0pt;mso-position-vertical:top;mso-position-vertical-relative:text;margin-left:46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terms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5925185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32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46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5713095</wp:posOffset>
                </wp:positionH>
                <wp:positionV relativeFrom="line">
                  <wp:posOffset>635</wp:posOffset>
                </wp:positionV>
                <wp:extent cx="211455" cy="350520"/>
                <wp:effectExtent l="0" t="0" r="0" b="0"/>
                <wp:wrapNone/>
                <wp:docPr id="33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65pt;height:27.6pt;mso-wrap-distance-left:0pt;mso-wrap-distance-right:0pt;mso-wrap-distance-top:0pt;mso-wrap-distance-bottom:0pt;margin-top:0pt;mso-position-vertical:top;mso-position-vertical-relative:text;margin-left:44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5669915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34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44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5500370</wp:posOffset>
                </wp:positionH>
                <wp:positionV relativeFrom="line">
                  <wp:posOffset>635</wp:posOffset>
                </wp:positionV>
                <wp:extent cx="169545" cy="175260"/>
                <wp:effectExtent l="0" t="0" r="0" b="0"/>
                <wp:wrapNone/>
                <wp:docPr id="35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35pt;height:13.8pt;mso-wrap-distance-left:0pt;mso-wrap-distance-right:0pt;mso-wrap-distance-top:0pt;mso-wrap-distance-bottom:0pt;margin-top:0pt;mso-position-vertical:top;mso-position-vertical-relative:text;margin-left:43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5457825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6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3556635</wp:posOffset>
                </wp:positionH>
                <wp:positionV relativeFrom="line">
                  <wp:posOffset>635</wp:posOffset>
                </wp:positionV>
                <wp:extent cx="1002665" cy="350520"/>
                <wp:effectExtent l="0" t="0" r="0" b="0"/>
                <wp:wrapNone/>
                <wp:docPr id="37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26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manufacturer's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95pt;height:27.6pt;mso-wrap-distance-left:0pt;mso-wrap-distance-right:0pt;mso-wrap-distance-top:0pt;mso-wrap-distance-bottom:0pt;margin-top:0pt;mso-position-vertical:top;mso-position-vertical-relative:text;margin-left:28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manufacturer's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4923155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38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38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4796155</wp:posOffset>
                </wp:positionH>
                <wp:positionV relativeFrom="line">
                  <wp:posOffset>635</wp:posOffset>
                </wp:positionV>
                <wp:extent cx="127000" cy="350520"/>
                <wp:effectExtent l="0" t="0" r="0" b="0"/>
                <wp:wrapNone/>
                <wp:docPr id="39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27.6pt;mso-wrap-distance-left:0pt;mso-wrap-distance-right:0pt;mso-wrap-distance-top:0pt;mso-wrap-distance-bottom:0pt;margin-top:0pt;mso-position-vertical:top;mso-position-vertical-relative:text;margin-left:37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4754245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0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37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4297045</wp:posOffset>
                </wp:positionH>
                <wp:positionV relativeFrom="line">
                  <wp:posOffset>635</wp:posOffset>
                </wp:positionV>
                <wp:extent cx="457200" cy="350520"/>
                <wp:effectExtent l="0" t="0" r="0" b="0"/>
                <wp:wrapNone/>
                <wp:docPr id="41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pt;height:27.6pt;mso-wrap-distance-left:0pt;mso-wrap-distance-right:0pt;mso-wrap-distance-top:0pt;mso-wrap-distance-bottom:0pt;margin-top:0pt;mso-position-vertical:top;mso-position-vertical-relative:text;margin-left:33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4253230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42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334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4092575</wp:posOffset>
                </wp:positionH>
                <wp:positionV relativeFrom="line">
                  <wp:posOffset>635</wp:posOffset>
                </wp:positionV>
                <wp:extent cx="160655" cy="350520"/>
                <wp:effectExtent l="0" t="0" r="0" b="0"/>
                <wp:wrapNone/>
                <wp:docPr id="43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65pt;height:27.6pt;mso-wrap-distance-left:0pt;mso-wrap-distance-right:0pt;mso-wrap-distance-top:0pt;mso-wrap-distance-bottom:0pt;margin-top:0pt;mso-position-vertical:top;mso-position-vertical-relative:text;margin-left:3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4050030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4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318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3415665</wp:posOffset>
                </wp:positionH>
                <wp:positionV relativeFrom="line">
                  <wp:posOffset>635</wp:posOffset>
                </wp:positionV>
                <wp:extent cx="634365" cy="351155"/>
                <wp:effectExtent l="0" t="0" r="0" b="0"/>
                <wp:wrapNone/>
                <wp:docPr id="45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65" cy="3511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Aircraft”)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95pt;height:27.65pt;mso-wrap-distance-left:0pt;mso-wrap-distance-right:0pt;mso-wrap-distance-top:0pt;mso-wrap-distance-bottom:0pt;margin-top:0pt;mso-position-vertical:top;mso-position-vertical-relative:text;margin-left:26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Aircraft”)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3372485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46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265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1531620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47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12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3770630</wp:posOffset>
                </wp:positionH>
                <wp:positionV relativeFrom="line">
                  <wp:posOffset>635</wp:posOffset>
                </wp:positionV>
                <wp:extent cx="40005" cy="175260"/>
                <wp:effectExtent l="0" t="0" r="0" b="0"/>
                <wp:wrapNone/>
                <wp:docPr id="48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5pt;height:13.8pt;mso-wrap-distance-left:0pt;mso-wrap-distance-right:0pt;mso-wrap-distance-top:0pt;mso-wrap-distance-bottom:0pt;margin-top:0pt;mso-position-vertical:top;mso-position-vertical-relative:text;margin-left:29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3042920</wp:posOffset>
                </wp:positionH>
                <wp:positionV relativeFrom="line">
                  <wp:posOffset>635</wp:posOffset>
                </wp:positionV>
                <wp:extent cx="728345" cy="350520"/>
                <wp:effectExtent l="0" t="0" r="0" b="0"/>
                <wp:wrapNone/>
                <wp:docPr id="49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Aerospace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35pt;height:27.6pt;mso-wrap-distance-left:0pt;mso-wrap-distance-right:0pt;mso-wrap-distance-top:0pt;mso-wrap-distance-bottom:0pt;margin-top:0pt;mso-position-vertical:top;mso-position-vertical-relative:text;margin-left:239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Aerospace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3002915</wp:posOffset>
                </wp:positionH>
                <wp:positionV relativeFrom="line">
                  <wp:posOffset>635</wp:posOffset>
                </wp:positionV>
                <wp:extent cx="40005" cy="175260"/>
                <wp:effectExtent l="0" t="0" r="0" b="0"/>
                <wp:wrapNone/>
                <wp:docPr id="50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5pt;height:13.8pt;mso-wrap-distance-left:0pt;mso-wrap-distance-right:0pt;mso-wrap-distance-top:0pt;mso-wrap-distance-bottom:0pt;margin-top:0pt;mso-position-vertical:top;mso-position-vertical-relative:text;margin-left:23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2258060</wp:posOffset>
                </wp:positionH>
                <wp:positionV relativeFrom="line">
                  <wp:posOffset>635</wp:posOffset>
                </wp:positionV>
                <wp:extent cx="744855" cy="350520"/>
                <wp:effectExtent l="0" t="0" r="0" b="0"/>
                <wp:wrapNone/>
                <wp:docPr id="51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Gulfstream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65pt;height:27.6pt;mso-wrap-distance-left:0pt;mso-wrap-distance-right:0pt;mso-wrap-distance-top:0pt;mso-wrap-distance-bottom:0pt;margin-top:0pt;mso-position-vertical:top;mso-position-vertical-relative:text;margin-left:17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Gulfstream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2218055</wp:posOffset>
                </wp:positionH>
                <wp:positionV relativeFrom="line">
                  <wp:posOffset>635</wp:posOffset>
                </wp:positionV>
                <wp:extent cx="40005" cy="175260"/>
                <wp:effectExtent l="0" t="0" r="0" b="0"/>
                <wp:wrapNone/>
                <wp:docPr id="52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5pt;height:13.8pt;mso-wrap-distance-left:0pt;mso-wrap-distance-right:0pt;mso-wrap-distance-top:0pt;mso-wrap-distance-bottom:0pt;margin-top:0pt;mso-position-vertical:top;mso-position-vertical-relative:text;margin-left:17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2032000</wp:posOffset>
                </wp:positionH>
                <wp:positionV relativeFrom="line">
                  <wp:posOffset>635</wp:posOffset>
                </wp:positionV>
                <wp:extent cx="186055" cy="350520"/>
                <wp:effectExtent l="0" t="0" r="0" b="0"/>
                <wp:wrapNone/>
                <wp:docPr id="53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65pt;height:27.6pt;mso-wrap-distance-left:0pt;mso-wrap-distance-right:0pt;mso-wrap-distance-top:0pt;mso-wrap-distance-bottom:0pt;margin-top:0pt;mso-position-vertical:top;mso-position-vertical-relative:text;margin-left:1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1990725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54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1736725</wp:posOffset>
                </wp:positionH>
                <wp:positionV relativeFrom="line">
                  <wp:posOffset>635</wp:posOffset>
                </wp:positionV>
                <wp:extent cx="254000" cy="350520"/>
                <wp:effectExtent l="0" t="0" r="0" b="0"/>
                <wp:wrapNone/>
                <wp:docPr id="55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one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7.6pt;mso-wrap-distance-left:0pt;mso-wrap-distance-right:0pt;mso-wrap-distance-top:0pt;mso-wrap-distance-bottom:0pt;margin-top:0pt;mso-position-vertical:top;mso-position-vertical-relative:text;margin-left:1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one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1697355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56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13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1570355</wp:posOffset>
                </wp:positionH>
                <wp:positionV relativeFrom="line">
                  <wp:posOffset>635</wp:posOffset>
                </wp:positionV>
                <wp:extent cx="127000" cy="350520"/>
                <wp:effectExtent l="0" t="0" r="0" b="0"/>
                <wp:wrapNone/>
                <wp:docPr id="57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27.6pt;mso-wrap-distance-left:0pt;mso-wrap-distance-right:0pt;mso-wrap-distance-top:0pt;mso-wrap-distance-bottom:0pt;margin-top:0pt;mso-position-vertical:top;mso-position-vertical-relative:text;margin-left:12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3810635</wp:posOffset>
                </wp:positionH>
                <wp:positionV relativeFrom="line">
                  <wp:posOffset>635</wp:posOffset>
                </wp:positionV>
                <wp:extent cx="372110" cy="350520"/>
                <wp:effectExtent l="0" t="0" r="0" b="0"/>
                <wp:wrapNone/>
                <wp:docPr id="58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Corp.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3pt;height:27.6pt;mso-wrap-distance-left:0pt;mso-wrap-distance-right:0pt;mso-wrap-distance-top:0pt;mso-wrap-distance-bottom:0pt;margin-top:0pt;mso-position-vertical:top;mso-position-vertical-relative:text;margin-left:30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Corp.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1167130</wp:posOffset>
                </wp:positionH>
                <wp:positionV relativeFrom="line">
                  <wp:posOffset>635</wp:posOffset>
                </wp:positionV>
                <wp:extent cx="363855" cy="350520"/>
                <wp:effectExtent l="0" t="0" r="0" b="0"/>
                <wp:wrapNone/>
                <wp:docPr id="59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lease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65pt;height:27.6pt;mso-wrap-distance-left:0pt;mso-wrap-distance-right:0pt;mso-wrap-distance-top:0pt;mso-wrap-distance-bottom:0pt;margin-top:0pt;mso-position-vertical:top;mso-position-vertical-relative:text;margin-left:9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lease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1125855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6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8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11455" cy="350520"/>
                <wp:effectExtent l="0" t="0" r="0" b="0"/>
                <wp:wrapNone/>
                <wp:docPr id="61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6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6750685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2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3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5064760</wp:posOffset>
                </wp:positionH>
                <wp:positionV relativeFrom="line">
                  <wp:posOffset>635</wp:posOffset>
                </wp:positionV>
                <wp:extent cx="1685290" cy="175260"/>
                <wp:effectExtent l="0" t="0" r="0" b="0"/>
                <wp:wrapNone/>
                <wp:docPr id="63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Agreement to provide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2.7pt;height:13.8pt;mso-wrap-distance-left:0pt;mso-wrap-distance-right:0pt;mso-wrap-distance-top:0pt;mso-wrap-distance-bottom:0pt;margin-top:0pt;mso-position-vertical:top;mso-position-vertical-relative:text;margin-left:39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Agreement to provide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5020310</wp:posOffset>
                </wp:positionH>
                <wp:positionV relativeFrom="line">
                  <wp:posOffset>635</wp:posOffset>
                </wp:positionV>
                <wp:extent cx="45085" cy="175260"/>
                <wp:effectExtent l="0" t="0" r="0" b="0"/>
                <wp:wrapNone/>
                <wp:docPr id="64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5pt;height:13.8pt;mso-wrap-distance-left:0pt;mso-wrap-distance-right:0pt;mso-wrap-distance-top:0pt;mso-wrap-distance-bottom:0pt;margin-top:0pt;mso-position-vertical:top;mso-position-vertical-relative:text;margin-left:39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3495040</wp:posOffset>
                </wp:positionH>
                <wp:positionV relativeFrom="line">
                  <wp:posOffset>635</wp:posOffset>
                </wp:positionV>
                <wp:extent cx="1525270" cy="175260"/>
                <wp:effectExtent l="0" t="0" r="0" b="0"/>
                <wp:wrapNone/>
                <wp:docPr id="65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52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entered into the Lease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.1pt;height:13.8pt;mso-wrap-distance-left:0pt;mso-wrap-distance-right:0pt;mso-wrap-distance-top:0pt;mso-wrap-distance-bottom:0pt;margin-top:0pt;mso-position-vertical:top;mso-position-vertical-relative:text;margin-left:27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entered into the Lease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3449955</wp:posOffset>
                </wp:positionH>
                <wp:positionV relativeFrom="line">
                  <wp:posOffset>635</wp:posOffset>
                </wp:positionV>
                <wp:extent cx="45085" cy="175260"/>
                <wp:effectExtent l="0" t="0" r="0" b="0"/>
                <wp:wrapNone/>
                <wp:docPr id="6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5pt;height:13.8pt;mso-wrap-distance-left:0pt;mso-wrap-distance-right:0pt;mso-wrap-distance-top:0pt;mso-wrap-distance-bottom:0pt;margin-top:0pt;mso-position-vertical:top;mso-position-vertical-relative:text;margin-left:27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1692910</wp:posOffset>
                </wp:positionH>
                <wp:positionV relativeFrom="line">
                  <wp:posOffset>635</wp:posOffset>
                </wp:positionV>
                <wp:extent cx="1757045" cy="175260"/>
                <wp:effectExtent l="0" t="0" r="0" b="0"/>
                <wp:wrapNone/>
                <wp:docPr id="67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0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, Lessee and Lessor 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8.35pt;height:13.8pt;mso-wrap-distance-left:0pt;mso-wrap-distance-right:0pt;mso-wrap-distance-top:0pt;mso-wrap-distance-bottom:0pt;margin-top:0pt;mso-position-vertical:top;mso-position-vertical-relative:text;margin-left:13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, Lessee and Lessor 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6212840</wp:posOffset>
                </wp:positionH>
                <wp:positionV relativeFrom="line">
                  <wp:posOffset>635</wp:posOffset>
                </wp:positionV>
                <wp:extent cx="508000" cy="350520"/>
                <wp:effectExtent l="0" t="0" r="0" b="0"/>
                <wp:wrapNone/>
                <wp:docPr id="68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bearing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pt;height:27.6pt;mso-wrap-distance-left:0pt;mso-wrap-distance-right:0pt;mso-wrap-distance-top:0pt;mso-wrap-distance-bottom:0pt;margin-top:0pt;mso-position-vertical:top;mso-position-vertical-relative:text;margin-left:48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bearing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3514090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9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27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3259455</wp:posOffset>
                </wp:positionH>
                <wp:positionV relativeFrom="line">
                  <wp:posOffset>635</wp:posOffset>
                </wp:positionV>
                <wp:extent cx="254000" cy="350520"/>
                <wp:effectExtent l="0" t="0" r="0" b="0"/>
                <wp:wrapNone/>
                <wp:docPr id="70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7.6pt;mso-wrap-distance-left:0pt;mso-wrap-distance-right:0pt;mso-wrap-distance-top:0pt;mso-wrap-distance-bottom:0pt;margin-top:0pt;mso-position-vertical:top;mso-position-vertical-relative:text;margin-left:25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3218180</wp:posOffset>
                </wp:positionH>
                <wp:positionV relativeFrom="line">
                  <wp:posOffset>635</wp:posOffset>
                </wp:positionV>
                <wp:extent cx="41910" cy="175260"/>
                <wp:effectExtent l="0" t="0" r="0" b="0"/>
                <wp:wrapNone/>
                <wp:docPr id="71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pt;height:13.8pt;mso-wrap-distance-left:0pt;mso-wrap-distance-right:0pt;mso-wrap-distance-top:0pt;mso-wrap-distance-bottom:0pt;margin-top:0pt;mso-position-vertical:top;mso-position-vertical-relative:text;margin-left:2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2608580</wp:posOffset>
                </wp:positionH>
                <wp:positionV relativeFrom="line">
                  <wp:posOffset>635</wp:posOffset>
                </wp:positionV>
                <wp:extent cx="609600" cy="350520"/>
                <wp:effectExtent l="0" t="0" r="0" b="0"/>
                <wp:wrapNone/>
                <wp:docPr id="72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N524EA,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27.6pt;mso-wrap-distance-left:0pt;mso-wrap-distance-right:0pt;mso-wrap-distance-top:0pt;mso-wrap-distance-bottom:0pt;margin-top:0pt;mso-position-vertical:top;mso-position-vertical-relative:text;margin-left:20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N524EA,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2566035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73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20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2049145</wp:posOffset>
                </wp:positionH>
                <wp:positionV relativeFrom="line">
                  <wp:posOffset>635</wp:posOffset>
                </wp:positionV>
                <wp:extent cx="516255" cy="350520"/>
                <wp:effectExtent l="0" t="0" r="0" b="0"/>
                <wp:wrapNone/>
                <wp:docPr id="74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65pt;height:27.6pt;mso-wrap-distance-left:0pt;mso-wrap-distance-right:0pt;mso-wrap-distance-top:0pt;mso-wrap-distance-bottom:0pt;margin-top:0pt;mso-position-vertical:top;mso-position-vertical-relative:text;margin-left:161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2007870</wp:posOffset>
                </wp:positionH>
                <wp:positionV relativeFrom="line">
                  <wp:posOffset>635</wp:posOffset>
                </wp:positionV>
                <wp:extent cx="41910" cy="175260"/>
                <wp:effectExtent l="0" t="0" r="0" b="0"/>
                <wp:wrapNone/>
                <wp:docPr id="75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pt;height:13.8pt;mso-wrap-distance-left:0pt;mso-wrap-distance-right:0pt;mso-wrap-distance-top:0pt;mso-wrap-distance-bottom:0pt;margin-top:0pt;mso-position-vertical:top;mso-position-vertical-relative:text;margin-left:15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1254125</wp:posOffset>
                </wp:positionH>
                <wp:positionV relativeFrom="line">
                  <wp:posOffset>635</wp:posOffset>
                </wp:positionV>
                <wp:extent cx="753110" cy="350520"/>
                <wp:effectExtent l="0" t="0" r="0" b="0"/>
                <wp:wrapNone/>
                <wp:docPr id="76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registration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3pt;height:27.6pt;mso-wrap-distance-left:0pt;mso-wrap-distance-right:0pt;mso-wrap-distance-top:0pt;mso-wrap-distance-bottom:0pt;margin-top:0pt;mso-position-vertical:top;mso-position-vertical-relative:text;margin-left: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registration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1210310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77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9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95910" cy="350520"/>
                <wp:effectExtent l="0" t="0" r="0" b="0"/>
                <wp:wrapNone/>
                <wp:docPr id="78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U.S.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U.S.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778510" cy="350520"/>
                <wp:effectExtent l="0" t="0" r="0" b="0"/>
                <wp:wrapNone/>
                <wp:docPr id="79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8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WHEREAS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WHEREAS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6171565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80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48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5706745</wp:posOffset>
                </wp:positionH>
                <wp:positionV relativeFrom="line">
                  <wp:posOffset>635</wp:posOffset>
                </wp:positionV>
                <wp:extent cx="465455" cy="350520"/>
                <wp:effectExtent l="0" t="0" r="0" b="0"/>
                <wp:wrapNone/>
                <wp:docPr id="81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aircraft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7.6pt;mso-wrap-distance-left:0pt;mso-wrap-distance-right:0pt;mso-wrap-distance-top:0pt;mso-wrap-distance-bottom:0pt;margin-top:0pt;mso-position-vertical:top;mso-position-vertical-relative:text;margin-left:449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aircraft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5666740</wp:posOffset>
                </wp:positionH>
                <wp:positionV relativeFrom="line">
                  <wp:posOffset>635</wp:posOffset>
                </wp:positionV>
                <wp:extent cx="40005" cy="175260"/>
                <wp:effectExtent l="0" t="0" r="0" b="0"/>
                <wp:wrapNone/>
                <wp:docPr id="82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5pt;height:13.8pt;mso-wrap-distance-left:0pt;mso-wrap-distance-right:0pt;mso-wrap-distance-top:0pt;mso-wrap-distance-bottom:0pt;margin-top:0pt;mso-position-vertical:top;mso-position-vertical-relative:text;margin-left:44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4980940</wp:posOffset>
                </wp:positionH>
                <wp:positionV relativeFrom="line">
                  <wp:posOffset>635</wp:posOffset>
                </wp:positionV>
                <wp:extent cx="685800" cy="350520"/>
                <wp:effectExtent l="0" t="0" r="0" b="0"/>
                <wp:wrapNone/>
                <wp:docPr id="83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(G650ER)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7.6pt;mso-wrap-distance-left:0pt;mso-wrap-distance-right:0pt;mso-wrap-distance-top:0pt;mso-wrap-distance-bottom:0pt;margin-top:0pt;mso-position-vertical:top;mso-position-vertical-relative:text;margin-left:39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(G650ER)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4939665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84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388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4677410</wp:posOffset>
                </wp:positionH>
                <wp:positionV relativeFrom="line">
                  <wp:posOffset>635</wp:posOffset>
                </wp:positionV>
                <wp:extent cx="262255" cy="350520"/>
                <wp:effectExtent l="0" t="0" r="0" b="0"/>
                <wp:wrapNone/>
                <wp:docPr id="85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GVI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65pt;height:27.6pt;mso-wrap-distance-left:0pt;mso-wrap-distance-right:0pt;mso-wrap-distance-top:0pt;mso-wrap-distance-bottom:0pt;margin-top:0pt;mso-position-vertical:top;mso-position-vertical-relative:text;margin-left:36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GVI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4639310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86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36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4224020</wp:posOffset>
                </wp:positionH>
                <wp:positionV relativeFrom="line">
                  <wp:posOffset>635</wp:posOffset>
                </wp:positionV>
                <wp:extent cx="414655" cy="350520"/>
                <wp:effectExtent l="0" t="0" r="0" b="0"/>
                <wp:wrapNone/>
                <wp:docPr id="87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model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65pt;height:27.6pt;mso-wrap-distance-left:0pt;mso-wrap-distance-right:0pt;mso-wrap-distance-top:0pt;mso-wrap-distance-bottom:0pt;margin-top:0pt;mso-position-vertical:top;mso-position-vertical-relative:text;margin-left:33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model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4183380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88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32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Agreement;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NOW, THEREFORE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, in consideration of and subject to the mutual covenants, terms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conditions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contained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Amendment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good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valuable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consideration,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which is hereby acknowledged, Lessee and Lessor agree to the following: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(a)Hull.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Section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8.2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hereby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deleted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its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entirety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replaced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with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the </w: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4441190</wp:posOffset>
                </wp:positionH>
                <wp:positionV relativeFrom="line">
                  <wp:posOffset>635</wp:posOffset>
                </wp:positionV>
                <wp:extent cx="313055" cy="350520"/>
                <wp:effectExtent l="0" t="0" r="0" b="0"/>
                <wp:wrapNone/>
                <wp:docPr id="89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65pt;height:27.6pt;mso-wrap-distance-left:0pt;mso-wrap-distance-right:0pt;mso-wrap-distance-top:0pt;mso-wrap-distance-bottom:0pt;margin-top:0pt;mso-position-vertical:top;mso-position-vertical-relative:text;margin-left:34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2012315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90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15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1126490</wp:posOffset>
                </wp:positionH>
                <wp:positionV relativeFrom="line">
                  <wp:posOffset>635</wp:posOffset>
                </wp:positionV>
                <wp:extent cx="885825" cy="350520"/>
                <wp:effectExtent l="0" t="0" r="0" b="0"/>
                <wp:wrapNone/>
                <wp:docPr id="91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color w:val="231F20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color w:val="231F20"/>
                                <w:sz w:val="24"/>
                                <w:u w:val="single"/>
                              </w:rPr>
                              <w:t>Amendments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27.6pt;mso-wrap-distance-left:0pt;mso-wrap-distance-right:0pt;mso-wrap-distance-top:0pt;mso-wrap-distance-bottom:0pt;margin-top:0pt;mso-position-vertical:top;mso-position-vertical-relative:text;margin-left:8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color w:val="231F20"/>
                          <w:sz w:val="24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color w:val="231F20"/>
                          <w:sz w:val="24"/>
                          <w:u w:val="single"/>
                        </w:rPr>
                        <w:t>Amendments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27000" cy="175260"/>
                <wp:effectExtent l="0" t="0" r="0" b="0"/>
                <wp:wrapNone/>
                <wp:docPr id="92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607310" cy="350520"/>
                <wp:effectExtent l="0" t="0" r="0" b="0"/>
                <wp:wrapNone/>
                <wp:docPr id="93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73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to such terms in the Lease Agreement.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5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to such terms in the Lease Agreement.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6709410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94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6133465</wp:posOffset>
                </wp:positionH>
                <wp:positionV relativeFrom="line">
                  <wp:posOffset>635</wp:posOffset>
                </wp:positionV>
                <wp:extent cx="575945" cy="350520"/>
                <wp:effectExtent l="0" t="0" r="0" b="0"/>
                <wp:wrapNone/>
                <wp:docPr id="95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9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ascribed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35pt;height:27.6pt;mso-wrap-distance-left:0pt;mso-wrap-distance-right:0pt;mso-wrap-distance-top:0pt;mso-wrap-distance-bottom:0pt;margin-top:0pt;mso-position-vertical:top;mso-position-vertical-relative:text;margin-left:48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ascribed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6090285</wp:posOffset>
                </wp:positionH>
                <wp:positionV relativeFrom="line">
                  <wp:posOffset>635</wp:posOffset>
                </wp:positionV>
                <wp:extent cx="43180" cy="175260"/>
                <wp:effectExtent l="0" t="0" r="0" b="0"/>
                <wp:wrapNone/>
                <wp:docPr id="96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pt;height:13.8pt;mso-wrap-distance-left:0pt;mso-wrap-distance-right:0pt;mso-wrap-distance-top:0pt;mso-wrap-distance-bottom:0pt;margin-top:0pt;mso-position-vertical:top;mso-position-vertical-relative:text;margin-left:479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5429885</wp:posOffset>
                </wp:positionH>
                <wp:positionV relativeFrom="line">
                  <wp:posOffset>635</wp:posOffset>
                </wp:positionV>
                <wp:extent cx="660400" cy="350520"/>
                <wp:effectExtent l="0" t="0" r="0" b="0"/>
                <wp:wrapNone/>
                <wp:docPr id="97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meanings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pt;height:27.6pt;mso-wrap-distance-left:0pt;mso-wrap-distance-right:0pt;mso-wrap-distance-top:0pt;mso-wrap-distance-bottom:0pt;margin-top:0pt;mso-position-vertical:top;mso-position-vertical-relative:text;margin-left:42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meanings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5386705</wp:posOffset>
                </wp:positionH>
                <wp:positionV relativeFrom="line">
                  <wp:posOffset>635</wp:posOffset>
                </wp:positionV>
                <wp:extent cx="43180" cy="175260"/>
                <wp:effectExtent l="0" t="0" r="0" b="0"/>
                <wp:wrapNone/>
                <wp:docPr id="98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pt;height:13.8pt;mso-wrap-distance-left:0pt;mso-wrap-distance-right:0pt;mso-wrap-distance-top:0pt;mso-wrap-distance-bottom:0pt;margin-top:0pt;mso-position-vertical:top;mso-position-vertical-relative:text;margin-left:42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5174615</wp:posOffset>
                </wp:positionH>
                <wp:positionV relativeFrom="line">
                  <wp:posOffset>635</wp:posOffset>
                </wp:positionV>
                <wp:extent cx="211455" cy="350520"/>
                <wp:effectExtent l="0" t="0" r="0" b="0"/>
                <wp:wrapNone/>
                <wp:docPr id="99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65pt;height:27.6pt;mso-wrap-distance-left:0pt;mso-wrap-distance-right:0pt;mso-wrap-distance-top:0pt;mso-wrap-distance-bottom:0pt;margin-top:0pt;mso-position-vertical:top;mso-position-vertical-relative:text;margin-left:40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5129530</wp:posOffset>
                </wp:positionH>
                <wp:positionV relativeFrom="line">
                  <wp:posOffset>635</wp:posOffset>
                </wp:positionV>
                <wp:extent cx="45085" cy="175260"/>
                <wp:effectExtent l="0" t="0" r="0" b="0"/>
                <wp:wrapNone/>
                <wp:docPr id="100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5pt;height:13.8pt;mso-wrap-distance-left:0pt;mso-wrap-distance-right:0pt;mso-wrap-distance-top:0pt;mso-wrap-distance-bottom:0pt;margin-top:0pt;mso-position-vertical:top;mso-position-vertical-relative:text;margin-left:403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4799330</wp:posOffset>
                </wp:positionH>
                <wp:positionV relativeFrom="line">
                  <wp:posOffset>635</wp:posOffset>
                </wp:positionV>
                <wp:extent cx="330200" cy="350520"/>
                <wp:effectExtent l="0" t="0" r="0" b="0"/>
                <wp:wrapNone/>
                <wp:docPr id="101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pt;height:27.6pt;mso-wrap-distance-left:0pt;mso-wrap-distance-right:0pt;mso-wrap-distance-top:0pt;mso-wrap-distance-bottom:0pt;margin-top:0pt;mso-position-vertical:top;mso-position-vertical-relative:text;margin-left:37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4754245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2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27000" cy="175260"/>
                <wp:effectExtent l="0" t="0" r="0" b="0"/>
                <wp:wrapNone/>
                <wp:docPr id="103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4396105</wp:posOffset>
                </wp:positionH>
                <wp:positionV relativeFrom="line">
                  <wp:posOffset>635</wp:posOffset>
                </wp:positionV>
                <wp:extent cx="45085" cy="175260"/>
                <wp:effectExtent l="0" t="0" r="0" b="0"/>
                <wp:wrapNone/>
                <wp:docPr id="104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5pt;height:13.8pt;mso-wrap-distance-left:0pt;mso-wrap-distance-right:0pt;mso-wrap-distance-top:0pt;mso-wrap-distance-bottom:0pt;margin-top:0pt;mso-position-vertical:top;mso-position-vertical-relative:text;margin-left:346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3972560</wp:posOffset>
                </wp:positionH>
                <wp:positionV relativeFrom="line">
                  <wp:posOffset>635</wp:posOffset>
                </wp:positionV>
                <wp:extent cx="423545" cy="350520"/>
                <wp:effectExtent l="0" t="0" r="0" b="0"/>
                <wp:wrapNone/>
                <wp:docPr id="105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herein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35pt;height:27.6pt;mso-wrap-distance-left:0pt;mso-wrap-distance-right:0pt;mso-wrap-distance-top:0pt;mso-wrap-distance-bottom:0pt;margin-top:0pt;mso-position-vertical:top;mso-position-vertical-relative:text;margin-left:31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herein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3929380</wp:posOffset>
                </wp:positionH>
                <wp:positionV relativeFrom="line">
                  <wp:posOffset>635</wp:posOffset>
                </wp:positionV>
                <wp:extent cx="43180" cy="175260"/>
                <wp:effectExtent l="0" t="0" r="0" b="0"/>
                <wp:wrapNone/>
                <wp:docPr id="106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pt;height:13.8pt;mso-wrap-distance-left:0pt;mso-wrap-distance-right:0pt;mso-wrap-distance-top:0pt;mso-wrap-distance-bottom:0pt;margin-top:0pt;mso-position-vertical:top;mso-position-vertical-relative:text;margin-left:30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3429635</wp:posOffset>
                </wp:positionH>
                <wp:positionV relativeFrom="line">
                  <wp:posOffset>635</wp:posOffset>
                </wp:positionV>
                <wp:extent cx="499745" cy="350520"/>
                <wp:effectExtent l="0" t="0" r="0" b="0"/>
                <wp:wrapNone/>
                <wp:docPr id="107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7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defined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35pt;height:27.6pt;mso-wrap-distance-left:0pt;mso-wrap-distance-right:0pt;mso-wrap-distance-top:0pt;mso-wrap-distance-bottom:0pt;margin-top:0pt;mso-position-vertical:top;mso-position-vertical-relative:text;margin-left:27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defined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3385820</wp:posOffset>
                </wp:positionH>
                <wp:positionV relativeFrom="line">
                  <wp:posOffset>635</wp:posOffset>
                </wp:positionV>
                <wp:extent cx="43180" cy="175260"/>
                <wp:effectExtent l="0" t="0" r="0" b="0"/>
                <wp:wrapNone/>
                <wp:docPr id="108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pt;height:13.8pt;mso-wrap-distance-left:0pt;mso-wrap-distance-right:0pt;mso-wrap-distance-top:0pt;mso-wrap-distance-bottom:0pt;margin-top:0pt;mso-position-vertical:top;mso-position-vertical-relative:text;margin-left:266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3174365</wp:posOffset>
                </wp:positionH>
                <wp:positionV relativeFrom="line">
                  <wp:posOffset>635</wp:posOffset>
                </wp:positionV>
                <wp:extent cx="211455" cy="350520"/>
                <wp:effectExtent l="0" t="0" r="0" b="0"/>
                <wp:wrapNone/>
                <wp:docPr id="109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65pt;height:27.6pt;mso-wrap-distance-left:0pt;mso-wrap-distance-right:0pt;mso-wrap-distance-top:0pt;mso-wrap-distance-bottom:0pt;margin-top:0pt;mso-position-vertical:top;mso-position-vertical-relative:text;margin-left:24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3131185</wp:posOffset>
                </wp:positionH>
                <wp:positionV relativeFrom="line">
                  <wp:posOffset>635</wp:posOffset>
                </wp:positionV>
                <wp:extent cx="43180" cy="175260"/>
                <wp:effectExtent l="0" t="0" r="0" b="0"/>
                <wp:wrapNone/>
                <wp:docPr id="110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pt;height:13.8pt;mso-wrap-distance-left:0pt;mso-wrap-distance-right:0pt;mso-wrap-distance-top:0pt;mso-wrap-distance-bottom:0pt;margin-top:0pt;mso-position-vertical:top;mso-position-vertical-relative:text;margin-left:24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2750185</wp:posOffset>
                </wp:positionH>
                <wp:positionV relativeFrom="line">
                  <wp:posOffset>635</wp:posOffset>
                </wp:positionV>
                <wp:extent cx="381000" cy="350520"/>
                <wp:effectExtent l="0" t="0" r="0" b="0"/>
                <wp:wrapNone/>
                <wp:docPr id="111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terms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7.6pt;mso-wrap-distance-left:0pt;mso-wrap-distance-right:0pt;mso-wrap-distance-top:0pt;mso-wrap-distance-bottom:0pt;margin-top:0pt;mso-position-vertical:top;mso-position-vertical-relative:text;margin-left:21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terms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2705100</wp:posOffset>
                </wp:positionH>
                <wp:positionV relativeFrom="line">
                  <wp:posOffset>635</wp:posOffset>
                </wp:positionV>
                <wp:extent cx="45085" cy="175260"/>
                <wp:effectExtent l="0" t="0" r="0" b="0"/>
                <wp:wrapNone/>
                <wp:docPr id="112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5pt;height:13.8pt;mso-wrap-distance-left:0pt;mso-wrap-distance-right:0pt;mso-wrap-distance-top:0pt;mso-wrap-distance-bottom:0pt;margin-top:0pt;mso-position-vertical:top;mso-position-vertical-relative:text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1951355</wp:posOffset>
                </wp:positionH>
                <wp:positionV relativeFrom="line">
                  <wp:posOffset>635</wp:posOffset>
                </wp:positionV>
                <wp:extent cx="753110" cy="350520"/>
                <wp:effectExtent l="0" t="0" r="0" b="0"/>
                <wp:wrapNone/>
                <wp:docPr id="113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Capitalized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3pt;height:27.6pt;mso-wrap-distance-left:0pt;mso-wrap-distance-right:0pt;mso-wrap-distance-top:0pt;mso-wrap-distance-bottom:0pt;margin-top:0pt;mso-position-vertical:top;mso-position-vertical-relative:text;margin-left:15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Capitalized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1879600</wp:posOffset>
                </wp:positionH>
                <wp:positionV relativeFrom="line">
                  <wp:posOffset>635</wp:posOffset>
                </wp:positionV>
                <wp:extent cx="71755" cy="175260"/>
                <wp:effectExtent l="0" t="0" r="0" b="0"/>
                <wp:wrapNone/>
                <wp:docPr id="114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65pt;height:13.8pt;mso-wrap-distance-left:0pt;mso-wrap-distance-right:0pt;mso-wrap-distance-top:0pt;mso-wrap-distance-bottom:0pt;margin-top:0pt;mso-position-vertical:top;mso-position-vertical-relative:text;margin-left:1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1837690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1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14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1126490</wp:posOffset>
                </wp:positionH>
                <wp:positionV relativeFrom="line">
                  <wp:posOffset>635</wp:posOffset>
                </wp:positionV>
                <wp:extent cx="711200" cy="350520"/>
                <wp:effectExtent l="0" t="0" r="0" b="0"/>
                <wp:wrapNone/>
                <wp:docPr id="116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color w:val="231F20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color w:val="231F20"/>
                                <w:sz w:val="24"/>
                                <w:u w:val="single"/>
                              </w:rPr>
                              <w:t>Definitions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pt;height:27.6pt;mso-wrap-distance-left:0pt;mso-wrap-distance-right:0pt;mso-wrap-distance-top:0pt;mso-wrap-distance-bottom:0pt;margin-top:0pt;mso-position-vertical:top;mso-position-vertical-relative:text;margin-left:8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color w:val="231F20"/>
                          <w:sz w:val="24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color w:val="231F20"/>
                          <w:sz w:val="24"/>
                          <w:u w:val="single"/>
                        </w:rPr>
                        <w:t>Definitions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following provision: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3.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231F20"/>
          <w:sz w:val="24"/>
          <w:u w:val="single"/>
          <w:shd w:fill="E4E4E4" w:val="clear"/>
        </w:rPr>
        <w:t>Miscellaneous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Except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modified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herein,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terms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conditions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Lease </w: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6405245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17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0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3188335</wp:posOffset>
                </wp:positionH>
                <wp:positionV relativeFrom="line">
                  <wp:posOffset>635</wp:posOffset>
                </wp:positionV>
                <wp:extent cx="457200" cy="350520"/>
                <wp:effectExtent l="0" t="0" r="0" b="0"/>
                <wp:wrapNone/>
                <wp:docPr id="118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pt;height:27.6pt;mso-wrap-distance-left:0pt;mso-wrap-distance-right:0pt;mso-wrap-distance-top:0pt;mso-wrap-distance-bottom:0pt;margin-top:0pt;mso-position-vertical:top;mso-position-vertical-relative:text;margin-left:25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3153410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19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24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2772410</wp:posOffset>
                </wp:positionH>
                <wp:positionV relativeFrom="line">
                  <wp:posOffset>635</wp:posOffset>
                </wp:positionV>
                <wp:extent cx="381000" cy="350520"/>
                <wp:effectExtent l="0" t="0" r="0" b="0"/>
                <wp:wrapNone/>
                <wp:docPr id="120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name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7.6pt;mso-wrap-distance-left:0pt;mso-wrap-distance-right:0pt;mso-wrap-distance-top:0pt;mso-wrap-distance-bottom:0pt;margin-top:0pt;mso-position-vertical:top;mso-position-vertical-relative:text;margin-left:21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name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2737485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1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15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2424430</wp:posOffset>
                </wp:positionH>
                <wp:positionV relativeFrom="line">
                  <wp:posOffset>635</wp:posOffset>
                </wp:positionV>
                <wp:extent cx="313055" cy="350520"/>
                <wp:effectExtent l="0" t="0" r="0" b="0"/>
                <wp:wrapNone/>
                <wp:docPr id="122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65pt;height:27.6pt;mso-wrap-distance-left:0pt;mso-wrap-distance-right:0pt;mso-wrap-distance-top:0pt;mso-wrap-distance-bottom:0pt;margin-top:0pt;mso-position-vertical:top;mso-position-vertical-relative:text;margin-left:19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2388235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123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18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1727835</wp:posOffset>
                </wp:positionH>
                <wp:positionV relativeFrom="line">
                  <wp:posOffset>635</wp:posOffset>
                </wp:positionV>
                <wp:extent cx="660400" cy="350520"/>
                <wp:effectExtent l="0" t="0" r="0" b="0"/>
                <wp:wrapNone/>
                <wp:docPr id="124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insurance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pt;height:27.6pt;mso-wrap-distance-left:0pt;mso-wrap-distance-right:0pt;mso-wrap-distance-top:0pt;mso-wrap-distance-bottom:0pt;margin-top:0pt;mso-position-vertical:top;mso-position-vertical-relative:text;margin-left:13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insurance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1693545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25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13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321945" cy="175260"/>
                <wp:effectExtent l="0" t="0" r="0" b="0"/>
                <wp:wrapNone/>
                <wp:docPr id="126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35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3645535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27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28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5033645" cy="175260"/>
                <wp:effectExtent l="0" t="0" r="0" b="0"/>
                <wp:wrapNone/>
                <wp:docPr id="128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36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such other amount as agreed by the parties hereto from time to time),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.35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such other amount as agreed by the parties hereto from time to time),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6404610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29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0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5033010" cy="175260"/>
                <wp:effectExtent l="0" t="0" r="0" b="0"/>
                <wp:wrapNone/>
                <wp:docPr id="130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30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less than Fifty One Million United States Dollars (US$51,000,000.00)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.3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less than Fifty One Million United States Dollars (US$51,000,000.00)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6403975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31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5032375" cy="175260"/>
                <wp:effectExtent l="0" t="0" r="0" b="0"/>
                <wp:wrapNone/>
                <wp:docPr id="132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2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cause to be maintained, all risks aircraft hull insurance in the amount of no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.25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cause to be maintained, all risks aircraft hull insurance in the amount of no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6404610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33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0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6269355</wp:posOffset>
                </wp:positionH>
                <wp:positionV relativeFrom="line">
                  <wp:posOffset>635</wp:posOffset>
                </wp:positionV>
                <wp:extent cx="135255" cy="350520"/>
                <wp:effectExtent l="0" t="0" r="0" b="0"/>
                <wp:wrapNone/>
                <wp:docPr id="134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65pt;height:27.6pt;mso-wrap-distance-left:0pt;mso-wrap-distance-right:0pt;mso-wrap-distance-top:0pt;mso-wrap-distance-bottom:0pt;margin-top:0pt;mso-position-vertical:top;mso-position-vertical-relative:text;margin-left:49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6225540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135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49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4801235</wp:posOffset>
                </wp:positionH>
                <wp:positionV relativeFrom="line">
                  <wp:posOffset>635</wp:posOffset>
                </wp:positionV>
                <wp:extent cx="643255" cy="350520"/>
                <wp:effectExtent l="0" t="0" r="0" b="0"/>
                <wp:wrapNone/>
                <wp:docPr id="136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2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mortgage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65pt;height:27.6pt;mso-wrap-distance-left:0pt;mso-wrap-distance-right:0pt;mso-wrap-distance-top:0pt;mso-wrap-distance-bottom:0pt;margin-top:0pt;mso-position-vertical:top;mso-position-vertical-relative:text;margin-left:37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mortgage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2531110" cy="350520"/>
                <wp:effectExtent l="0" t="0" r="0" b="0"/>
                <wp:wrapNone/>
                <wp:docPr id="137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payees as their interests may appear.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3pt;height:27.6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payees as their interests may appear.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6403975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38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6132830</wp:posOffset>
                </wp:positionH>
                <wp:positionV relativeFrom="line">
                  <wp:posOffset>635</wp:posOffset>
                </wp:positionV>
                <wp:extent cx="271145" cy="175260"/>
                <wp:effectExtent l="0" t="0" r="0" b="0"/>
                <wp:wrapNone/>
                <wp:docPr id="139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loss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5pt;height:13.8pt;mso-wrap-distance-left:0pt;mso-wrap-distance-right:0pt;mso-wrap-distance-top:0pt;mso-wrap-distance-bottom:0pt;margin-top:0pt;mso-position-vertical:top;mso-position-vertical-relative:text;margin-left:48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loss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6097270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140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48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5936615</wp:posOffset>
                </wp:positionH>
                <wp:positionV relativeFrom="line">
                  <wp:posOffset>635</wp:posOffset>
                </wp:positionV>
                <wp:extent cx="160655" cy="350520"/>
                <wp:effectExtent l="0" t="0" r="0" b="0"/>
                <wp:wrapNone/>
                <wp:docPr id="141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65pt;height:27.6pt;mso-wrap-distance-left:0pt;mso-wrap-distance-right:0pt;mso-wrap-distance-top:0pt;mso-wrap-distance-bottom:0pt;margin-top:0pt;mso-position-vertical:top;mso-position-vertical-relative:text;margin-left:46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5901690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42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46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5478780</wp:posOffset>
                </wp:positionH>
                <wp:positionV relativeFrom="line">
                  <wp:posOffset>635</wp:posOffset>
                </wp:positionV>
                <wp:extent cx="423545" cy="350520"/>
                <wp:effectExtent l="0" t="0" r="0" b="0"/>
                <wp:wrapNone/>
                <wp:docPr id="143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holder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35pt;height:27.6pt;mso-wrap-distance-left:0pt;mso-wrap-distance-right:0pt;mso-wrap-distance-top:0pt;mso-wrap-distance-bottom:0pt;margin-top:0pt;mso-position-vertical:top;mso-position-vertical-relative:text;margin-left:43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holder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5444490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44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42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5607685</wp:posOffset>
                </wp:positionH>
                <wp:positionV relativeFrom="line">
                  <wp:posOffset>635</wp:posOffset>
                </wp:positionV>
                <wp:extent cx="617855" cy="350520"/>
                <wp:effectExtent l="0" t="0" r="0" b="0"/>
                <wp:wrapNone/>
                <wp:docPr id="145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maintain,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65pt;height:27.6pt;mso-wrap-distance-left:0pt;mso-wrap-distance-right:0pt;mso-wrap-distance-top:0pt;mso-wrap-distance-bottom:0pt;margin-top:0pt;mso-position-vertical:top;mso-position-vertical-relative:text;margin-left:44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maintain,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4767580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146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37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4530090</wp:posOffset>
                </wp:positionH>
                <wp:positionV relativeFrom="line">
                  <wp:posOffset>635</wp:posOffset>
                </wp:positionV>
                <wp:extent cx="236855" cy="350520"/>
                <wp:effectExtent l="0" t="0" r="0" b="0"/>
                <wp:wrapNone/>
                <wp:docPr id="147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lien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65pt;height:27.6pt;mso-wrap-distance-left:0pt;mso-wrap-distance-right:0pt;mso-wrap-distance-top:0pt;mso-wrap-distance-bottom:0pt;margin-top:0pt;mso-position-vertical:top;mso-position-vertical-relative:text;margin-left:35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lien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4494530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148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353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4249420</wp:posOffset>
                </wp:positionH>
                <wp:positionV relativeFrom="line">
                  <wp:posOffset>635</wp:posOffset>
                </wp:positionV>
                <wp:extent cx="245110" cy="350520"/>
                <wp:effectExtent l="0" t="0" r="0" b="0"/>
                <wp:wrapNone/>
                <wp:docPr id="149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3pt;height:27.6pt;mso-wrap-distance-left:0pt;mso-wrap-distance-right:0pt;mso-wrap-distance-top:0pt;mso-wrap-distance-bottom:0pt;margin-top:0pt;mso-position-vertical:top;mso-position-vertical-relative:text;margin-left:3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4213225</wp:posOffset>
                </wp:positionH>
                <wp:positionV relativeFrom="line">
                  <wp:posOffset>635</wp:posOffset>
                </wp:positionV>
                <wp:extent cx="35560" cy="175260"/>
                <wp:effectExtent l="0" t="0" r="0" b="0"/>
                <wp:wrapNone/>
                <wp:docPr id="150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pt;height:13.8pt;mso-wrap-distance-left:0pt;mso-wrap-distance-right:0pt;mso-wrap-distance-top:0pt;mso-wrap-distance-bottom:0pt;margin-top:0pt;mso-position-vertical:top;mso-position-vertical-relative:text;margin-left:3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3968115</wp:posOffset>
                </wp:positionH>
                <wp:positionV relativeFrom="line">
                  <wp:posOffset>635</wp:posOffset>
                </wp:positionV>
                <wp:extent cx="245745" cy="175260"/>
                <wp:effectExtent l="0" t="0" r="0" b="0"/>
                <wp:wrapNone/>
                <wp:docPr id="151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35pt;height:13.8pt;mso-wrap-distance-left:0pt;mso-wrap-distance-right:0pt;mso-wrap-distance-top:0pt;mso-wrap-distance-bottom:0pt;margin-top:0pt;mso-position-vertical:top;mso-position-vertical-relative:text;margin-left:31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3933190</wp:posOffset>
                </wp:positionH>
                <wp:positionV relativeFrom="line">
                  <wp:posOffset>635</wp:posOffset>
                </wp:positionV>
                <wp:extent cx="34290" cy="175260"/>
                <wp:effectExtent l="0" t="0" r="0" b="0"/>
                <wp:wrapNone/>
                <wp:docPr id="152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pt;height:13.8pt;mso-wrap-distance-left:0pt;mso-wrap-distance-right:0pt;mso-wrap-distance-top:0pt;mso-wrap-distance-bottom:0pt;margin-top:0pt;mso-position-vertical:top;mso-position-vertical-relative:text;margin-left:30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3679190</wp:posOffset>
                </wp:positionH>
                <wp:positionV relativeFrom="line">
                  <wp:posOffset>635</wp:posOffset>
                </wp:positionV>
                <wp:extent cx="254000" cy="350520"/>
                <wp:effectExtent l="0" t="0" r="0" b="0"/>
                <wp:wrapNone/>
                <wp:docPr id="153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7.6pt;mso-wrap-distance-left:0pt;mso-wrap-distance-right:0pt;mso-wrap-distance-top:0pt;mso-wrap-distance-bottom:0pt;margin-top:0pt;mso-position-vertical:top;mso-position-vertical-relative:text;margin-left:28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3456940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154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27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6237605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55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491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5645150</wp:posOffset>
                </wp:positionH>
                <wp:positionV relativeFrom="line">
                  <wp:posOffset>635</wp:posOffset>
                </wp:positionV>
                <wp:extent cx="592455" cy="350520"/>
                <wp:effectExtent l="0" t="0" r="0" b="0"/>
                <wp:wrapNone/>
                <wp:docPr id="156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pursuant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65pt;height:27.6pt;mso-wrap-distance-left:0pt;mso-wrap-distance-right:0pt;mso-wrap-distance-top:0pt;mso-wrap-distance-bottom:0pt;margin-top:0pt;mso-position-vertical:top;mso-position-vertical-relative:text;margin-left:44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pursuant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5603875</wp:posOffset>
                </wp:positionH>
                <wp:positionV relativeFrom="line">
                  <wp:posOffset>635</wp:posOffset>
                </wp:positionV>
                <wp:extent cx="40640" cy="175260"/>
                <wp:effectExtent l="0" t="0" r="0" b="0"/>
                <wp:wrapNone/>
                <wp:docPr id="157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pt;height:13.8pt;mso-wrap-distance-left:0pt;mso-wrap-distance-right:0pt;mso-wrap-distance-top:0pt;mso-wrap-distance-bottom:0pt;margin-top:0pt;mso-position-vertical:top;mso-position-vertical-relative:text;margin-left:4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4935220</wp:posOffset>
                </wp:positionH>
                <wp:positionV relativeFrom="line">
                  <wp:posOffset>635</wp:posOffset>
                </wp:positionV>
                <wp:extent cx="668655" cy="350520"/>
                <wp:effectExtent l="0" t="0" r="0" b="0"/>
                <wp:wrapNone/>
                <wp:docPr id="158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Lessee(s)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65pt;height:27.6pt;mso-wrap-distance-left:0pt;mso-wrap-distance-right:0pt;mso-wrap-distance-top:0pt;mso-wrap-distance-bottom:0pt;margin-top:0pt;mso-position-vertical:top;mso-position-vertical-relative:text;margin-left:38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Lessee(s)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4893945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159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38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3920490</wp:posOffset>
                </wp:positionH>
                <wp:positionV relativeFrom="line">
                  <wp:posOffset>635</wp:posOffset>
                </wp:positionV>
                <wp:extent cx="973455" cy="350520"/>
                <wp:effectExtent l="0" t="0" r="0" b="0"/>
                <wp:wrapNone/>
                <wp:docPr id="160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3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Non-Exclusive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65pt;height:27.6pt;mso-wrap-distance-left:0pt;mso-wrap-distance-right:0pt;mso-wrap-distance-top:0pt;mso-wrap-distance-bottom:0pt;margin-top:0pt;mso-position-vertical:top;mso-position-vertical-relative:text;margin-left:30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Non-Exclusive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3879215</wp:posOffset>
                </wp:positionH>
                <wp:positionV relativeFrom="line">
                  <wp:posOffset>635</wp:posOffset>
                </wp:positionV>
                <wp:extent cx="40640" cy="175260"/>
                <wp:effectExtent l="0" t="0" r="0" b="0"/>
                <wp:wrapNone/>
                <wp:docPr id="161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pt;height:13.8pt;mso-wrap-distance-left:0pt;mso-wrap-distance-right:0pt;mso-wrap-distance-top:0pt;mso-wrap-distance-bottom:0pt;margin-top:0pt;mso-position-vertical:top;mso-position-vertical-relative:text;margin-left:30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3498215</wp:posOffset>
                </wp:positionH>
                <wp:positionV relativeFrom="line">
                  <wp:posOffset>635</wp:posOffset>
                </wp:positionV>
                <wp:extent cx="381000" cy="350520"/>
                <wp:effectExtent l="0" t="0" r="0" b="0"/>
                <wp:wrapNone/>
                <wp:docPr id="162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7.6pt;mso-wrap-distance-left:0pt;mso-wrap-distance-right:0pt;mso-wrap-distance-top:0pt;mso-wrap-distance-bottom:0pt;margin-top:0pt;mso-position-vertical:top;mso-position-vertical-relative:text;margin-left:27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6276975</wp:posOffset>
                </wp:positionH>
                <wp:positionV relativeFrom="line">
                  <wp:posOffset>635</wp:posOffset>
                </wp:positionV>
                <wp:extent cx="127000" cy="350520"/>
                <wp:effectExtent l="0" t="0" r="0" b="0"/>
                <wp:wrapNone/>
                <wp:docPr id="163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27.6pt;mso-wrap-distance-left:0pt;mso-wrap-distance-right:0pt;mso-wrap-distance-top:0pt;mso-wrap-distance-bottom:0pt;margin-top:0pt;mso-position-vertical:top;mso-position-vertical-relative:text;margin-left:49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3245485</wp:posOffset>
                </wp:positionH>
                <wp:positionV relativeFrom="line">
                  <wp:posOffset>635</wp:posOffset>
                </wp:positionV>
                <wp:extent cx="211455" cy="350520"/>
                <wp:effectExtent l="0" t="0" r="0" b="0"/>
                <wp:wrapNone/>
                <wp:docPr id="164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65pt;height:27.6pt;mso-wrap-distance-left:0pt;mso-wrap-distance-right:0pt;mso-wrap-distance-top:0pt;mso-wrap-distance-bottom:0pt;margin-top:0pt;mso-position-vertical:top;mso-position-vertical-relative:text;margin-left:255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3203575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165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2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2933065</wp:posOffset>
                </wp:positionH>
                <wp:positionV relativeFrom="line">
                  <wp:posOffset>635</wp:posOffset>
                </wp:positionV>
                <wp:extent cx="270510" cy="350520"/>
                <wp:effectExtent l="0" t="0" r="0" b="0"/>
                <wp:wrapNone/>
                <wp:docPr id="166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pt;height:27.6pt;mso-wrap-distance-left:0pt;mso-wrap-distance-right:0pt;mso-wrap-distance-top:0pt;mso-wrap-distance-bottom:0pt;margin-top:0pt;mso-position-vertical:top;mso-position-vertical-relative:text;margin-left:23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2892425</wp:posOffset>
                </wp:positionH>
                <wp:positionV relativeFrom="line">
                  <wp:posOffset>635</wp:posOffset>
                </wp:positionV>
                <wp:extent cx="40005" cy="175260"/>
                <wp:effectExtent l="0" t="0" r="0" b="0"/>
                <wp:wrapNone/>
                <wp:docPr id="167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5pt;height:13.8pt;mso-wrap-distance-left:0pt;mso-wrap-distance-right:0pt;mso-wrap-distance-top:0pt;mso-wrap-distance-bottom:0pt;margin-top:0pt;mso-position-vertical:top;mso-position-vertical-relative:text;margin-left:22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2063115</wp:posOffset>
                </wp:positionH>
                <wp:positionV relativeFrom="line">
                  <wp:posOffset>635</wp:posOffset>
                </wp:positionV>
                <wp:extent cx="829945" cy="350520"/>
                <wp:effectExtent l="0" t="0" r="0" b="0"/>
                <wp:wrapNone/>
                <wp:docPr id="168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9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coordination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35pt;height:27.6pt;mso-wrap-distance-left:0pt;mso-wrap-distance-right:0pt;mso-wrap-distance-top:0pt;mso-wrap-distance-bottom:0pt;margin-top:0pt;mso-position-vertical:top;mso-position-vertical-relative:text;margin-left:16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coordination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2022475</wp:posOffset>
                </wp:positionH>
                <wp:positionV relativeFrom="line">
                  <wp:posOffset>635</wp:posOffset>
                </wp:positionV>
                <wp:extent cx="40005" cy="175260"/>
                <wp:effectExtent l="0" t="0" r="0" b="0"/>
                <wp:wrapNone/>
                <wp:docPr id="169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5pt;height:13.8pt;mso-wrap-distance-left:0pt;mso-wrap-distance-right:0pt;mso-wrap-distance-top:0pt;mso-wrap-distance-bottom:0pt;margin-top:0pt;mso-position-vertical:top;mso-position-vertical-relative:text;margin-left:1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1904365</wp:posOffset>
                </wp:positionH>
                <wp:positionV relativeFrom="line">
                  <wp:posOffset>635</wp:posOffset>
                </wp:positionV>
                <wp:extent cx="118745" cy="175260"/>
                <wp:effectExtent l="0" t="0" r="0" b="0"/>
                <wp:wrapNone/>
                <wp:docPr id="170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5pt;height:13.8pt;mso-wrap-distance-left:0pt;mso-wrap-distance-right:0pt;mso-wrap-distance-top:0pt;mso-wrap-distance-bottom:0pt;margin-top:0pt;mso-position-vertical:top;mso-position-vertical-relative:text;margin-left:14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1862455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171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14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3121660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172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24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5564505</wp:posOffset>
                </wp:positionH>
                <wp:positionV relativeFrom="line">
                  <wp:posOffset>635</wp:posOffset>
                </wp:positionV>
                <wp:extent cx="43180" cy="175260"/>
                <wp:effectExtent l="0" t="0" r="0" b="0"/>
                <wp:wrapNone/>
                <wp:docPr id="173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pt;height:13.8pt;mso-wrap-distance-left:0pt;mso-wrap-distance-right:0pt;mso-wrap-distance-top:0pt;mso-wrap-distance-bottom:0pt;margin-top:0pt;mso-position-vertical:top;mso-position-vertical-relative:text;margin-left:43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4673600</wp:posOffset>
                </wp:positionH>
                <wp:positionV relativeFrom="line">
                  <wp:posOffset>635</wp:posOffset>
                </wp:positionV>
                <wp:extent cx="891540" cy="175260"/>
                <wp:effectExtent l="0" t="0" r="0" b="0"/>
                <wp:wrapNone/>
                <wp:docPr id="174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15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Lessee, shall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2pt;height:13.8pt;mso-wrap-distance-left:0pt;mso-wrap-distance-right:0pt;mso-wrap-distance-top:0pt;mso-wrap-distance-bottom:0pt;margin-top:0pt;mso-position-vertical:top;mso-position-vertical-relative:text;margin-left:3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Lessee, shall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4629785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175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36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3882390</wp:posOffset>
                </wp:positionH>
                <wp:positionV relativeFrom="line">
                  <wp:posOffset>635</wp:posOffset>
                </wp:positionV>
                <wp:extent cx="747395" cy="175260"/>
                <wp:effectExtent l="0" t="0" r="0" b="0"/>
                <wp:wrapNone/>
                <wp:docPr id="176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expense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85pt;height:13.8pt;mso-wrap-distance-left:0pt;mso-wrap-distance-right:0pt;mso-wrap-distance-top:0pt;mso-wrap-distance-bottom:0pt;margin-top:0pt;mso-position-vertical:top;mso-position-vertical-relative:text;margin-left:30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expense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3837940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77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0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3702685</wp:posOffset>
                </wp:positionH>
                <wp:positionV relativeFrom="line">
                  <wp:posOffset>635</wp:posOffset>
                </wp:positionV>
                <wp:extent cx="135255" cy="350520"/>
                <wp:effectExtent l="0" t="0" r="0" b="0"/>
                <wp:wrapNone/>
                <wp:docPr id="178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65pt;height:27.6pt;mso-wrap-distance-left:0pt;mso-wrap-distance-right:0pt;mso-wrap-distance-top:0pt;mso-wrap-distance-bottom:0pt;margin-top:0pt;mso-position-vertical:top;mso-position-vertical-relative:text;margin-left:29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3658870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179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28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3165475</wp:posOffset>
                </wp:positionH>
                <wp:positionV relativeFrom="line">
                  <wp:posOffset>635</wp:posOffset>
                </wp:positionV>
                <wp:extent cx="493395" cy="175260"/>
                <wp:effectExtent l="0" t="0" r="0" b="0"/>
                <wp:wrapNone/>
                <wp:docPr id="180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no cost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85pt;height:13.8pt;mso-wrap-distance-left:0pt;mso-wrap-distance-right:0pt;mso-wrap-distance-top:0pt;mso-wrap-distance-bottom:0pt;margin-top:0pt;mso-position-vertical:top;mso-position-vertical-relative:text;margin-left:2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no cost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490855" cy="350520"/>
                <wp:effectExtent l="0" t="0" r="0" b="0"/>
                <wp:wrapNone/>
                <wp:docPr id="181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Lessor,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65pt;height:27.6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Lessor,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2696210</wp:posOffset>
                </wp:positionH>
                <wp:positionV relativeFrom="line">
                  <wp:posOffset>635</wp:posOffset>
                </wp:positionV>
                <wp:extent cx="426085" cy="175260"/>
                <wp:effectExtent l="0" t="0" r="0" b="0"/>
                <wp:wrapNone/>
                <wp:docPr id="182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0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and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55pt;height:13.8pt;mso-wrap-distance-left:0pt;mso-wrap-distance-right:0pt;mso-wrap-distance-top:0pt;mso-wrap-distance-bottom:0pt;margin-top:0pt;mso-position-vertical:top;mso-position-vertical-relative:text;margin-left:21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and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2652395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183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20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2178685</wp:posOffset>
                </wp:positionH>
                <wp:positionV relativeFrom="line">
                  <wp:posOffset>635</wp:posOffset>
                </wp:positionV>
                <wp:extent cx="474345" cy="350520"/>
                <wp:effectExtent l="0" t="0" r="0" b="0"/>
                <wp:wrapNone/>
                <wp:docPr id="184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hereof,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35pt;height:27.6pt;mso-wrap-distance-left:0pt;mso-wrap-distance-right:0pt;mso-wrap-distance-top:0pt;mso-wrap-distance-bottom:0pt;margin-top:0pt;mso-position-vertical:top;mso-position-vertical-relative:text;margin-left:17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hereof,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2134870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185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16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1923415</wp:posOffset>
                </wp:positionH>
                <wp:positionV relativeFrom="line">
                  <wp:posOffset>635</wp:posOffset>
                </wp:positionV>
                <wp:extent cx="211455" cy="350520"/>
                <wp:effectExtent l="0" t="0" r="0" b="0"/>
                <wp:wrapNone/>
                <wp:docPr id="186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2.4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65pt;height:27.6pt;mso-wrap-distance-left:0pt;mso-wrap-distance-right:0pt;mso-wrap-distance-top:0pt;mso-wrap-distance-bottom:0pt;margin-top:0pt;mso-position-vertical:top;mso-position-vertical-relative:text;margin-left:15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2.4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1879600</wp:posOffset>
                </wp:positionH>
                <wp:positionV relativeFrom="line">
                  <wp:posOffset>635</wp:posOffset>
                </wp:positionV>
                <wp:extent cx="43815" cy="175260"/>
                <wp:effectExtent l="0" t="0" r="0" b="0"/>
                <wp:wrapNone/>
                <wp:docPr id="187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45pt;height:13.8pt;mso-wrap-distance-left:0pt;mso-wrap-distance-right:0pt;mso-wrap-distance-top:0pt;mso-wrap-distance-bottom:0pt;margin-top:0pt;mso-position-vertical:top;mso-position-vertical-relative:text;margin-left:1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508000" cy="350520"/>
                <wp:effectExtent l="0" t="0" r="0" b="0"/>
                <wp:wrapNone/>
                <wp:docPr id="188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Section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pt;height:27.6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Section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6403975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89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Agreement shall remain in full force and effect and this Amendment and the Lease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Agreement shall be considered to be the Lease Agreement as of the date hereof.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4.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231F20"/>
          <w:sz w:val="24"/>
          <w:u w:val="single"/>
          <w:shd w:fill="E4E4E4" w:val="clear"/>
        </w:rPr>
        <w:t>Counterparts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Amendment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may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be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executed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two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more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counterparts,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each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 xml:space="preserve">of which shall be an original, but all of which shall constitute but one and the same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instrument.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[Signature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Page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follows]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6D6D6D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6D6D6D"/>
          <w:sz w:val="24"/>
          <w:u w:val="none"/>
          <w:effect w:val="none"/>
          <w:shd w:fill="E4E4E4" w:val="clear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bookmarkStart w:id="6" w:name="cg20260630exhibit22.htm"/>
      <w:bookmarkStart w:id="7" w:name="kscg20260630exhibit22"/>
      <w:bookmarkEnd w:id="6"/>
      <w:bookmarkEnd w:id="7"/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22</w: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5489575" cy="175260"/>
                <wp:effectExtent l="0" t="0" r="0" b="0"/>
                <wp:wrapNone/>
                <wp:docPr id="190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9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IN WITNESS WHEREOF, Lessor and Lessee have caused this Amendment No.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.25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IN WITNESS WHEREOF, Lessor and Lessee have caused this Amendment No.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6861175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91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5505" cy="175260"/>
                <wp:effectExtent l="0" t="0" r="0" b="0"/>
                <wp:wrapNone/>
                <wp:docPr id="192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55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1 to the Lease Agreement to be executed by their duly authorized representatives as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.1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1 to the Lease Agreement to be executed by their duly authorized representatives as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6859905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93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40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828165" cy="350520"/>
                <wp:effectExtent l="0" t="0" r="0" b="0"/>
                <wp:wrapNone/>
                <wp:docPr id="194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1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231F20"/>
                                <w:sz w:val="24"/>
                                <w:u w:val="none"/>
                                <w:effect w:val="none"/>
                              </w:rPr>
                              <w:t>the date first above written.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3.9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231F20"/>
                          <w:sz w:val="24"/>
                          <w:u w:val="none"/>
                          <w:effect w:val="none"/>
                        </w:rPr>
                        <w:t>the date first above written.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400800" cy="1886585"/>
                <wp:effectExtent l="0" t="0" r="0" b="0"/>
                <wp:wrapNone/>
                <wp:docPr id="195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31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141"/>
                              <w:gridCol w:w="5171"/>
                            </w:tblGrid>
                            <w:tr>
                              <w:trPr/>
                              <w:tc>
                                <w:tcPr>
                                  <w:tcW w:w="51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1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1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</w:rPr>
                                    <w:t>Carlyle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</w:rPr>
                                    <w:t>Investment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</w:rPr>
                                    <w:t>Management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</w:rPr>
                                    <w:t>L.L.C.</w:t>
                                  </w:r>
                                </w:p>
                              </w:tc>
                              <w:tc>
                                <w:tcPr>
                                  <w:tcW w:w="51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1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1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4"/>
                                      <w:u w:val="none"/>
                                      <w:effect w:val="none"/>
                                    </w:rPr>
                                    <w:t xml:space="preserve">By: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  <w:u w:val="single"/>
                                    </w:rPr>
                                    <w:t>/s/ Jeffrey W. Ferguson</w:t>
                                  </w:r>
                                </w:p>
                              </w:tc>
                              <w:tc>
                                <w:tcPr>
                                  <w:tcW w:w="51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1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4"/>
                                      <w:u w:val="none"/>
                                      <w:effect w:val="none"/>
                                    </w:rPr>
                                    <w:t xml:space="preserve">Name: Jeffrey W. Ferguson </w:t>
                                  </w:r>
                                </w:p>
                              </w:tc>
                              <w:tc>
                                <w:tcPr>
                                  <w:tcW w:w="51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1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4"/>
                                      <w:u w:val="none"/>
                                      <w:effect w:val="none"/>
                                    </w:rPr>
                                    <w:t>Its: General Counsel</w:t>
                                  </w:r>
                                </w:p>
                              </w:tc>
                              <w:tc>
                                <w:tcPr>
                                  <w:tcW w:w="51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48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tbl>
                      <w:tblPr>
                        <w:tblW w:w="1031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141"/>
                        <w:gridCol w:w="5171"/>
                      </w:tblGrid>
                      <w:tr>
                        <w:trPr/>
                        <w:tc>
                          <w:tcPr>
                            <w:tcW w:w="51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1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1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1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1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Carlyle</w:t>
                            </w: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 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Investment</w:t>
                            </w: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 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Management</w:t>
                            </w: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 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L.L.C.</w:t>
                            </w:r>
                          </w:p>
                        </w:tc>
                        <w:tc>
                          <w:tcPr>
                            <w:tcW w:w="51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1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1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1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 xml:space="preserve">By: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/s/ Jeffrey W. Ferguson</w:t>
                            </w:r>
                          </w:p>
                        </w:tc>
                        <w:tc>
                          <w:tcPr>
                            <w:tcW w:w="51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1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 xml:space="preserve">Name: Jeffrey W. Ferguson </w:t>
                            </w:r>
                          </w:p>
                        </w:tc>
                        <w:tc>
                          <w:tcPr>
                            <w:tcW w:w="51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1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Its: General Counsel</w:t>
                            </w:r>
                          </w:p>
                        </w:tc>
                        <w:tc>
                          <w:tcPr>
                            <w:tcW w:w="51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3200400" cy="175260"/>
                <wp:effectExtent l="0" t="0" r="0" b="0"/>
                <wp:wrapNone/>
                <wp:docPr id="196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LESSEE: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LESSEE: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3200400</wp:posOffset>
                </wp:positionH>
                <wp:positionV relativeFrom="line">
                  <wp:posOffset>635</wp:posOffset>
                </wp:positionV>
                <wp:extent cx="3200400" cy="175260"/>
                <wp:effectExtent l="0" t="0" r="0" b="0"/>
                <wp:wrapNone/>
                <wp:docPr id="197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LESSOR: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pt;height:13.8pt;mso-wrap-distance-left:0pt;mso-wrap-distance-right:0pt;mso-wrap-distance-top:0pt;mso-wrap-distance-bottom:0pt;margin-top:0pt;mso-position-vertical:top;mso-position-vertical-relative:text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LESSOR: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 xml:space="preserve">Subsidiary guarantors and issuers of guaranteed securities and affiliates whose securities collateralize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securities of the registrant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The following securities (collectively, the “Notes”) issued by the corresponding issuer listed below, each a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wholly-owned subsidiary of The Carlyle Group Inc. (the “Company”) with the exception of the Company, were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outstanding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: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, the guarantors under the Notes consisted of the Company, as a guarantor that provides </w: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933450</wp:posOffset>
                </wp:positionH>
                <wp:positionV relativeFrom="line">
                  <wp:posOffset>635</wp:posOffset>
                </wp:positionV>
                <wp:extent cx="5905500" cy="1931035"/>
                <wp:effectExtent l="0" t="0" r="0" b="0"/>
                <wp:wrapNone/>
                <wp:docPr id="198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19310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61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551"/>
                              <w:gridCol w:w="3371"/>
                              <w:gridCol w:w="2696"/>
                            </w:tblGrid>
                            <w:tr>
                              <w:trPr/>
                              <w:tc>
                                <w:tcPr>
                                  <w:tcW w:w="35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5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5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3.500% Senior Notes due 2029</w:t>
                                  </w: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5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5.050% Senior Notes due 2035</w:t>
                                  </w: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5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5.625% Senior Notes due 2043</w:t>
                                  </w: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5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5.65% Senior Notes due 2048</w:t>
                                  </w: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5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4.625% Subordinated Notes due 2061</w:t>
                                  </w: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5pt;height:152.05pt;mso-wrap-distance-left:0pt;mso-wrap-distance-right:0pt;mso-wrap-distance-top:0pt;mso-wrap-distance-bottom:0pt;margin-top:0pt;mso-position-vertical:top;mso-position-vertical-relative:text;margin-left:73.5pt;mso-position-horizontal-relative:page">
                <v:textbox>
                  <w:txbxContent>
                    <w:tbl>
                      <w:tblPr>
                        <w:tblW w:w="961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551"/>
                        <w:gridCol w:w="3371"/>
                        <w:gridCol w:w="2696"/>
                      </w:tblGrid>
                      <w:tr>
                        <w:trPr/>
                        <w:tc>
                          <w:tcPr>
                            <w:tcW w:w="35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3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6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5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6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5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3.500% Senior Notes due 2029</w:t>
                            </w: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6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5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5.050% Senior Notes due 2035</w:t>
                            </w: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6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5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5.625% Senior Notes due 2043</w:t>
                            </w: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6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5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5.65% Senior Notes due 2048</w:t>
                            </w: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6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5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4.625% Subordinated Notes due 2061</w:t>
                            </w: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6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190750" cy="146685"/>
                <wp:effectExtent l="0" t="0" r="0" b="0"/>
                <wp:wrapNone/>
                <wp:docPr id="199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Notes Issued Under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.5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Notes Issued Under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2190750</wp:posOffset>
                </wp:positionH>
                <wp:positionV relativeFrom="line">
                  <wp:posOffset>635</wp:posOffset>
                </wp:positionV>
                <wp:extent cx="2085975" cy="146685"/>
                <wp:effectExtent l="0" t="0" r="0" b="0"/>
                <wp:wrapNone/>
                <wp:docPr id="200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Issuer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4.25pt;height:11.55pt;mso-wrap-distance-left:0pt;mso-wrap-distance-right:0pt;mso-wrap-distance-top:0pt;mso-wrap-distance-bottom:0pt;margin-top:0pt;mso-position-vertical:top;mso-position-vertical-relative:text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Issuer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4276725</wp:posOffset>
                </wp:positionH>
                <wp:positionV relativeFrom="line">
                  <wp:posOffset>635</wp:posOffset>
                </wp:positionV>
                <wp:extent cx="1628775" cy="440055"/>
                <wp:effectExtent l="0" t="0" r="0" b="0"/>
                <wp:wrapNone/>
                <wp:docPr id="201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4400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Jurisdiction of Formation,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Organization, 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Incorporation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8.25pt;height:34.65pt;mso-wrap-distance-left:0pt;mso-wrap-distance-right:0pt;mso-wrap-distance-top:0pt;mso-wrap-distance-bottom:0pt;margin-top:0pt;mso-position-vertical:top;mso-position-vertical-relative:text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Jurisdiction of Formation,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Organization, or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Incorporation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an unsecured guarantee of the Notes, and its wholly-owned subsidiaries listed in the below table. The guarantees are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joint and several, and full and unconditional.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* Carlyle Holdings II L.P. is not a guarantor of the 4.625% Subordinated Notes due 2061 or the 5.050% Senior </w: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931035"/>
                <wp:effectExtent l="0" t="0" r="0" b="0"/>
                <wp:wrapNone/>
                <wp:docPr id="202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9310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9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781"/>
                              <w:gridCol w:w="4811"/>
                            </w:tblGrid>
                            <w:tr>
                              <w:trPr/>
                              <w:tc>
                                <w:tcPr>
                                  <w:tcW w:w="47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Carlyle Holdings I L.P.</w:t>
                                  </w:r>
                                </w:p>
                              </w:tc>
                              <w:tc>
                                <w:tcPr>
                                  <w:tcW w:w="48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Carlyle Holdings II L.P.*</w:t>
                                  </w:r>
                                </w:p>
                              </w:tc>
                              <w:tc>
                                <w:tcPr>
                                  <w:tcW w:w="48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Carlyle Holdings III L.P.</w:t>
                                  </w:r>
                                </w:p>
                              </w:tc>
                              <w:tc>
                                <w:tcPr>
                                  <w:tcW w:w="48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CG Subsidiary Holdings L.L.C.</w:t>
                                  </w:r>
                                </w:p>
                              </w:tc>
                              <w:tc>
                                <w:tcPr>
                                  <w:tcW w:w="48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Carlyle Holdings II L.L.C.</w:t>
                                  </w:r>
                                </w:p>
                              </w:tc>
                              <w:tc>
                                <w:tcPr>
                                  <w:tcW w:w="48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52.0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9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781"/>
                        <w:gridCol w:w="4811"/>
                      </w:tblGrid>
                      <w:tr>
                        <w:trPr/>
                        <w:tc>
                          <w:tcPr>
                            <w:tcW w:w="47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Carlyle Holdings I L.P.</w:t>
                            </w:r>
                          </w:p>
                        </w:tc>
                        <w:tc>
                          <w:tcPr>
                            <w:tcW w:w="48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Carlyle Holdings II L.P.*</w:t>
                            </w:r>
                          </w:p>
                        </w:tc>
                        <w:tc>
                          <w:tcPr>
                            <w:tcW w:w="48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Carlyle Holdings III L.P.</w:t>
                            </w:r>
                          </w:p>
                        </w:tc>
                        <w:tc>
                          <w:tcPr>
                            <w:tcW w:w="48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CG Subsidiary Holdings L.L.C.</w:t>
                            </w:r>
                          </w:p>
                        </w:tc>
                        <w:tc>
                          <w:tcPr>
                            <w:tcW w:w="48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Carlyle Holdings II L.L.C.</w:t>
                            </w:r>
                          </w:p>
                        </w:tc>
                        <w:tc>
                          <w:tcPr>
                            <w:tcW w:w="48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971800" cy="146685"/>
                <wp:effectExtent l="0" t="0" r="0" b="0"/>
                <wp:wrapNone/>
                <wp:docPr id="203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Guarantor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Guarantor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2971800</wp:posOffset>
                </wp:positionH>
                <wp:positionV relativeFrom="line">
                  <wp:posOffset>635</wp:posOffset>
                </wp:positionV>
                <wp:extent cx="2971800" cy="293370"/>
                <wp:effectExtent l="0" t="0" r="0" b="0"/>
                <wp:wrapNone/>
                <wp:docPr id="204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Jurisdiction of Formation, Organization, 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Incorporation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23.1pt;mso-wrap-distance-left:0pt;mso-wrap-distance-right:0pt;mso-wrap-distance-top:0pt;mso-wrap-distance-bottom:0pt;margin-top:0pt;mso-position-vertical:top;mso-position-vertical-relative:text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Jurisdiction of Formation, Organization, or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Incorporation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Notes due 2035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31.1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I, Harvey M. Schwartz, certify that: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1.I have reviewed this Quarterly Report on Form 10-Q for the quarter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June 30, 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of The Carlyle Group Inc.;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2.Based on my knowledge, this report does not contain any untrue statement of a material fact or omit to state a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material fact necessary to make the statements made, in light of the circumstances under which such statements were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made, not misleading with respect to the period covered by this report;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3.Based on my knowledge, the financial statements, and other financial information included in this report, fairly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present in all material respects the financial condition, results of operations and cash flows of the registrant as of,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and for, the periods presented in this report;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4.The registrant’s other certifying officer(s) and I are responsible for establishing and maintaining disclosure controls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and procedures (as defined in Exchange Act Rules 13a-15(e) and 15d-15(e)) and internal control over financial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reporting (as defined in Exchange Act Rules 13a-15(f) and 15d-15(f)) for the registrant and have: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(a)Designed such disclosure controls and procedures, or caused such disclosure controls and procedures to be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designed under our supervision, to ensure that material information relating to the registrant, including its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consolidated subsidiaries, is made known to us by others within those entities, particularly during the period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in which this report is being prepared;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(b)Designed such internal control over financial reporting, or caused such internal control over financial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reporting to be designed under our supervision, to provide reasonable assurance regarding the reliability of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financial reporting and the preparation of financial statements for external purposes in accordance with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generally accepted accounting principles;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(c)Evaluated the effectiveness of the registrant’s disclosure controls and procedures and presented in this report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our conclusions about the effectiveness of the disclosure controls and procedures, as of the end of the period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covered by this report based on such evaluation;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(d)Disclosed in this report any change in the registrant’s internal control over financial reporting that occurred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during the registrant’s most recent fiscal quarter (the registrant’s fourth fiscal quarter in the case of an annual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report) that has materially affected, or is reasonably likely to materially affect, the registrant’s internal control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over financial reporting;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5.The registrant’s other certifying officer(s) and I have disclosed, based on our most recent evaluation of internal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control over financial reporting, to the registrant’s auditors and the audit committee of the registrant’s board of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directors (or persons performing the equivalent functions):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(a)All significant deficiencies and material weaknesses in the design or operation of internal control over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financial reporting which are reasonably likely to adversely affect the registrant’s ability to record, process,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summarize and report financial information;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(b)Any fraud, whether or not material, that involves management or other employees who have a significant role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in the registrant’s internal control over financial reporting.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31.2</w: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628650</wp:posOffset>
                </wp:positionH>
                <wp:positionV relativeFrom="line">
                  <wp:posOffset>635</wp:posOffset>
                </wp:positionV>
                <wp:extent cx="2933700" cy="1979295"/>
                <wp:effectExtent l="0" t="0" r="0" b="0"/>
                <wp:wrapNone/>
                <wp:docPr id="205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9792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521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521"/>
                            </w:tblGrid>
                            <w:tr>
                              <w:trPr/>
                              <w:tc>
                                <w:tcPr>
                                  <w:tcW w:w="25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Date: August 10, 2026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/s/ Harvey M. Schwartz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Harvey M. Schwartz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Chief Executive Officer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The Carlyle Group Inc.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/>
                                      <w:sz w:val="20"/>
                                    </w:rPr>
                                    <w:t>Principal Executive Officer</w:t>
                                  </w: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1pt;height:155.85pt;mso-wrap-distance-left:0pt;mso-wrap-distance-right:0pt;mso-wrap-distance-top:0pt;mso-wrap-distance-bottom:0pt;margin-top:0pt;mso-position-vertical:top;mso-position-vertical-relative:text;margin-left:49.5pt;mso-position-horizontal-relative:page">
                <v:textbox>
                  <w:txbxContent>
                    <w:tbl>
                      <w:tblPr>
                        <w:tblW w:w="2521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521"/>
                      </w:tblGrid>
                      <w:tr>
                        <w:trPr/>
                        <w:tc>
                          <w:tcPr>
                            <w:tcW w:w="25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Date: August 10, 2026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/s/ Harvey M. Schwartz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Harvey M. Schwartz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Chief Executive Officer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The Carlyle Group Inc.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/>
                                <w:sz w:val="20"/>
                              </w:rPr>
                              <w:t>Principal Executive Officer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I, Justin V. Plouffe, certify that: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1.I have reviewed this Quarterly Report on Form 10-Q for the quarter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June 30, 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of The Carlyle Group Inc.;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2.Based on my knowledge, this report does not contain any untrue statement of a material fact or omit to state a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material fact necessary to make the statements made, in light of the circumstances under which such statements were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made, not misleading with respect to the period covered by this report;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3.Based on my knowledge, the financial statements, and other financial information included in this report, fairly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present in all material respects the financial condition, results of operations and cash flows of the registrant as of,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and for, the periods presented in this report;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4.The registrant’s other certifying officer(s) and I are responsible for establishing and maintaining disclosure controls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and procedures (as defined in Exchange Act Rules 13a-15(e) and 15d-15(e)) and internal control over financial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reporting (as defined in Exchange Act Rules 13a-15(f) and 15d-15(f)) for the registrant and have: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(a)Designed such disclosure controls and procedures, or caused such disclosure controls and procedures to be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designed under our supervision, to ensure that material information relating to the registrant, including its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consolidated subsidiaries, is made known to us by others within those entities, particularly during the period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in which this report is being prepared;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(b)Designed such internal control over financial reporting, or caused such internal control over financial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reporting to be designed under our supervision, to provide reasonable assurance regarding the reliability of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financial reporting and the preparation of financial statements for external purposes in accordance with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generally accepted accounting principles;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(c)Evaluated the effectiveness of the registrant’s disclosure controls and procedures and presented in this report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our conclusions about the effectiveness of the disclosure controls and procedures, as of the end of the period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covered by this report based on such evaluation;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(d)Disclosed in this report any change in the registrant’s internal control over financial reporting that occurred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during the registrant’s most recent fiscal quarter (the registrant’s fourth fiscal quarter in the case of an annual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report) that has materially affected, or is reasonably likely to materially affect, the registrant’s internal control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over financial reporting;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5.The registrant’s other certifying officer(s) and I have disclosed, based on our most recent evaluation of internal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control over financial reporting, to the registrant’s auditors and the audit committee of the registrant’s board of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directors (or persons performing the equivalent functions):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(a)All significant deficiencies and material weaknesses in the design or operation of internal control over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financial reporting which are reasonably likely to adversely affect the registrant’s ability to record, process,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summarize and report financial information;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(b)Any fraud, whether or not material, that involves management or other employees who have a significant role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in the registrant’s internal control over financial reporting.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32.1</w: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628650</wp:posOffset>
                </wp:positionH>
                <wp:positionV relativeFrom="line">
                  <wp:posOffset>635</wp:posOffset>
                </wp:positionV>
                <wp:extent cx="2933700" cy="1979295"/>
                <wp:effectExtent l="0" t="0" r="0" b="0"/>
                <wp:wrapNone/>
                <wp:docPr id="206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9792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53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536"/>
                            </w:tblGrid>
                            <w:tr>
                              <w:trPr/>
                              <w:tc>
                                <w:tcPr>
                                  <w:tcW w:w="25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Date: August 10, 2026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3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/s/ Justin V. Plouffe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Justin V. Plouffe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Chief Financial Officer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The Carlyle Group Inc.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/>
                                      <w:sz w:val="20"/>
                                    </w:rPr>
                                    <w:t>Principal Financial Officer</w:t>
                                  </w: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1pt;height:155.85pt;mso-wrap-distance-left:0pt;mso-wrap-distance-right:0pt;mso-wrap-distance-top:0pt;mso-wrap-distance-bottom:0pt;margin-top:0pt;mso-position-vertical:top;mso-position-vertical-relative:text;margin-left:49.5pt;mso-position-horizontal-relative:page">
                <v:textbox>
                  <w:txbxContent>
                    <w:tbl>
                      <w:tblPr>
                        <w:tblW w:w="253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536"/>
                      </w:tblGrid>
                      <w:tr>
                        <w:trPr/>
                        <w:tc>
                          <w:tcPr>
                            <w:tcW w:w="25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Date: August 10, 2026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3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/s/ Justin V. Plouffe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Justin V. Plouffe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Chief Financial Officer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The Carlyle Group Inc.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/>
                                <w:sz w:val="20"/>
                              </w:rPr>
                              <w:t>Principal Financial Officer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of the Chief Executive Officer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18 U.S.C. Section 1350,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As Adopted Pursuant to Section 906 of the Sarbanes-Oxley Act of 2002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In connection with the Quarterly Report of The Carlyle Group Inc. (the “Company”) on Form 10-Q for the quarter ended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June 30, 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filed with the Securities and Exchange Commission on the date hereof (the “Report”), I, Harvey M. Schwartz,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Chief Executive Officer of the Company, certify, pursuant to 18 U.S.C. §1350, as adopted pursuant to §906 of the Sarbanes-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Oxley Act of 2002, that: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(1) The Report fully complies with the requirements of Section 13(a) or 15(d) of the Securities Exchange Act of 1934;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(2) The information contained in the Report fairly presents, in all material respects, the financial condition and results of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operations of the Company.</w:t>
      </w:r>
    </w:p>
    <w:p>
      <w:pPr>
        <w:pStyle w:val="TextBody"/>
        <w:bidi w:val="0"/>
        <w:spacing w:lineRule="atLeast" w:line="16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Date: August 10, 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628650</wp:posOffset>
                </wp:positionH>
                <wp:positionV relativeFrom="line">
                  <wp:posOffset>635</wp:posOffset>
                </wp:positionV>
                <wp:extent cx="3009900" cy="1188085"/>
                <wp:effectExtent l="0" t="0" r="0" b="0"/>
                <wp:wrapNone/>
                <wp:docPr id="207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1880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88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886"/>
                            </w:tblGrid>
                            <w:tr>
                              <w:trPr/>
                              <w:tc>
                                <w:tcPr>
                                  <w:tcW w:w="48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8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8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Harvey M. Schwartz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Chief Executive Officer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The Carlyle Group Inc.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7pt;height:93.55pt;mso-wrap-distance-left:0pt;mso-wrap-distance-right:0pt;mso-wrap-distance-top:0pt;mso-wrap-distance-bottom:0pt;margin-top:0pt;mso-position-vertical:top;mso-position-vertical-relative:text;margin-left:49.5pt;mso-position-horizontal-relative:page">
                <v:textbox>
                  <w:txbxContent>
                    <w:tbl>
                      <w:tblPr>
                        <w:tblW w:w="488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886"/>
                      </w:tblGrid>
                      <w:tr>
                        <w:trPr/>
                        <w:tc>
                          <w:tcPr>
                            <w:tcW w:w="48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8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8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Harvey M. Schwartz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Chief Executive Officer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The Carlyle Group Inc.</w:t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3009900" cy="146685"/>
                <wp:effectExtent l="0" t="0" r="0" b="0"/>
                <wp:wrapNone/>
                <wp:docPr id="208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/s/ Harvey M. Schwartz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7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/s/ Harvey M. Schwartz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32.2</w: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628650</wp:posOffset>
                </wp:positionH>
                <wp:positionV relativeFrom="line">
                  <wp:posOffset>635</wp:posOffset>
                </wp:positionV>
                <wp:extent cx="6505575" cy="664210"/>
                <wp:effectExtent l="0" t="0" r="0" b="0"/>
                <wp:wrapNone/>
                <wp:docPr id="209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664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47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06"/>
                              <w:gridCol w:w="9971"/>
                            </w:tblGrid>
                            <w:tr>
                              <w:trPr/>
                              <w:tc>
                                <w:tcPr>
                                  <w:tcW w:w="5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2.25pt;height:52.3pt;mso-wrap-distance-left:0pt;mso-wrap-distance-right:0pt;mso-wrap-distance-top:0pt;mso-wrap-distance-bottom:0pt;margin-top:0pt;mso-position-vertical:top;mso-position-vertical-relative:text;margin-left:49.5pt;mso-position-horizontal-relative:page">
                <v:textbox>
                  <w:txbxContent>
                    <w:tbl>
                      <w:tblPr>
                        <w:tblW w:w="1047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06"/>
                        <w:gridCol w:w="9971"/>
                      </w:tblGrid>
                      <w:tr>
                        <w:trPr/>
                        <w:tc>
                          <w:tcPr>
                            <w:tcW w:w="5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57175" cy="146685"/>
                <wp:effectExtent l="0" t="0" r="0" b="0"/>
                <wp:wrapNone/>
                <wp:docPr id="210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*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25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*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257175</wp:posOffset>
                </wp:positionH>
                <wp:positionV relativeFrom="line">
                  <wp:posOffset>635</wp:posOffset>
                </wp:positionV>
                <wp:extent cx="6248400" cy="293370"/>
                <wp:effectExtent l="0" t="0" r="0" b="0"/>
                <wp:wrapNone/>
                <wp:docPr id="211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The foregoing certification is being furnished solely pursuant to 18 U.S.C. Section 1350 and is not being filed as part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the Report or as a separate disclosure document.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2pt;height:23.1pt;mso-wrap-distance-left:0pt;mso-wrap-distance-right:0pt;mso-wrap-distance-top:0pt;mso-wrap-distance-bottom:0pt;margin-top:0pt;mso-position-vertical:top;mso-position-vertical-relative:text;margin-left: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The foregoing certification is being furnished solely pursuant to 18 U.S.C. Section 1350 and is not being filed as part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the Report or as a separate disclosure document.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of the Chief Financial Officer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18 U.S.C. Section 1350,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As Adopted Pursuant to Section 906 of the Sarbanes-Oxley Act of 2002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In connection with the Quarterly Report of The Carlyle Group Inc. (the “Company”) on Form 10-Q for the quarter ended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June 30, 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filed with the Securities and Exchange Commission on the date hereof (the “Report”), I, Justin V. Plouffe, Chief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Financial Officer of the Company, certify, pursuant to 18 U.S.C. §1350, as adopted pursuant to §906 of the Sarbanes-Oxley Act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of 2002, that: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(1) The Report fully complies with the requirements of Section 13(a) or 15(d) of the Securities Exchange Act of 1934;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(2) The information contained in the Report fairly presents, in all material respects, the financial condition and results of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operations of the Company.</w:t>
      </w:r>
    </w:p>
    <w:p>
      <w:pPr>
        <w:pStyle w:val="TextBody"/>
        <w:bidi w:val="0"/>
        <w:spacing w:lineRule="atLeast" w:line="16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Date: August 10, 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628650</wp:posOffset>
                </wp:positionH>
                <wp:positionV relativeFrom="line">
                  <wp:posOffset>635</wp:posOffset>
                </wp:positionV>
                <wp:extent cx="3009900" cy="1188085"/>
                <wp:effectExtent l="0" t="0" r="0" b="0"/>
                <wp:wrapNone/>
                <wp:docPr id="212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1880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88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886"/>
                            </w:tblGrid>
                            <w:tr>
                              <w:trPr/>
                              <w:tc>
                                <w:tcPr>
                                  <w:tcW w:w="48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8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8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Justin V. Plouffe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Chief Financial Officer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The Carlyle Group Inc.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7pt;height:93.55pt;mso-wrap-distance-left:0pt;mso-wrap-distance-right:0pt;mso-wrap-distance-top:0pt;mso-wrap-distance-bottom:0pt;margin-top:0pt;mso-position-vertical:top;mso-position-vertical-relative:text;margin-left:49.5pt;mso-position-horizontal-relative:page">
                <v:textbox>
                  <w:txbxContent>
                    <w:tbl>
                      <w:tblPr>
                        <w:tblW w:w="488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886"/>
                      </w:tblGrid>
                      <w:tr>
                        <w:trPr/>
                        <w:tc>
                          <w:tcPr>
                            <w:tcW w:w="48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8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8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Justin V. Plouffe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Chief Financial Officer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The Carlyle Group Inc.</w:t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3009900" cy="146685"/>
                <wp:effectExtent l="0" t="0" r="0" b="0"/>
                <wp:wrapNone/>
                <wp:docPr id="213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/s/ Justin V. Plouffe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7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/s/ Justin V. Plouffe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6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628650</wp:posOffset>
                </wp:positionH>
                <wp:positionV relativeFrom="line">
                  <wp:posOffset>635</wp:posOffset>
                </wp:positionV>
                <wp:extent cx="6505575" cy="664210"/>
                <wp:effectExtent l="0" t="0" r="0" b="0"/>
                <wp:wrapNone/>
                <wp:docPr id="214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664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47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06"/>
                              <w:gridCol w:w="9971"/>
                            </w:tblGrid>
                            <w:tr>
                              <w:trPr/>
                              <w:tc>
                                <w:tcPr>
                                  <w:tcW w:w="5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  <w:r>
                                    <w:br w:type="page"/>
                                  </w:r>
                                </w:p>
                              </w:tc>
                              <w:tc>
                                <w:tcPr>
                                  <w:tcW w:w="9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2.25pt;height:52.3pt;mso-wrap-distance-left:0pt;mso-wrap-distance-right:0pt;mso-wrap-distance-top:0pt;mso-wrap-distance-bottom:0pt;margin-top:0pt;mso-position-vertical:top;mso-position-vertical-relative:text;margin-left:49.5pt;mso-position-horizontal-relative:page">
                <v:textbox>
                  <w:txbxContent>
                    <w:tbl>
                      <w:tblPr>
                        <w:tblW w:w="1047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06"/>
                        <w:gridCol w:w="9971"/>
                      </w:tblGrid>
                      <w:tr>
                        <w:trPr/>
                        <w:tc>
                          <w:tcPr>
                            <w:tcW w:w="5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57175" cy="146685"/>
                <wp:effectExtent l="0" t="0" r="0" b="0"/>
                <wp:wrapNone/>
                <wp:docPr id="215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*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25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*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257175</wp:posOffset>
                </wp:positionH>
                <wp:positionV relativeFrom="line">
                  <wp:posOffset>635</wp:posOffset>
                </wp:positionV>
                <wp:extent cx="6248400" cy="293370"/>
                <wp:effectExtent l="0" t="0" r="0" b="0"/>
                <wp:wrapNone/>
                <wp:docPr id="216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The foregoing certification is being furnished solely pursuant to 18 U.S.C. Section 1350 and is not being filed as part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the Report or as a separate disclosure document.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2pt;height:23.1pt;mso-wrap-distance-left:0pt;mso-wrap-distance-right:0pt;mso-wrap-distance-top:0pt;mso-wrap-distance-bottom:0pt;margin-top:0pt;mso-position-vertical:top;mso-position-vertical-relative:text;margin-left: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The foregoing certification is being furnished solely pursuant to 18 U.S.C. Section 1350 and is not being filed as part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the Report or as a separate disclosure document.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gif"/><Relationship Id="rId4" Type="http://schemas.openxmlformats.org/officeDocument/2006/relationships/image" Target="media/image3.gif"/><Relationship Id="rId5" Type="http://schemas.openxmlformats.org/officeDocument/2006/relationships/hyperlink" Target="https://www.sec.gov/Archives/edgar/data/1527166/000152716623000068/cg202305318-kxexhibit31.htm" TargetMode="External"/><Relationship Id="rId6" Type="http://schemas.openxmlformats.org/officeDocument/2006/relationships/hyperlink" Target="https://www.sec.gov/Archives/edgar/data/1527166/000152716623000068/cg202305318-kxexhibit31.htm" TargetMode="External"/><Relationship Id="rId7" Type="http://schemas.openxmlformats.org/officeDocument/2006/relationships/hyperlink" Target="https://www.sec.gov/Archives/edgar/data/1527166/000119312520000160/d854789dex33.htm" TargetMode="External"/><Relationship Id="rId8" Type="http://schemas.openxmlformats.org/officeDocument/2006/relationships/hyperlink" Target="https://www.sec.gov/Archives/edgar/data/1527166/000119312520000160/d854789dex33.htm" TargetMode="External"/><Relationship Id="rId9" Type="http://schemas.openxmlformats.org/officeDocument/2006/relationships/hyperlink" Target="https://www.sec.gov/Archives/edgar/data/1527166/000152716626000033/cg202606058-kex101.htm" TargetMode="External"/><Relationship Id="rId10" Type="http://schemas.openxmlformats.org/officeDocument/2006/relationships/hyperlink" Target="https://www.sec.gov/Archives/edgar/data/1527166/000152716626000033/cg202606058-kex101.htm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24</Pages>
  <Words>63077</Words>
  <Characters>358382</Characters>
  <CharactersWithSpaces>412705</CharactersWithSpaces>
  <Paragraphs>12392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