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Plouffe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PENNSYLVANIA AVENUE,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Carlyle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20004</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3,431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907,148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accrued on certain existing restricted stock unit awards, the grant of which was previously reported, in connection with the issuer's quarterly dividend. Such dividend equivalent units will vest on the same schedule and subject to the same terms and conditions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Anne K. Frederick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0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Power of Attorney for Justin</w:t>
        <w:tab/>
        <w:t>02/20/2026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Plouffe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1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19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2041" TargetMode="External"/><Relationship Id="rId14" Type="http://schemas.openxmlformats.org/officeDocument/2006/relationships/hyperlink" Target="http://www.sec.gov/cgi-bin/browse-edgar?action=getcompany&amp;CIK=00015271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2026-02-20T17:51:53Z</dcterms:created>
  <dcterms:modified xsi:type="dcterms:W3CDTF">2026-02-20T17:51:53Z</dcterms:modified>
</cp:coreProperties>
</file>