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ROBERTSON THOMAS 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880"/>
        <w:spacing w:after="0" w:line="395" w:lineRule="auto"/>
        <w:rPr>
          <w:sz w:val="20"/>
          <w:szCs w:val="20"/>
          <w:color w:val="auto"/>
        </w:rPr>
      </w:pPr>
      <w:r>
        <w:rPr>
          <w:rFonts w:ascii="Arial" w:cs="Arial" w:eastAsia="Arial" w:hAnsi="Arial"/>
          <w:sz w:val="16"/>
          <w:szCs w:val="16"/>
          <w:color w:val="0000FF"/>
        </w:rPr>
        <w:t>C/O THE CARLYLE GROUP INC. 1001 PENNSYLVANIA AVENUE NW</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WASHINGTON DC</w:t>
            </w:r>
          </w:p>
        </w:tc>
        <w:tc>
          <w:tcPr>
            <w:tcW w:w="1600" w:type="dxa"/>
            <w:vAlign w:val="bottom"/>
          </w:tcPr>
          <w:p>
            <w:pPr>
              <w:ind w:left="400"/>
              <w:spacing w:after="0"/>
              <w:rPr>
                <w:sz w:val="20"/>
                <w:szCs w:val="20"/>
                <w:color w:val="auto"/>
              </w:rPr>
            </w:pPr>
            <w:r>
              <w:rPr>
                <w:rFonts w:ascii="Arial" w:cs="Arial" w:eastAsia="Arial" w:hAnsi="Arial"/>
                <w:sz w:val="17"/>
                <w:szCs w:val="17"/>
                <w:color w:val="0000FF"/>
              </w:rPr>
              <w:t>20004</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Carlyle Group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CG</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80" w:type="dxa"/>
            <w:vAlign w:val="bottom"/>
            <w:tcBorders>
              <w:bottom w:val="single" w:sz="8" w:color="0000EE"/>
            </w:tcBorders>
          </w:tcPr>
          <w:p>
            <w:pPr>
              <w:spacing w:after="0"/>
              <w:rPr>
                <w:sz w:val="3"/>
                <w:szCs w:val="3"/>
                <w:color w:val="auto"/>
              </w:rPr>
            </w:pPr>
          </w:p>
        </w:tc>
        <w:tc>
          <w:tcPr>
            <w:tcW w:w="2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14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6"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680" w:type="dxa"/>
            <w:vAlign w:val="bottom"/>
            <w:gridSpan w:val="3"/>
          </w:tcPr>
          <w:p>
            <w:pPr>
              <w:ind w:left="80"/>
              <w:spacing w:after="0"/>
              <w:rPr>
                <w:sz w:val="20"/>
                <w:szCs w:val="20"/>
                <w:color w:val="auto"/>
              </w:rPr>
            </w:pPr>
            <w:r>
              <w:rPr>
                <w:rFonts w:ascii="Arial" w:cs="Arial" w:eastAsia="Arial" w:hAnsi="Arial"/>
                <w:sz w:val="17"/>
                <w:szCs w:val="17"/>
                <w:color w:val="0000FF"/>
              </w:rPr>
              <w:t>11/03/2021</w:t>
            </w:r>
          </w:p>
        </w:tc>
        <w:tc>
          <w:tcPr>
            <w:tcW w:w="2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8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480" w:type="dxa"/>
            <w:vAlign w:val="bottom"/>
            <w:tcBorders>
              <w:bottom w:val="single" w:sz="8" w:color="2C2C2C"/>
            </w:tcBorders>
          </w:tcPr>
          <w:p>
            <w:pPr>
              <w:spacing w:after="0"/>
              <w:rPr>
                <w:sz w:val="23"/>
                <w:szCs w:val="23"/>
                <w:color w:val="auto"/>
              </w:rPr>
            </w:pPr>
          </w:p>
        </w:tc>
        <w:tc>
          <w:tcPr>
            <w:tcW w:w="214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8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Arial" w:cs="Arial" w:eastAsia="Arial" w:hAnsi="Arial"/>
                <w:sz w:val="17"/>
                <w:szCs w:val="17"/>
                <w:color w:val="0000FF"/>
              </w:rPr>
              <w:t>11/03/2021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30,000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56.68</w:t>
            </w:r>
            <w:r>
              <w:rPr>
                <w:rFonts w:ascii="Arial" w:cs="Arial" w:eastAsia="Arial" w:hAnsi="Arial"/>
                <w:sz w:val="22"/>
                <w:szCs w:val="22"/>
                <w:color w:val="008000"/>
                <w:w w:val="94"/>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21,930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of common stock were sold in multiple transactions at prices ranging from $56.43 to $56.87, inclusive. The reporting person undertakes to provide to The Carlyle Group Inc., any security holder of The Carlyle Group Inc. or the staff of the Securities and Exchange Commission, upon request, full information regarding the number of shares of common stock sold at each separate price within the range set forth in this footnote.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Jeffrey W. Ferguson,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836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83640" cy="8255"/>
                    </a:xfrm>
                    <a:prstGeom prst="rect">
                      <a:avLst/>
                    </a:prstGeom>
                    <a:noFill/>
                  </pic:spPr>
                </pic:pic>
              </a:graphicData>
            </a:graphic>
          </wp:anchor>
        </w:drawing>
      </w:r>
    </w:p>
    <w:p>
      <w:pPr>
        <w:spacing w:after="0" w:line="5"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Power of Attorney for Thomas 11/04/2021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 Robertson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683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6832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86248" TargetMode="External"/><Relationship Id="rId13" Type="http://schemas.openxmlformats.org/officeDocument/2006/relationships/hyperlink" Target="http://www.sec.gov/cgi-bin/browse-edgar?action=getcompany&amp;CIK=00015271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2021-11-04T17:55:37Z</dcterms:created>
  <dcterms:modified xsi:type="dcterms:W3CDTF">2021-11-04T17:55:37Z</dcterms:modified>
</cp:coreProperties>
</file>