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50965.xml.htm"/>
      <w:bookmarkStart w:id="1" w:name="kswkform4_17879509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Nedelman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53"/>
        <w:gridCol w:w="459"/>
        <w:gridCol w:w="622"/>
        <w:gridCol w:w="1288"/>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6,615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1,609,479</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accrued on certain existing restricted stock unit awards, the grant of which was previously reported, in connection with the issuer's quarterly dividend. Such dividend equivalent units will vest on the same schedule and subject to the same terms and conditions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Jeffrey Nedelman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2643"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3376</Characters>
  <CharactersWithSpaces>3925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