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77596.xml.htm"/>
      <w:bookmarkStart w:id="1" w:name="kswkform4_178587759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Plouffe Justin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AVENUE, NW</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Carlyle Group Inc.</w:t>
              </w:r>
            </w:hyperlink>
            <w:r>
              <w:rPr/>
              <w:t xml:space="preserve"> [ </w:t>
            </w:r>
            <w:r>
              <w:rPr>
                <w:rFonts w:ascii="Times;serif" w:hAnsi="Times;serif"/>
                <w:color w:val="0000FF"/>
                <w:sz w:val="24"/>
                <w:shd w:fill="FFFFFF" w:val="clear"/>
              </w:rPr>
              <w:t>CG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62,533</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46.02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848,692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that have been withheld by the Issuer in connection with the payment of taxes resulting from the vesting of previously reported restricted stock unit awards (including previously reported dividend equivalent units accrued thereon, as applicable). No shares of common stock were sold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Anne K. Frederick by Power of Attorney for Justin Plouffe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2041" TargetMode="External"/><Relationship Id="rId5" Type="http://schemas.openxmlformats.org/officeDocument/2006/relationships/hyperlink" Target="http://www.sec.gov/cgi-bin/browse-edgar?action=getcompany&amp;CIK=00015271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622</Words>
  <Characters>3399</Characters>
  <CharactersWithSpaces>3953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