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50927.xml.htm"/>
      <w:bookmarkStart w:id="1" w:name="kswkform4_17879509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Jenkins Mark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53"/>
        <w:gridCol w:w="459"/>
        <w:gridCol w:w="622"/>
        <w:gridCol w:w="1288"/>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1,415,478</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accrued on certain existing restricted stock unit awards, the grant of which was previously reported, in connection with the issuer's quarterly dividend. Such dividend equivalent units will vest on the same schedule and subject to the same terms and conditions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Mark Jenkins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0761"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3373</Characters>
  <CharactersWithSpaces>3923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