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Carlyle Group Management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12/19/2019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C/O THE CARLYLE GROUP,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PENNSYLVANIA AVE., N.W. SUITE</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 S</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r>
      <w:tr>
        <w:trPr>
          <w:trHeight w:val="242"/>
        </w:trPr>
        <w:tc>
          <w:tcPr>
            <w:tcW w:w="1900" w:type="dxa"/>
            <w:vAlign w:val="bottom"/>
          </w:tcPr>
          <w:p>
            <w:pPr>
              <w:ind w:left="40"/>
              <w:spacing w:after="0"/>
              <w:rPr>
                <w:sz w:val="20"/>
                <w:szCs w:val="20"/>
                <w:color w:val="auto"/>
              </w:rPr>
            </w:pPr>
            <w:r>
              <w:rPr>
                <w:rFonts w:ascii="Arial" w:cs="Arial" w:eastAsia="Arial" w:hAnsi="Arial"/>
                <w:sz w:val="18"/>
                <w:szCs w:val="18"/>
                <w:color w:val="0000FF"/>
              </w:rPr>
              <w:t>WASHINGTON DC</w:t>
            </w:r>
          </w:p>
        </w:tc>
        <w:tc>
          <w:tcPr>
            <w:tcW w:w="1220" w:type="dxa"/>
            <w:vAlign w:val="bottom"/>
          </w:tcPr>
          <w:p>
            <w:pPr>
              <w:jc w:val="right"/>
              <w:spacing w:after="0"/>
              <w:rPr>
                <w:sz w:val="20"/>
                <w:szCs w:val="20"/>
                <w:color w:val="auto"/>
              </w:rPr>
            </w:pPr>
            <w:r>
              <w:rPr>
                <w:rFonts w:ascii="Arial" w:cs="Arial" w:eastAsia="Arial" w:hAnsi="Arial"/>
                <w:sz w:val="18"/>
                <w:szCs w:val="18"/>
                <w:color w:val="0000FF"/>
              </w:rPr>
              <w:t>20004-2505</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KLDiscovery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KLD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2. Amount of Securities</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80" w:type="dxa"/>
            <w:vAlign w:val="bottom"/>
            <w:gridSpan w:val="4"/>
          </w:tcPr>
          <w:p>
            <w:pPr>
              <w:ind w:left="18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7"/>
              </w:rPr>
              <w:t>Form: Direct (D)</w:t>
            </w:r>
          </w:p>
        </w:tc>
        <w:tc>
          <w:tcPr>
            <w:tcW w:w="14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19,996,804</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5"/>
              </w:rPr>
              <w:t>See footnotes</w:t>
            </w:r>
            <w:r>
              <w:rPr>
                <w:rFonts w:ascii="Arial" w:cs="Arial" w:eastAsia="Arial" w:hAnsi="Arial"/>
                <w:sz w:val="22"/>
                <w:szCs w:val="22"/>
                <w:color w:val="008000"/>
                <w:w w:val="85"/>
                <w:vertAlign w:val="superscript"/>
              </w:rPr>
              <w:t>(2)(3)</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7"/>
          </w:tcPr>
          <w:p>
            <w:pPr>
              <w:ind w:left="1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gridSpan w:val="9"/>
          </w:tcPr>
          <w:p>
            <w:pPr>
              <w:ind w:lef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w w:val="98"/>
              </w:rPr>
              <w:t>2. Date Exercisable and</w:t>
            </w:r>
          </w:p>
        </w:tc>
        <w:tc>
          <w:tcPr>
            <w:tcW w:w="292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Title and Amount of Securities</w:t>
            </w: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6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Amount or</w:t>
            </w:r>
          </w:p>
        </w:tc>
        <w:tc>
          <w:tcPr>
            <w:tcW w:w="88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740" w:type="dxa"/>
            <w:vAlign w:val="bottom"/>
            <w:gridSpan w:val="4"/>
          </w:tcPr>
          <w:p>
            <w:pPr>
              <w:ind w:left="6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2"/>
              </w:rPr>
              <w:t>Contingent Shares</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980"/>
              <w:spacing w:after="0"/>
              <w:rPr>
                <w:sz w:val="20"/>
                <w:szCs w:val="20"/>
                <w:color w:val="auto"/>
              </w:rPr>
            </w:pPr>
            <w:r>
              <w:rPr>
                <w:rFonts w:ascii="Arial" w:cs="Arial" w:eastAsia="Arial" w:hAnsi="Arial"/>
                <w:sz w:val="11"/>
                <w:szCs w:val="11"/>
                <w:color w:val="008000"/>
              </w:rPr>
              <w:t>(4)</w:t>
            </w:r>
          </w:p>
        </w:tc>
        <w:tc>
          <w:tcPr>
            <w:tcW w:w="740" w:type="dxa"/>
            <w:vAlign w:val="bottom"/>
            <w:tcBorders>
              <w:bottom w:val="single" w:sz="8" w:color="2C2C2C"/>
            </w:tcBorders>
            <w:gridSpan w:val="4"/>
          </w:tcPr>
          <w:p>
            <w:pPr>
              <w:jc w:val="right"/>
              <w:ind w:right="280"/>
              <w:spacing w:after="0"/>
              <w:rPr>
                <w:sz w:val="20"/>
                <w:szCs w:val="20"/>
                <w:color w:val="auto"/>
              </w:rPr>
            </w:pPr>
            <w:r>
              <w:rPr>
                <w:rFonts w:ascii="Arial" w:cs="Arial" w:eastAsia="Arial" w:hAnsi="Arial"/>
                <w:sz w:val="11"/>
                <w:szCs w:val="11"/>
                <w:color w:val="008000"/>
              </w:rPr>
              <w:t>(4)</w:t>
            </w:r>
          </w:p>
        </w:tc>
        <w:tc>
          <w:tcPr>
            <w:tcW w:w="198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4"/>
              </w:rPr>
              <w:t>1,264,166</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310"/>
              <w:spacing w:after="0"/>
              <w:rPr>
                <w:sz w:val="20"/>
                <w:szCs w:val="20"/>
                <w:color w:val="auto"/>
              </w:rPr>
            </w:pPr>
            <w:r>
              <w:rPr>
                <w:rFonts w:ascii="Arial" w:cs="Arial" w:eastAsia="Arial" w:hAnsi="Arial"/>
                <w:sz w:val="11"/>
                <w:szCs w:val="11"/>
                <w:color w:val="008000"/>
              </w:rPr>
              <w:t>(4)</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Carlyle Group Management L.L.C.</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(First)</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C/O THE CARLYLE GROUP,</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40" w:type="dxa"/>
            <w:vAlign w:val="bottom"/>
            <w:gridSpan w:val="7"/>
          </w:tcPr>
          <w:p>
            <w:pPr>
              <w:spacing w:after="0"/>
              <w:rPr>
                <w:sz w:val="20"/>
                <w:szCs w:val="20"/>
                <w:color w:val="auto"/>
              </w:rPr>
            </w:pPr>
            <w:r>
              <w:rPr>
                <w:rFonts w:ascii="Arial" w:cs="Arial" w:eastAsia="Arial" w:hAnsi="Arial"/>
                <w:sz w:val="18"/>
                <w:szCs w:val="18"/>
                <w:color w:val="0000FF"/>
              </w:rPr>
              <w:t>1001 PENNSYLVANIA AVE., N.W. SUITE 220 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Arial" w:cs="Arial" w:eastAsia="Arial" w:hAnsi="Arial"/>
                <w:sz w:val="18"/>
                <w:szCs w:val="18"/>
                <w:color w:val="0000FF"/>
              </w:rPr>
              <w:t>WASHINGTON</w:t>
            </w:r>
          </w:p>
        </w:tc>
        <w:tc>
          <w:tcPr>
            <w:tcW w:w="1380" w:type="dxa"/>
            <w:vAlign w:val="bottom"/>
            <w:gridSpan w:val="3"/>
          </w:tcPr>
          <w:p>
            <w:pPr>
              <w:ind w:left="100"/>
              <w:spacing w:after="0"/>
              <w:rPr>
                <w:sz w:val="20"/>
                <w:szCs w:val="20"/>
                <w:color w:val="auto"/>
              </w:rPr>
            </w:pPr>
            <w:r>
              <w:rPr>
                <w:rFonts w:ascii="Arial" w:cs="Arial" w:eastAsia="Arial" w:hAnsi="Arial"/>
                <w:sz w:val="18"/>
                <w:szCs w:val="18"/>
                <w:color w:val="0000FF"/>
              </w:rPr>
              <w:t>DC</w:t>
            </w:r>
          </w:p>
        </w:tc>
        <w:tc>
          <w:tcPr>
            <w:tcW w:w="1500" w:type="dxa"/>
            <w:vAlign w:val="bottom"/>
            <w:gridSpan w:val="3"/>
          </w:tcPr>
          <w:p>
            <w:pPr>
              <w:ind w:left="180"/>
              <w:spacing w:after="0"/>
              <w:rPr>
                <w:sz w:val="20"/>
                <w:szCs w:val="20"/>
                <w:color w:val="auto"/>
              </w:rPr>
            </w:pPr>
            <w:r>
              <w:rPr>
                <w:rFonts w:ascii="Arial" w:cs="Arial" w:eastAsia="Arial" w:hAnsi="Arial"/>
                <w:sz w:val="18"/>
                <w:szCs w:val="18"/>
                <w:color w:val="0000FF"/>
              </w:rPr>
              <w:t>20004-2505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(State)</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Carlyle Group L.P.</w:t>
              </w:r>
            </w:hyperlink>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(First)</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C/O THE CARLYLE GROUP,</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40" w:type="dxa"/>
            <w:vAlign w:val="bottom"/>
            <w:gridSpan w:val="7"/>
          </w:tcPr>
          <w:p>
            <w:pPr>
              <w:spacing w:after="0"/>
              <w:rPr>
                <w:sz w:val="20"/>
                <w:szCs w:val="20"/>
                <w:color w:val="auto"/>
              </w:rPr>
            </w:pPr>
            <w:r>
              <w:rPr>
                <w:rFonts w:ascii="Arial" w:cs="Arial" w:eastAsia="Arial" w:hAnsi="Arial"/>
                <w:sz w:val="18"/>
                <w:szCs w:val="18"/>
                <w:color w:val="0000FF"/>
              </w:rPr>
              <w:t>1001 PENNSYLVANIA AVE., N.W. SUITE 220 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Arial" w:cs="Arial" w:eastAsia="Arial" w:hAnsi="Arial"/>
                <w:sz w:val="18"/>
                <w:szCs w:val="18"/>
                <w:color w:val="0000FF"/>
              </w:rPr>
              <w:t>WASHINGTON</w:t>
            </w:r>
          </w:p>
        </w:tc>
        <w:tc>
          <w:tcPr>
            <w:tcW w:w="1380" w:type="dxa"/>
            <w:vAlign w:val="bottom"/>
            <w:gridSpan w:val="3"/>
          </w:tcPr>
          <w:p>
            <w:pPr>
              <w:ind w:left="100"/>
              <w:spacing w:after="0"/>
              <w:rPr>
                <w:sz w:val="20"/>
                <w:szCs w:val="20"/>
                <w:color w:val="auto"/>
              </w:rPr>
            </w:pPr>
            <w:r>
              <w:rPr>
                <w:rFonts w:ascii="Arial" w:cs="Arial" w:eastAsia="Arial" w:hAnsi="Arial"/>
                <w:sz w:val="18"/>
                <w:szCs w:val="18"/>
                <w:color w:val="0000FF"/>
              </w:rPr>
              <w:t>DC</w:t>
            </w:r>
          </w:p>
        </w:tc>
        <w:tc>
          <w:tcPr>
            <w:tcW w:w="1500" w:type="dxa"/>
            <w:vAlign w:val="bottom"/>
            <w:gridSpan w:val="3"/>
          </w:tcPr>
          <w:p>
            <w:pPr>
              <w:ind w:left="180"/>
              <w:spacing w:after="0"/>
              <w:rPr>
                <w:sz w:val="20"/>
                <w:szCs w:val="20"/>
                <w:color w:val="auto"/>
              </w:rPr>
            </w:pPr>
            <w:r>
              <w:rPr>
                <w:rFonts w:ascii="Arial" w:cs="Arial" w:eastAsia="Arial" w:hAnsi="Arial"/>
                <w:sz w:val="18"/>
                <w:szCs w:val="18"/>
                <w:color w:val="0000FF"/>
              </w:rPr>
              <w:t>20004-2505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(State)</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Carlyle Holdings I GP Inc.</w:t>
              </w:r>
            </w:hyperlink>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(First)</w:t>
            </w: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THE CARLYLE GROUP,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1001 PENNSYLVANIA AVE., N.W. SUITE 220 S</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320" w:type="dxa"/>
            <w:vAlign w:val="bottom"/>
          </w:tcPr>
          <w:p>
            <w:pPr>
              <w:spacing w:after="0"/>
              <w:rPr>
                <w:sz w:val="20"/>
                <w:szCs w:val="20"/>
                <w:color w:val="auto"/>
              </w:rPr>
            </w:pPr>
            <w:r>
              <w:rPr>
                <w:rFonts w:ascii="Arial" w:cs="Arial" w:eastAsia="Arial" w:hAnsi="Arial"/>
                <w:sz w:val="18"/>
                <w:szCs w:val="18"/>
                <w:color w:val="0000FF"/>
              </w:rPr>
              <w:t>WASHINGTON</w:t>
            </w:r>
          </w:p>
        </w:tc>
        <w:tc>
          <w:tcPr>
            <w:tcW w:w="1080" w:type="dxa"/>
            <w:vAlign w:val="bottom"/>
          </w:tcPr>
          <w:p>
            <w:pPr>
              <w:ind w:left="140"/>
              <w:spacing w:after="0"/>
              <w:rPr>
                <w:sz w:val="20"/>
                <w:szCs w:val="20"/>
                <w:color w:val="auto"/>
              </w:rPr>
            </w:pPr>
            <w:r>
              <w:rPr>
                <w:rFonts w:ascii="Arial" w:cs="Arial" w:eastAsia="Arial" w:hAnsi="Arial"/>
                <w:sz w:val="18"/>
                <w:szCs w:val="18"/>
                <w:color w:val="0000FF"/>
              </w:rPr>
              <w:t>DC</w:t>
            </w:r>
          </w:p>
        </w:tc>
        <w:tc>
          <w:tcPr>
            <w:tcW w:w="1940" w:type="dxa"/>
            <w:vAlign w:val="bottom"/>
          </w:tcPr>
          <w:p>
            <w:pPr>
              <w:ind w:left="520"/>
              <w:spacing w:after="0"/>
              <w:rPr>
                <w:sz w:val="20"/>
                <w:szCs w:val="20"/>
                <w:color w:val="auto"/>
              </w:rPr>
            </w:pPr>
            <w:r>
              <w:rPr>
                <w:rFonts w:ascii="Arial" w:cs="Arial" w:eastAsia="Arial" w:hAnsi="Arial"/>
                <w:sz w:val="18"/>
                <w:szCs w:val="18"/>
                <w:color w:val="0000FF"/>
              </w:rPr>
              <w:t>20004-2505</w:t>
            </w:r>
          </w:p>
        </w:tc>
      </w:tr>
      <w:tr>
        <w:trPr>
          <w:trHeight w:val="158"/>
        </w:trPr>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-445135</wp:posOffset>
            </wp:positionV>
            <wp:extent cx="2924175" cy="776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7765415"/>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Carlyle Holdings I GP Sub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THE CARLYLE GROUP,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1001 PENNSYLVANIA AVE., N.W. SUITE 220 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WASHINGTON</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DC</w:t>
            </w:r>
          </w:p>
        </w:tc>
        <w:tc>
          <w:tcPr>
            <w:tcW w:w="1600" w:type="dxa"/>
            <w:vAlign w:val="bottom"/>
          </w:tcPr>
          <w:p>
            <w:pPr>
              <w:ind w:left="180"/>
              <w:spacing w:after="0"/>
              <w:rPr>
                <w:sz w:val="20"/>
                <w:szCs w:val="20"/>
                <w:color w:val="auto"/>
              </w:rPr>
            </w:pPr>
            <w:r>
              <w:rPr>
                <w:rFonts w:ascii="Arial" w:cs="Arial" w:eastAsia="Arial" w:hAnsi="Arial"/>
                <w:sz w:val="18"/>
                <w:szCs w:val="18"/>
                <w:color w:val="0000FF"/>
              </w:rPr>
              <w:t>20004-2505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Carlyle Holdings 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THE CARLYLE GROUP,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1001 PENNSYLVANIA AVE., N.W. SUITE 220 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WASHINGTON</w:t>
            </w:r>
          </w:p>
        </w:tc>
        <w:tc>
          <w:tcPr>
            <w:tcW w:w="1340" w:type="dxa"/>
            <w:vAlign w:val="bottom"/>
            <w:gridSpan w:val="2"/>
          </w:tcPr>
          <w:p>
            <w:pPr>
              <w:ind w:left="60"/>
              <w:spacing w:after="0"/>
              <w:rPr>
                <w:sz w:val="20"/>
                <w:szCs w:val="20"/>
                <w:color w:val="auto"/>
              </w:rPr>
            </w:pPr>
            <w:r>
              <w:rPr>
                <w:rFonts w:ascii="Arial" w:cs="Arial" w:eastAsia="Arial" w:hAnsi="Arial"/>
                <w:sz w:val="18"/>
                <w:szCs w:val="18"/>
                <w:color w:val="0000FF"/>
              </w:rPr>
              <w:t>DC</w:t>
            </w:r>
          </w:p>
        </w:tc>
        <w:tc>
          <w:tcPr>
            <w:tcW w:w="1600" w:type="dxa"/>
            <w:vAlign w:val="bottom"/>
          </w:tcPr>
          <w:p>
            <w:pPr>
              <w:ind w:left="180"/>
              <w:spacing w:after="0"/>
              <w:rPr>
                <w:sz w:val="20"/>
                <w:szCs w:val="20"/>
                <w:color w:val="auto"/>
              </w:rPr>
            </w:pPr>
            <w:r>
              <w:rPr>
                <w:rFonts w:ascii="Arial" w:cs="Arial" w:eastAsia="Arial" w:hAnsi="Arial"/>
                <w:sz w:val="18"/>
                <w:szCs w:val="18"/>
                <w:color w:val="0000FF"/>
              </w:rPr>
              <w:t>20004-2505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2"/>
              </w:rPr>
            </w:pPr>
            <w:hyperlink r:id="rId18">
              <w:r>
                <w:rPr>
                  <w:rFonts w:ascii="Arial" w:cs="Arial" w:eastAsia="Arial" w:hAnsi="Arial"/>
                  <w:sz w:val="22"/>
                  <w:szCs w:val="22"/>
                  <w:color w:val="0000EE"/>
                  <w:w w:val="92"/>
                </w:rPr>
                <w:t>TC Group, LLC</w:t>
              </w:r>
            </w:hyperlink>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C/O THE CARLYLE GROUP</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1001 PENNSYLVANIA AVE., N.W. SUITE 220 S</w:t>
            </w: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WASHINGTON</w:t>
            </w:r>
          </w:p>
        </w:tc>
        <w:tc>
          <w:tcPr>
            <w:tcW w:w="1340" w:type="dxa"/>
            <w:vAlign w:val="bottom"/>
            <w:gridSpan w:val="2"/>
          </w:tcPr>
          <w:p>
            <w:pPr>
              <w:ind w:left="60"/>
              <w:spacing w:after="0"/>
              <w:rPr>
                <w:sz w:val="20"/>
                <w:szCs w:val="20"/>
                <w:color w:val="auto"/>
              </w:rPr>
            </w:pPr>
            <w:r>
              <w:rPr>
                <w:rFonts w:ascii="Arial" w:cs="Arial" w:eastAsia="Arial" w:hAnsi="Arial"/>
                <w:sz w:val="18"/>
                <w:szCs w:val="18"/>
                <w:color w:val="0000FF"/>
              </w:rPr>
              <w:t>DC</w:t>
            </w:r>
          </w:p>
        </w:tc>
        <w:tc>
          <w:tcPr>
            <w:tcW w:w="1600" w:type="dxa"/>
            <w:vAlign w:val="bottom"/>
          </w:tcPr>
          <w:p>
            <w:pPr>
              <w:ind w:left="180"/>
              <w:spacing w:after="0"/>
              <w:rPr>
                <w:sz w:val="20"/>
                <w:szCs w:val="20"/>
                <w:color w:val="auto"/>
              </w:rPr>
            </w:pPr>
            <w:r>
              <w:rPr>
                <w:rFonts w:ascii="Arial" w:cs="Arial" w:eastAsia="Arial" w:hAnsi="Arial"/>
                <w:sz w:val="18"/>
                <w:szCs w:val="18"/>
                <w:color w:val="0000FF"/>
              </w:rPr>
              <w:t>20004-2505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TC Group Sub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C/O THE CARLYLE GROUP,</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1001 PENNSYLVANIA AVE., N.W. SUITE 220 S</w:t>
            </w: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WASHINGTON</w:t>
            </w:r>
          </w:p>
        </w:tc>
        <w:tc>
          <w:tcPr>
            <w:tcW w:w="1340" w:type="dxa"/>
            <w:vAlign w:val="bottom"/>
            <w:gridSpan w:val="2"/>
          </w:tcPr>
          <w:p>
            <w:pPr>
              <w:ind w:left="60"/>
              <w:spacing w:after="0"/>
              <w:rPr>
                <w:sz w:val="20"/>
                <w:szCs w:val="20"/>
                <w:color w:val="auto"/>
              </w:rPr>
            </w:pPr>
            <w:r>
              <w:rPr>
                <w:rFonts w:ascii="Arial" w:cs="Arial" w:eastAsia="Arial" w:hAnsi="Arial"/>
                <w:sz w:val="18"/>
                <w:szCs w:val="18"/>
                <w:color w:val="0000FF"/>
              </w:rPr>
              <w:t>DC</w:t>
            </w:r>
          </w:p>
        </w:tc>
        <w:tc>
          <w:tcPr>
            <w:tcW w:w="1600" w:type="dxa"/>
            <w:vAlign w:val="bottom"/>
          </w:tcPr>
          <w:p>
            <w:pPr>
              <w:ind w:left="180"/>
              <w:spacing w:after="0"/>
              <w:rPr>
                <w:sz w:val="20"/>
                <w:szCs w:val="20"/>
                <w:color w:val="auto"/>
              </w:rPr>
            </w:pPr>
            <w:r>
              <w:rPr>
                <w:rFonts w:ascii="Arial" w:cs="Arial" w:eastAsia="Arial" w:hAnsi="Arial"/>
                <w:sz w:val="18"/>
                <w:szCs w:val="18"/>
                <w:color w:val="0000FF"/>
              </w:rPr>
              <w:t>20004-2505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consummation of the business combination of Pivotal Acquisition Corp. and LD Topco, Inc., each share of the Company common stock was automatically converted into the right to receive a pro rata portion of Pivotal's Class A common stock (the "Common Stock").</w:t>
      </w:r>
    </w:p>
    <w:p>
      <w:pPr>
        <w:spacing w:after="0" w:line="30" w:lineRule="exact"/>
        <w:rPr>
          <w:rFonts w:ascii="Arial" w:cs="Arial" w:eastAsia="Arial" w:hAnsi="Arial"/>
          <w:sz w:val="14"/>
          <w:szCs w:val="14"/>
          <w:color w:val="008000"/>
        </w:rPr>
      </w:pPr>
    </w:p>
    <w:p>
      <w:pPr>
        <w:ind w:left="20" w:right="18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18,261,123 shares held of record by CEOF II DE I AIV, L.P. ("CEOF II DE"), 1,658,789 shares held of record by CEOF II Coinvestment (DE), L.P. ("CEOF II Coinvestment") and 76,892 shares held of record by CEOF II Coinvestment B (DE), L.P. ("CEOF II Coinvestment B," and together with CEOF II DE and CEOF II Coinvestment, the "CEOF Funds").</w:t>
      </w:r>
    </w:p>
    <w:p>
      <w:pPr>
        <w:jc w:val="both"/>
        <w:ind w:left="20" w:righ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Carlyle Group Management L.L.C. is the general partner of The Carlyle Group L.P., which is a publicly traded entity listed on NASDAQ. The Carlyle Group, L.P. is the sole shareholder of Carlyle Holdings I GP Inc., which is the sole member of Carlyle Holdings I GP Sub L.L.C., which is the general partner of Carlyle Holdings I L.P., which is the sole member of TC Group, L.L.C., which is the general partner of TC Group Sub L.P., which is the sole member of CEOF II DE GP AIV, L.L.C., which is the general partner CEOF II DE AIV GP, L.P., which is the general partner of each of the CEOF Funds. Accordingly, each of the foregoing entities may be deemed to share beneficial ownership of the securities held of record by the CEOF Funds.</w:t>
      </w:r>
    </w:p>
    <w:p>
      <w:pPr>
        <w:spacing w:after="0" w:line="8" w:lineRule="exact"/>
        <w:rPr>
          <w:rFonts w:ascii="Arial" w:cs="Arial" w:eastAsia="Arial" w:hAnsi="Arial"/>
          <w:sz w:val="12"/>
          <w:szCs w:val="12"/>
          <w:color w:val="008000"/>
        </w:rPr>
      </w:pPr>
    </w:p>
    <w:p>
      <w:pPr>
        <w:ind w:left="20" w:right="28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that may be issued to the Reporting Person if the closing sale price of Common Stock equals or exceeds $13.50 per share (as adjusted for stock splits, stock dividends, reorganizations, recapitalizations or other similar actions) for any consecutive 20 trading days during the five year period following December 19, 2019.</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1,154,439 shares held of record by CEOF II DE, 104,866 shares held of record by CEOF II Coinvestment and 4,861 shares held of record by CEOF II Coinvestment B.</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right="140"/>
        <w:spacing w:after="0" w:line="239" w:lineRule="auto"/>
        <w:rPr>
          <w:sz w:val="20"/>
          <w:szCs w:val="20"/>
          <w:color w:val="auto"/>
        </w:rPr>
      </w:pPr>
      <w:r>
        <w:rPr>
          <w:rFonts w:ascii="Arial" w:cs="Arial" w:eastAsia="Arial" w:hAnsi="Arial"/>
          <w:sz w:val="14"/>
          <w:szCs w:val="14"/>
          <w:color w:val="008000"/>
        </w:rPr>
        <w:t>Due to the limitations of the electronic filing system CEOF II DE GP AIV, L.L.C., CEOF II DE AIV GP, L.P., CEOF II DE I AIV, L.P., CEOF II Coinvestment (DE), L.P. and CEOF II Coinvestment B (DE), L.P. are filing a separate Form 4. Exhibit 24 - Power of Attorney.</w:t>
      </w:r>
    </w:p>
    <w:p>
      <w:pPr>
        <w:sectPr>
          <w:pgSz w:w="11900" w:h="16863" w:orient="portrait"/>
          <w:cols w:equalWidth="0" w:num="1">
            <w:col w:w="11320"/>
          </w:cols>
          <w:pgMar w:left="260" w:top="131" w:right="31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Carlyle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50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8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attorney-in-fact for Curtis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Buser,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9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The Carlyle Group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32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3253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Carlyle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50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12/30/2019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63" w:orient="portrait"/>
          <w:cols w:equalWidth="0" w:num="2">
            <w:col w:w="9000" w:space="140"/>
            <w:col w:w="2180"/>
          </w:cols>
          <w:pgMar w:left="260" w:top="131" w:right="31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6"/>
          <w:szCs w:val="16"/>
          <w:color w:val="0000FF"/>
        </w:rPr>
        <w:t>/s/ 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411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Carlyle Holdings I GP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6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116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Carlyle Holdings I GP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14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L.L.C. By: Carlyle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GP Inc., its sole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09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116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Carlyle Holdings I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3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7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782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for 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TC Group, L.L.C.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00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Holdings I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439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569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569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41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2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829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TC Group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72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1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 By: Carlyle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2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its sole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73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7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2782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for 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12/30/2019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12/30/2019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12/30/2019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12/30/2019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12/30/2019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53" w:lineRule="exact"/>
        <w:rPr>
          <w:sz w:val="20"/>
          <w:szCs w:val="20"/>
          <w:color w:val="auto"/>
        </w:rPr>
      </w:pPr>
    </w:p>
    <w:p>
      <w:pPr>
        <w:sectPr>
          <w:pgSz w:w="11900" w:h="16838" w:orient="portrait"/>
          <w:cols w:equalWidth="0" w:num="2">
            <w:col w:w="9060" w:space="60"/>
            <w:col w:w="1200"/>
          </w:cols>
          <w:pgMar w:left="280" w:top="131" w:right="1299" w:bottom="1440" w:gutter="0" w:footer="0" w:header="0"/>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type w:val="continuous"/>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The undersigned understands that, from time to time, the Carlyle Companies (defined below) are required to prepare, execute and file certain federal and state securities laws filings.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Jeremy Anderson, Joanne Cosiol, Anne Frederick, Kevin Gasque, Erica Herberg, Norma Kuntz, Joshua Lefkowitz, David Lobe, Karen McMonagle, Aditya Narain, Venu Rathi, Michelle Reing, Ryan Toteja and Catherine Ziobro, or any of them signing singly, and with full power of substitution, the undersigned's true and lawful attorney-in-fact to:</w:t>
      </w:r>
    </w:p>
    <w:p>
      <w:pPr>
        <w:spacing w:after="0" w:line="210" w:lineRule="exact"/>
        <w:rPr>
          <w:sz w:val="20"/>
          <w:szCs w:val="20"/>
          <w:color w:val="auto"/>
        </w:rPr>
      </w:pPr>
    </w:p>
    <w:p>
      <w:pPr>
        <w:ind w:left="1580" w:right="1779" w:hanging="729"/>
        <w:spacing w:after="0" w:line="238"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name of each Carlyle Company and on behalf of each Carlyle Company, and submit to the U.S. Securities and Exchange Commission (the "SEC") a Form ID, including amendments thereto, and any other documents necessary or appropriate to obtain codes and passwords enabling the undersigned to make electronic filings with the SEC of Forms D ("Form D") required to be filed in accordance with Rule 503 ("Rule 503") promulgated with respect to Sections 4(2), 4(6) and 3(b) of the Securities Act of 1933 (the "1933 Act") and reports required by Sections 13(d) and 16(a) of the Securities Exchange Act of 1934 (the "1934 Act") or any rule or regulation of the SEC;</w:t>
      </w:r>
    </w:p>
    <w:p>
      <w:pPr>
        <w:spacing w:after="0" w:line="207" w:lineRule="exact"/>
        <w:rPr>
          <w:rFonts w:ascii="Courier New" w:cs="Courier New" w:eastAsia="Courier New" w:hAnsi="Courier New"/>
          <w:sz w:val="18"/>
          <w:szCs w:val="18"/>
          <w:color w:val="auto"/>
        </w:rPr>
      </w:pPr>
    </w:p>
    <w:p>
      <w:pPr>
        <w:ind w:left="1580" w:right="1779" w:hanging="729"/>
        <w:spacing w:after="0" w:line="237"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each Carlyle Company, in the undersigned's capacity as a Chairman, authorized person, officer and/or director of each Carlyle Company, federal and state securities laws filings including without limitation Forms D pursuant to Rule 503 and Schedules 13D and 13G and Forms 3, 4, and 5 in accordance with Sections 13(d) and 16(a) of the 1934 Act and the rules thereunder;</w:t>
      </w:r>
    </w:p>
    <w:p>
      <w:pPr>
        <w:spacing w:after="0" w:line="211" w:lineRule="exact"/>
        <w:rPr>
          <w:rFonts w:ascii="Courier New" w:cs="Courier New" w:eastAsia="Courier New" w:hAnsi="Courier New"/>
          <w:sz w:val="18"/>
          <w:szCs w:val="18"/>
          <w:color w:val="auto"/>
        </w:rPr>
      </w:pPr>
    </w:p>
    <w:p>
      <w:pPr>
        <w:ind w:left="1580" w:right="1779" w:hanging="729"/>
        <w:spacing w:after="0" w:line="237"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each Carlyle Company which may be necessary or desirable to complete and execute any such federal and state securities laws filings including without limitation Forms D, Schedules 13D and 13G and Forms 3, 4, and 5, complete and execute any amendment or amendments thereto, and timely file such form with the SEC and the securities administrators of any state, the District of Columbia, the Commonwealth of Puerto Rico, Guam and the United States Virgin Islands or their designees and any stock exchange or similar authority; and</w:t>
      </w:r>
    </w:p>
    <w:p>
      <w:pPr>
        <w:spacing w:after="0" w:line="214" w:lineRule="exact"/>
        <w:rPr>
          <w:rFonts w:ascii="Courier New" w:cs="Courier New" w:eastAsia="Courier New" w:hAnsi="Courier New"/>
          <w:sz w:val="18"/>
          <w:szCs w:val="18"/>
          <w:color w:val="auto"/>
        </w:rPr>
      </w:pPr>
    </w:p>
    <w:p>
      <w:pPr>
        <w:ind w:left="1580" w:right="1999" w:hanging="729"/>
        <w:spacing w:after="0" w:line="237"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whether the same needs to be executed, taken or done by him in his capacity as a current or former member, partner, shareholder, director or officer of any company, partnership, corporation, organization, firm, branch or other entity connected with, related to or affiliated with any of the entities constituting the Carlyle Companies or entities that directly or indirectly hold interests in the Carlyle Companies.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any of the undersigned's responsibilities to comply with federal and state securities laws, including without limitation Rule 503 of the 1933 Act or Section 13 and Section 16 of the 1934 Act.</w:t>
      </w:r>
    </w:p>
    <w:p>
      <w:pPr>
        <w:spacing w:after="0" w:line="209"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This Power of Attorney and all authority conferred hereby shall not be terminated by operation of law, whether by the death or incapacity of the undersigned or by occurrence of any other event. Actions taken by an attorney-in-fact pursuant to this Power of Attorney shall be as valid as if any event described in the preceding sentence had not occurred, whether or not the</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attorney-in-fact shall have received notice of such event. Notwithstanding the foregoing, (i) in the event that an attorney-in-fact is no longer employed by The Carlyle Group Employee Co., L.L.C. or its affiliates, this Power of Attorney and all authority conferred hereby shall be immediately terminated with respect to such Attorney, and (ii) the undersigned may terminate or revoke this Power of Attorney at any time.</w:t>
      </w:r>
    </w:p>
    <w:p>
      <w:pPr>
        <w:spacing w:after="0" w:line="210"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For purposes hereof, the "Carlyle Companies" shall consist of: (i) Carlyle Group Management L.L.C., The Carlyle Group L.P., Carlyle Holdings I GP Inc., Carlyle Holdings I GP Sub L.L.C., Carlyle Holdings I L.P., TC Group, L.L.C., Carlyle Holdings II GP L.L.C., Carlyle Holdings II L.P., TC Group Investment Holdings, L.P., Carlyle Holdings III GP Management L.L.C., Carlyle Holdings III GP L.P., Carlyle Holdings III GP Sub L.L.C., Carlyle Holdings III L.P., TC Group Cayman L.P., TC Group Sub L.P., TC Group Investment Holdings Sub L.P., TC Group Cayman Investment Holdings Sub L.P., TC Group Cayman Sub L.P. and</w:t>
      </w:r>
    </w:p>
    <w:p>
      <w:pPr>
        <w:spacing w:after="0" w:line="1" w:lineRule="exact"/>
        <w:rPr>
          <w:sz w:val="20"/>
          <w:szCs w:val="20"/>
          <w:color w:val="auto"/>
        </w:rPr>
      </w:pPr>
    </w:p>
    <w:p>
      <w:pPr>
        <w:jc w:val="both"/>
        <w:ind w:right="1999" w:firstLine="8"/>
        <w:spacing w:after="0" w:line="236"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subsidiaries and affiliates of the foregoing in clause (i), including without limitation investment funds sponsored directly or indirectly by one or more of the Carlyle Companies.</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February, 2019.</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Curtis L. Buser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Curtis L. Buser</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4860" w:space="200"/>
        <w:col w:w="51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11" Type="http://schemas.openxmlformats.org/officeDocument/2006/relationships/hyperlink" Target="http://www.sec.gov/cgi-bin/browse-edgar?action=getcompany&amp;CIK=0001548624" TargetMode="External"/><Relationship Id="rId12" Type="http://schemas.openxmlformats.org/officeDocument/2006/relationships/hyperlink" Target="http://www.sec.gov/cgi-bin/browse-edgar?action=getcompany&amp;CIK=0001752474" TargetMode="External"/><Relationship Id="rId13" Type="http://schemas.openxmlformats.org/officeDocument/2006/relationships/hyperlink" Target="http://www.sec.gov/cgi-bin/browse-edgar?action=getcompany&amp;CIK=0001527166" TargetMode="External"/><Relationship Id="rId14" Type="http://schemas.openxmlformats.org/officeDocument/2006/relationships/hyperlink" Target="http://www.sec.gov/cgi-bin/browse-edgar?action=getcompany&amp;CIK=0001548626" TargetMode="External"/><Relationship Id="rId16" Type="http://schemas.openxmlformats.org/officeDocument/2006/relationships/hyperlink" Target="http://www.sec.gov/cgi-bin/browse-edgar?action=getcompany&amp;CIK=0001548627" TargetMode="External"/><Relationship Id="rId17" Type="http://schemas.openxmlformats.org/officeDocument/2006/relationships/hyperlink" Target="http://www.sec.gov/cgi-bin/browse-edgar?action=getcompany&amp;CIK=0001548628" TargetMode="External"/><Relationship Id="rId18" Type="http://schemas.openxmlformats.org/officeDocument/2006/relationships/hyperlink" Target="http://www.sec.gov/cgi-bin/browse-edgar?action=getcompany&amp;CIK=0000933790" TargetMode="External"/><Relationship Id="rId19" Type="http://schemas.openxmlformats.org/officeDocument/2006/relationships/hyperlink" Target="http://www.sec.gov/cgi-bin/browse-edgar?action=getcompany&amp;CIK=0001548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2019-12-31T06:23:27Z</dcterms:created>
  <dcterms:modified xsi:type="dcterms:W3CDTF">2019-12-31T06:23:27Z</dcterms:modified>
</cp:coreProperties>
</file>