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520573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05730" cy="762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52057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5730" cy="7620"/>
                    </a:xfrm>
                    <a:prstGeom prst="rect">
                      <a:avLst/>
                    </a:prstGeom>
                    <a:noFill/>
                  </pic:spPr>
                </pic:pic>
              </a:graphicData>
            </a:graphic>
          </wp:anchor>
        </w:drawing>
      </w:r>
    </w:p>
    <w:p>
      <w:pPr>
        <w:spacing w:after="0" w:line="196"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auto"/>
        <w:rPr>
          <w:sz w:val="20"/>
          <w:szCs w:val="20"/>
          <w:color w:val="auto"/>
        </w:rPr>
      </w:pPr>
      <w:r>
        <w:rPr>
          <w:rFonts w:ascii="Times New Roman" w:cs="Times New Roman" w:eastAsia="Times New Roman" w:hAnsi="Times New Roman"/>
          <w:sz w:val="19"/>
          <w:szCs w:val="19"/>
          <w:b w:val="1"/>
          <w:bCs w:val="1"/>
          <w:color w:val="auto"/>
        </w:rPr>
        <w:t>FORM 10-K</w:t>
      </w:r>
    </w:p>
    <w:p>
      <w:pPr>
        <w:spacing w:after="0" w:line="227" w:lineRule="auto"/>
        <w:rPr>
          <w:sz w:val="20"/>
          <w:szCs w:val="20"/>
          <w:color w:val="auto"/>
        </w:rPr>
      </w:pPr>
      <w:r>
        <w:rPr>
          <w:rFonts w:ascii="Times New Roman" w:cs="Times New Roman" w:eastAsia="Times New Roman" w:hAnsi="Times New Roman"/>
          <w:sz w:val="14"/>
          <w:szCs w:val="14"/>
          <w:b w:val="1"/>
          <w:bCs w:val="1"/>
          <w:color w:val="auto"/>
        </w:rPr>
        <w:t>(Mark One)</w:t>
      </w:r>
    </w:p>
    <w:p>
      <w:pPr>
        <w:ind w:left="500" w:hanging="498"/>
        <w:spacing w:after="0" w:line="233" w:lineRule="auto"/>
        <w:tabs>
          <w:tab w:leader="none" w:pos="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09" w:lineRule="auto"/>
        <w:rPr>
          <w:sz w:val="20"/>
          <w:szCs w:val="20"/>
          <w:color w:val="auto"/>
        </w:rPr>
      </w:pPr>
      <w:r>
        <w:rPr>
          <w:rFonts w:ascii="Times New Roman" w:cs="Times New Roman" w:eastAsia="Times New Roman" w:hAnsi="Times New Roman"/>
          <w:sz w:val="16"/>
          <w:szCs w:val="16"/>
          <w:b w:val="1"/>
          <w:bCs w:val="1"/>
          <w:color w:val="auto"/>
        </w:rPr>
        <w:t>OR</w:t>
      </w:r>
    </w:p>
    <w:p>
      <w:pPr>
        <w:ind w:left="500" w:hanging="498"/>
        <w:spacing w:after="0"/>
        <w:tabs>
          <w:tab w:leader="none" w:pos="50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78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86"/>
              </w:rPr>
              <w:t>TO</w:t>
            </w:r>
          </w:p>
        </w:tc>
      </w:tr>
      <w:tr>
        <w:trPr>
          <w:trHeight w:val="185"/>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 001-35538</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
        </w:trPr>
        <w:tc>
          <w:tcPr>
            <w:tcW w:w="2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-151765</wp:posOffset>
            </wp:positionV>
            <wp:extent cx="4953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30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1608455" cy="198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8455" cy="198120"/>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The Carlyle Group Inc.</w:t>
      </w:r>
    </w:p>
    <w:p>
      <w:pP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274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45-2832612</w:t>
            </w:r>
          </w:p>
        </w:tc>
      </w:tr>
      <w:tr>
        <w:trPr>
          <w:trHeight w:val="138"/>
        </w:trPr>
        <w:tc>
          <w:tcPr>
            <w:tcW w:w="264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740" w:type="dxa"/>
            <w:vAlign w:val="bottom"/>
          </w:tcPr>
          <w:p>
            <w:pPr>
              <w:ind w:left="1700"/>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2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740" w:type="dxa"/>
            <w:vAlign w:val="bottom"/>
          </w:tcPr>
          <w:p>
            <w:pPr>
              <w:ind w:left="1700"/>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bl>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1001 Pennsylvania Avenue, NW</w:t>
      </w:r>
    </w:p>
    <w:p>
      <w:pPr>
        <w:spacing w:after="0" w:line="214" w:lineRule="auto"/>
        <w:rPr>
          <w:sz w:val="20"/>
          <w:szCs w:val="20"/>
          <w:color w:val="auto"/>
        </w:rPr>
      </w:pPr>
      <w:r>
        <w:rPr>
          <w:rFonts w:ascii="Times New Roman" w:cs="Times New Roman" w:eastAsia="Times New Roman" w:hAnsi="Times New Roman"/>
          <w:sz w:val="14"/>
          <w:szCs w:val="14"/>
          <w:b w:val="1"/>
          <w:bCs w:val="1"/>
          <w:color w:val="auto"/>
        </w:rPr>
        <w:t>Washington, DC, 20004-2505</w:t>
      </w:r>
    </w:p>
    <w:p>
      <w:pPr>
        <w:spacing w:after="0" w:line="195" w:lineRule="auto"/>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212" w:lineRule="auto"/>
        <w:rPr>
          <w:sz w:val="20"/>
          <w:szCs w:val="20"/>
          <w:color w:val="auto"/>
        </w:rPr>
      </w:pPr>
      <w:r>
        <w:rPr>
          <w:rFonts w:ascii="Times New Roman" w:cs="Times New Roman" w:eastAsia="Times New Roman" w:hAnsi="Times New Roman"/>
          <w:sz w:val="14"/>
          <w:szCs w:val="14"/>
          <w:b w:val="1"/>
          <w:bCs w:val="1"/>
          <w:color w:val="auto"/>
        </w:rPr>
        <w:t>(202) 729-5626</w:t>
      </w:r>
    </w:p>
    <w:p>
      <w:pPr>
        <w:spacing w:after="0" w:line="195" w:lineRule="auto"/>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13" w:lineRule="auto"/>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93" w:lineRule="auto"/>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12" w:lineRule="auto"/>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5252720</wp:posOffset>
            </wp:positionH>
            <wp:positionV relativeFrom="paragraph">
              <wp:posOffset>-635</wp:posOffset>
            </wp:positionV>
            <wp:extent cx="7620" cy="251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251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58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7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76"/>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258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CG</w:t>
            </w:r>
          </w:p>
        </w:tc>
        <w:tc>
          <w:tcPr>
            <w:tcW w:w="2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Nasdaq Global Select Market</w:t>
            </w:r>
          </w:p>
        </w:tc>
      </w:tr>
      <w:tr>
        <w:trPr>
          <w:trHeight w:val="204"/>
        </w:trPr>
        <w:tc>
          <w:tcPr>
            <w:tcW w:w="4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4.625% Subordinated Notes due 2061 of Carlyle Finance L.L.C. CGABL</w:t>
            </w:r>
          </w:p>
        </w:tc>
        <w:tc>
          <w:tcPr>
            <w:tcW w:w="2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Nasdaq Global Select Market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636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Yes</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0"/>
        </w:trPr>
        <w:tc>
          <w:tcPr>
            <w:tcW w:w="63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tc>
        <w:tc>
          <w:tcPr>
            <w:tcW w:w="4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6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tc>
        <w:tc>
          <w:tcPr>
            <w:tcW w:w="400" w:type="dxa"/>
            <w:vAlign w:val="bottom"/>
          </w:tcPr>
          <w:p>
            <w:pPr>
              <w:ind w:left="120"/>
              <w:spacing w:after="0" w:line="123" w:lineRule="exact"/>
              <w:rPr>
                <w:sz w:val="20"/>
                <w:szCs w:val="20"/>
                <w:color w:val="auto"/>
              </w:rPr>
            </w:pPr>
            <w:r>
              <w:rPr>
                <w:rFonts w:ascii="Times New Roman" w:cs="Times New Roman" w:eastAsia="Times New Roman" w:hAnsi="Times New Roman"/>
                <w:sz w:val="13"/>
                <w:szCs w:val="13"/>
                <w:color w:val="auto"/>
              </w:rPr>
              <w:t>Yes</w:t>
            </w:r>
          </w:p>
        </w:tc>
        <w:tc>
          <w:tcPr>
            <w:tcW w:w="360" w:type="dxa"/>
            <w:vAlign w:val="bottom"/>
          </w:tcPr>
          <w:p>
            <w:pPr>
              <w:ind w:left="200"/>
              <w:spacing w:after="0" w:line="123" w:lineRule="exact"/>
              <w:rPr>
                <w:sz w:val="20"/>
                <w:szCs w:val="20"/>
                <w:color w:val="auto"/>
              </w:rPr>
            </w:pPr>
            <w:r>
              <w:rPr>
                <w:rFonts w:ascii="Times New Roman" w:cs="Times New Roman" w:eastAsia="Times New Roman" w:hAnsi="Times New Roman"/>
                <w:sz w:val="13"/>
                <w:szCs w:val="13"/>
                <w:color w:val="auto"/>
                <w:w w:val="87"/>
              </w:rPr>
              <w:t>No</w:t>
            </w:r>
          </w:p>
        </w:tc>
        <w:tc>
          <w:tcPr>
            <w:tcW w:w="0" w:type="dxa"/>
            <w:vAlign w:val="bottom"/>
          </w:tcPr>
          <w:p>
            <w:pPr>
              <w:spacing w:after="0"/>
              <w:rPr>
                <w:sz w:val="1"/>
                <w:szCs w:val="1"/>
                <w:color w:val="auto"/>
              </w:rPr>
            </w:pPr>
          </w:p>
        </w:tc>
      </w:tr>
    </w:tbl>
    <w:p>
      <w:pPr>
        <w:ind w:right="1340"/>
        <w:spacing w:after="0" w:line="192"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94" w:lineRule="auto"/>
        <w:tabs>
          <w:tab w:leader="none" w:pos="1900" w:val="left"/>
          <w:tab w:leader="none" w:pos="2380" w:val="left"/>
        </w:tabs>
        <w:rPr>
          <w:sz w:val="20"/>
          <w:szCs w:val="20"/>
          <w:color w:val="auto"/>
        </w:rPr>
      </w:pPr>
      <w:r>
        <w:rPr>
          <w:rFonts w:ascii="Times New Roman" w:cs="Times New Roman" w:eastAsia="Times New Roman" w:hAnsi="Times New Roman"/>
          <w:sz w:val="13"/>
          <w:szCs w:val="13"/>
          <w:color w:val="auto"/>
        </w:rPr>
        <w:t>requirements for the past 90 days.</w:t>
        <w:tab/>
        <w:t>Yes</w:t>
      </w:r>
      <w:r>
        <w:rPr>
          <w:sz w:val="20"/>
          <w:szCs w:val="20"/>
          <w:color w:val="auto"/>
        </w:rPr>
        <w:tab/>
      </w:r>
      <w:r>
        <w:rPr>
          <w:rFonts w:ascii="Times New Roman" w:cs="Times New Roman" w:eastAsia="Times New Roman" w:hAnsi="Times New Roman"/>
          <w:sz w:val="13"/>
          <w:szCs w:val="13"/>
          <w:color w:val="auto"/>
        </w:rPr>
        <w:t>No</w:t>
      </w:r>
    </w:p>
    <w:p>
      <w:pPr>
        <w:ind w:right="1440"/>
        <w:spacing w:after="0" w:line="192"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w:t>
      </w:r>
    </w:p>
    <w:p>
      <w:pPr>
        <w:spacing w:after="0" w:line="194" w:lineRule="auto"/>
        <w:tabs>
          <w:tab w:leader="none" w:pos="400" w:val="left"/>
          <w:tab w:leader="none" w:pos="880" w:val="left"/>
        </w:tabs>
        <w:rPr>
          <w:sz w:val="20"/>
          <w:szCs w:val="20"/>
          <w:color w:val="auto"/>
        </w:rPr>
      </w:pPr>
      <w:r>
        <w:rPr>
          <w:rFonts w:ascii="Times New Roman" w:cs="Times New Roman" w:eastAsia="Times New Roman" w:hAnsi="Times New Roman"/>
          <w:sz w:val="13"/>
          <w:szCs w:val="13"/>
          <w:color w:val="auto"/>
        </w:rPr>
        <w:t>files).</w:t>
        <w:tab/>
        <w:t>Yes</w:t>
      </w:r>
      <w:r>
        <w:rPr>
          <w:sz w:val="20"/>
          <w:szCs w:val="20"/>
          <w:color w:val="auto"/>
        </w:rPr>
        <w:tab/>
      </w:r>
      <w:r>
        <w:rPr>
          <w:rFonts w:ascii="Times New Roman" w:cs="Times New Roman" w:eastAsia="Times New Roman" w:hAnsi="Times New Roman"/>
          <w:sz w:val="13"/>
          <w:szCs w:val="13"/>
          <w:color w:val="auto"/>
        </w:rPr>
        <w:t>No</w:t>
      </w:r>
    </w:p>
    <w:p>
      <w:pPr>
        <w:ind w:right="1300"/>
        <w:spacing w:after="0" w:line="19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4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Accelerated filer</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4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2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1280"/>
        <w:spacing w:after="0" w:line="194"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4"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w:t>
      </w:r>
    </w:p>
    <w:p>
      <w:pPr>
        <w:ind w:right="1060"/>
        <w:spacing w:after="0" w:line="120" w:lineRule="exact"/>
        <w:rPr>
          <w:sz w:val="20"/>
          <w:szCs w:val="20"/>
          <w:color w:val="auto"/>
        </w:rPr>
      </w:pPr>
      <w:r>
        <w:rPr>
          <w:rFonts w:ascii="Times New Roman" w:cs="Times New Roman" w:eastAsia="Times New Roman" w:hAnsi="Times New Roman"/>
          <w:sz w:val="13"/>
          <w:szCs w:val="13"/>
          <w:color w:val="auto"/>
        </w:rPr>
        <w:t xml:space="preserve">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400"/>
        <w:spacing w:after="0" w:line="12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60"/>
        <w:spacing w:after="0" w:line="13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No</w:t>
      </w:r>
    </w:p>
    <w:p>
      <w:pPr>
        <w:spacing w:after="0" w:line="195" w:lineRule="auto"/>
        <w:rPr>
          <w:sz w:val="20"/>
          <w:szCs w:val="20"/>
          <w:color w:val="auto"/>
        </w:rPr>
      </w:pPr>
      <w:r>
        <w:rPr>
          <w:rFonts w:ascii="Times New Roman" w:cs="Times New Roman" w:eastAsia="Times New Roman" w:hAnsi="Times New Roman"/>
          <w:sz w:val="13"/>
          <w:szCs w:val="13"/>
          <w:color w:val="auto"/>
        </w:rPr>
        <w:t>The aggregate market value of the common stock of the Registrant held by non-affiliates as of June 30, 2024 was $10,349,383,795.</w:t>
      </w:r>
    </w:p>
    <w:p>
      <w:pPr>
        <w:spacing w:after="0" w:line="192" w:lineRule="auto"/>
        <w:rPr>
          <w:sz w:val="20"/>
          <w:szCs w:val="20"/>
          <w:color w:val="auto"/>
        </w:rPr>
      </w:pPr>
      <w:r>
        <w:rPr>
          <w:rFonts w:ascii="Times New Roman" w:cs="Times New Roman" w:eastAsia="Times New Roman" w:hAnsi="Times New Roman"/>
          <w:sz w:val="13"/>
          <w:szCs w:val="13"/>
          <w:color w:val="auto"/>
        </w:rPr>
        <w:t>The number of the Registrant’s shares of common stock outstanding as of February 20, 2025 was 361,202,883.</w:t>
      </w:r>
    </w:p>
    <w:p>
      <w:pPr>
        <w:spacing w:after="0" w:line="193" w:lineRule="auto"/>
        <w:rPr>
          <w:sz w:val="20"/>
          <w:szCs w:val="20"/>
          <w:color w:val="auto"/>
        </w:rPr>
      </w:pPr>
      <w:r>
        <w:rPr>
          <w:rFonts w:ascii="Times New Roman" w:cs="Times New Roman" w:eastAsia="Times New Roman" w:hAnsi="Times New Roman"/>
          <w:sz w:val="13"/>
          <w:szCs w:val="13"/>
          <w:color w:val="auto"/>
        </w:rPr>
        <w:t>DOCUMENTS INCORPORATED BY REFERENCE</w:t>
      </w:r>
    </w:p>
    <w:p>
      <w:pPr>
        <w:ind w:right="1140"/>
        <w:spacing w:after="0" w:line="21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the shareholders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52057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05730"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52057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0573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TABLE OF CONTENTS</w:t>
      </w:r>
    </w:p>
    <w:p>
      <w:pPr>
        <w:sectPr>
          <w:pgSz w:w="11900" w:h="16840" w:orient="portrait"/>
          <w:cols w:equalWidth="0" w:num="1">
            <w:col w:w="9400"/>
          </w:cols>
          <w:pgMar w:left="1060" w:top="61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44"/>
        </w:trPr>
        <w:tc>
          <w:tcPr>
            <w:tcW w:w="540" w:type="dxa"/>
            <w:vAlign w:val="bottom"/>
            <w:vMerge w:val="restart"/>
          </w:tcPr>
          <w:p>
            <w:pPr>
              <w:spacing w:after="0"/>
              <w:rPr>
                <w:rFonts w:ascii="Times New Roman" w:cs="Times New Roman" w:eastAsia="Times New Roman" w:hAnsi="Times New Roman"/>
                <w:sz w:val="16"/>
                <w:szCs w:val="16"/>
                <w:color w:val="0000FF"/>
                <w:w w:val="95"/>
              </w:rPr>
            </w:pPr>
            <w:hyperlink w:anchor="page6">
              <w:r>
                <w:rPr>
                  <w:rFonts w:ascii="Times New Roman" w:cs="Times New Roman" w:eastAsia="Times New Roman" w:hAnsi="Times New Roman"/>
                  <w:sz w:val="16"/>
                  <w:szCs w:val="16"/>
                  <w:color w:val="0000FF"/>
                  <w:w w:val="95"/>
                </w:rPr>
                <w:t>PART I.</w:t>
              </w:r>
            </w:hyperlink>
          </w:p>
        </w:tc>
        <w:tc>
          <w:tcPr>
            <w:tcW w:w="560" w:type="dxa"/>
            <w:vAlign w:val="bottom"/>
            <w:gridSpan w:val="3"/>
            <w:vMerge w:val="restart"/>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000FF"/>
            </w:tcBorders>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w:t>
            </w:r>
          </w:p>
        </w:tc>
        <w:tc>
          <w:tcPr>
            <w:tcW w:w="740" w:type="dxa"/>
            <w:vAlign w:val="bottom"/>
            <w:tcBorders>
              <w:bottom w:val="single" w:sz="8" w:color="0000FF"/>
            </w:tcBorders>
          </w:tcPr>
          <w:p>
            <w:pPr>
              <w:spacing w:after="0"/>
              <w:rPr>
                <w:rFonts w:ascii="Times New Roman" w:cs="Times New Roman" w:eastAsia="Times New Roman" w:hAnsi="Times New Roman"/>
                <w:sz w:val="16"/>
                <w:szCs w:val="16"/>
                <w:color w:val="0000FF"/>
                <w:w w:val="95"/>
              </w:rPr>
            </w:pPr>
            <w:hyperlink w:anchor="page6">
              <w:r>
                <w:rPr>
                  <w:rFonts w:ascii="Times New Roman" w:cs="Times New Roman" w:eastAsia="Times New Roman" w:hAnsi="Times New Roman"/>
                  <w:sz w:val="16"/>
                  <w:szCs w:val="16"/>
                  <w:color w:val="0000FF"/>
                  <w:w w:val="95"/>
                </w:rPr>
                <w:t>BUSINESS</w:t>
              </w:r>
            </w:hyperlink>
          </w:p>
        </w:tc>
        <w:tc>
          <w:tcPr>
            <w:tcW w:w="5660" w:type="dxa"/>
            <w:vAlign w:val="bottom"/>
            <w:gridSpan w:val="26"/>
          </w:tcPr>
          <w:p>
            <w:pPr>
              <w:spacing w:after="0"/>
              <w:rPr>
                <w:sz w:val="24"/>
                <w:szCs w:val="24"/>
                <w:color w:val="auto"/>
              </w:rPr>
            </w:pPr>
          </w:p>
        </w:tc>
        <w:tc>
          <w:tcPr>
            <w:tcW w:w="80" w:type="dxa"/>
            <w:vAlign w:val="bottom"/>
            <w:tcBorders>
              <w:bottom w:val="single" w:sz="8" w:color="0000FF"/>
            </w:tcBorders>
          </w:tcPr>
          <w:p>
            <w:pPr>
              <w:spacing w:after="0"/>
              <w:rPr>
                <w:rFonts w:ascii="Times New Roman" w:cs="Times New Roman" w:eastAsia="Times New Roman" w:hAnsi="Times New Roman"/>
                <w:sz w:val="16"/>
                <w:szCs w:val="16"/>
                <w:color w:val="0000FF"/>
                <w:w w:val="74"/>
              </w:rPr>
            </w:pPr>
            <w:hyperlink w:anchor="page6">
              <w:r>
                <w:rPr>
                  <w:rFonts w:ascii="Times New Roman" w:cs="Times New Roman" w:eastAsia="Times New Roman" w:hAnsi="Times New Roman"/>
                  <w:sz w:val="16"/>
                  <w:szCs w:val="16"/>
                  <w:color w:val="0000FF"/>
                  <w:w w:val="74"/>
                </w:rPr>
                <w:t>7</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1A.</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25">
              <w:r>
                <w:rPr>
                  <w:rFonts w:ascii="Times New Roman" w:cs="Times New Roman" w:eastAsia="Times New Roman" w:hAnsi="Times New Roman"/>
                  <w:sz w:val="16"/>
                  <w:szCs w:val="16"/>
                  <w:color w:val="0000FF"/>
                </w:rPr>
                <w:t>RISK FACTORS</w:t>
              </w:r>
            </w:hyperlink>
          </w:p>
        </w:tc>
        <w:tc>
          <w:tcPr>
            <w:tcW w:w="160" w:type="dxa"/>
            <w:vAlign w:val="bottom"/>
            <w:gridSpan w:val="2"/>
          </w:tcPr>
          <w:p>
            <w:pPr>
              <w:spacing w:after="0"/>
              <w:rPr>
                <w:rFonts w:ascii="Times New Roman" w:cs="Times New Roman" w:eastAsia="Times New Roman" w:hAnsi="Times New Roman"/>
                <w:sz w:val="16"/>
                <w:szCs w:val="16"/>
                <w:color w:val="0000FF"/>
                <w:w w:val="87"/>
              </w:rPr>
            </w:pPr>
            <w:hyperlink w:anchor="page25">
              <w:r>
                <w:rPr>
                  <w:rFonts w:ascii="Times New Roman" w:cs="Times New Roman" w:eastAsia="Times New Roman" w:hAnsi="Times New Roman"/>
                  <w:sz w:val="16"/>
                  <w:szCs w:val="16"/>
                  <w:color w:val="0000FF"/>
                  <w:w w:val="87"/>
                </w:rPr>
                <w:t>30</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1B.</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78">
              <w:r>
                <w:rPr>
                  <w:rFonts w:ascii="Times New Roman" w:cs="Times New Roman" w:eastAsia="Times New Roman" w:hAnsi="Times New Roman"/>
                  <w:sz w:val="16"/>
                  <w:szCs w:val="16"/>
                  <w:color w:val="0000FF"/>
                </w:rPr>
                <w:t>UNRESOLVED STAFF COMMENTS</w:t>
              </w:r>
            </w:hyperlink>
          </w:p>
        </w:tc>
        <w:tc>
          <w:tcPr>
            <w:tcW w:w="160" w:type="dxa"/>
            <w:vAlign w:val="bottom"/>
            <w:gridSpan w:val="2"/>
          </w:tcPr>
          <w:p>
            <w:pPr>
              <w:spacing w:after="0"/>
              <w:rPr>
                <w:rFonts w:ascii="Times New Roman" w:cs="Times New Roman" w:eastAsia="Times New Roman" w:hAnsi="Times New Roman"/>
                <w:sz w:val="16"/>
                <w:szCs w:val="16"/>
                <w:color w:val="0000FF"/>
                <w:w w:val="87"/>
              </w:rPr>
            </w:pPr>
            <w:hyperlink w:anchor="page78">
              <w:r>
                <w:rPr>
                  <w:rFonts w:ascii="Times New Roman" w:cs="Times New Roman" w:eastAsia="Times New Roman" w:hAnsi="Times New Roman"/>
                  <w:sz w:val="16"/>
                  <w:szCs w:val="16"/>
                  <w:color w:val="0000FF"/>
                  <w:w w:val="87"/>
                </w:rPr>
                <w:t>95</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1C.</w:t>
            </w:r>
          </w:p>
        </w:tc>
        <w:tc>
          <w:tcPr>
            <w:tcW w:w="12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6"/>
                <w:szCs w:val="16"/>
                <w:color w:val="0000FF"/>
                <w:w w:val="95"/>
              </w:rPr>
            </w:pPr>
            <w:hyperlink w:anchor="page78">
              <w:r>
                <w:rPr>
                  <w:rFonts w:ascii="Times New Roman" w:cs="Times New Roman" w:eastAsia="Times New Roman" w:hAnsi="Times New Roman"/>
                  <w:sz w:val="16"/>
                  <w:szCs w:val="16"/>
                  <w:color w:val="0000FF"/>
                  <w:w w:val="95"/>
                </w:rPr>
                <w:t>CYBERSECURITY</w:t>
              </w:r>
            </w:hyperlink>
          </w:p>
        </w:tc>
        <w:tc>
          <w:tcPr>
            <w:tcW w:w="1180" w:type="dxa"/>
            <w:vAlign w:val="bottom"/>
            <w:tcBorders>
              <w:top w:val="single" w:sz="8" w:color="0000FF"/>
            </w:tcBorders>
            <w:gridSpan w:val="8"/>
          </w:tcPr>
          <w:p>
            <w:pPr>
              <w:spacing w:after="0"/>
              <w:rPr>
                <w:sz w:val="24"/>
                <w:szCs w:val="24"/>
                <w:color w:val="auto"/>
              </w:rPr>
            </w:pPr>
          </w:p>
        </w:tc>
        <w:tc>
          <w:tcPr>
            <w:tcW w:w="3940" w:type="dxa"/>
            <w:vAlign w:val="bottom"/>
            <w:gridSpan w:val="13"/>
          </w:tcPr>
          <w:p>
            <w:pPr>
              <w:spacing w:after="0"/>
              <w:rPr>
                <w:sz w:val="24"/>
                <w:szCs w:val="24"/>
                <w:color w:val="auto"/>
              </w:rPr>
            </w:pPr>
          </w:p>
        </w:tc>
        <w:tc>
          <w:tcPr>
            <w:tcW w:w="16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87"/>
              </w:rPr>
            </w:pPr>
            <w:hyperlink w:anchor="page78">
              <w:r>
                <w:rPr>
                  <w:rFonts w:ascii="Times New Roman" w:cs="Times New Roman" w:eastAsia="Times New Roman" w:hAnsi="Times New Roman"/>
                  <w:sz w:val="16"/>
                  <w:szCs w:val="16"/>
                  <w:color w:val="0000FF"/>
                  <w:w w:val="87"/>
                </w:rPr>
                <w:t>95</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80">
              <w:r>
                <w:rPr>
                  <w:rFonts w:ascii="Times New Roman" w:cs="Times New Roman" w:eastAsia="Times New Roman" w:hAnsi="Times New Roman"/>
                  <w:sz w:val="16"/>
                  <w:szCs w:val="16"/>
                  <w:color w:val="0000FF"/>
                  <w:w w:val="95"/>
                </w:rPr>
                <w:t>PROPERTIES</w:t>
              </w:r>
            </w:hyperlink>
          </w:p>
        </w:tc>
        <w:tc>
          <w:tcPr>
            <w:tcW w:w="5480" w:type="dxa"/>
            <w:vAlign w:val="bottom"/>
            <w:gridSpan w:val="24"/>
          </w:tcPr>
          <w:p>
            <w:pPr>
              <w:spacing w:after="0"/>
              <w:rPr>
                <w:sz w:val="24"/>
                <w:szCs w:val="24"/>
                <w:color w:val="auto"/>
              </w:rPr>
            </w:pPr>
          </w:p>
        </w:tc>
        <w:tc>
          <w:tcPr>
            <w:tcW w:w="16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87"/>
              </w:rPr>
            </w:pPr>
            <w:hyperlink w:anchor="page80">
              <w:r>
                <w:rPr>
                  <w:rFonts w:ascii="Times New Roman" w:cs="Times New Roman" w:eastAsia="Times New Roman" w:hAnsi="Times New Roman"/>
                  <w:sz w:val="16"/>
                  <w:szCs w:val="16"/>
                  <w:color w:val="0000FF"/>
                  <w:w w:val="87"/>
                </w:rPr>
                <w:t>97</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3.</w:t>
            </w:r>
          </w:p>
        </w:tc>
        <w:tc>
          <w:tcPr>
            <w:tcW w:w="16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5"/>
              </w:rPr>
            </w:pPr>
            <w:hyperlink w:anchor="page80">
              <w:r>
                <w:rPr>
                  <w:rFonts w:ascii="Times New Roman" w:cs="Times New Roman" w:eastAsia="Times New Roman" w:hAnsi="Times New Roman"/>
                  <w:sz w:val="16"/>
                  <w:szCs w:val="16"/>
                  <w:color w:val="0000FF"/>
                  <w:w w:val="95"/>
                </w:rPr>
                <w:t>LEGAL PROCEEDINGS</w:t>
              </w:r>
            </w:hyperlink>
          </w:p>
        </w:tc>
        <w:tc>
          <w:tcPr>
            <w:tcW w:w="4780" w:type="dxa"/>
            <w:vAlign w:val="bottom"/>
            <w:gridSpan w:val="20"/>
          </w:tcPr>
          <w:p>
            <w:pPr>
              <w:spacing w:after="0"/>
              <w:rPr>
                <w:sz w:val="24"/>
                <w:szCs w:val="24"/>
                <w:color w:val="auto"/>
              </w:rPr>
            </w:pPr>
          </w:p>
        </w:tc>
        <w:tc>
          <w:tcPr>
            <w:tcW w:w="16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87"/>
              </w:rPr>
            </w:pPr>
            <w:hyperlink w:anchor="page80">
              <w:r>
                <w:rPr>
                  <w:rFonts w:ascii="Times New Roman" w:cs="Times New Roman" w:eastAsia="Times New Roman" w:hAnsi="Times New Roman"/>
                  <w:sz w:val="16"/>
                  <w:szCs w:val="16"/>
                  <w:color w:val="0000FF"/>
                  <w:w w:val="87"/>
                </w:rPr>
                <w:t>97</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4.</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MINE SAFETY DISCLOSURES</w:t>
              </w:r>
            </w:hyperlink>
          </w:p>
        </w:tc>
        <w:tc>
          <w:tcPr>
            <w:tcW w:w="160" w:type="dxa"/>
            <w:vAlign w:val="bottom"/>
            <w:gridSpan w:val="2"/>
          </w:tcPr>
          <w:p>
            <w:pPr>
              <w:spacing w:after="0"/>
              <w:rPr>
                <w:rFonts w:ascii="Times New Roman" w:cs="Times New Roman" w:eastAsia="Times New Roman" w:hAnsi="Times New Roman"/>
                <w:sz w:val="16"/>
                <w:szCs w:val="16"/>
                <w:color w:val="0000FF"/>
                <w:w w:val="87"/>
              </w:rPr>
            </w:pPr>
            <w:hyperlink w:anchor="page80">
              <w:r>
                <w:rPr>
                  <w:rFonts w:ascii="Times New Roman" w:cs="Times New Roman" w:eastAsia="Times New Roman" w:hAnsi="Times New Roman"/>
                  <w:sz w:val="16"/>
                  <w:szCs w:val="16"/>
                  <w:color w:val="0000FF"/>
                  <w:w w:val="87"/>
                </w:rPr>
                <w:t>97</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PART II.</w:t>
              </w:r>
            </w:hyperlink>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520" w:type="dxa"/>
            <w:vAlign w:val="bottom"/>
            <w:gridSpan w:val="2"/>
          </w:tcPr>
          <w:p>
            <w:pPr>
              <w:spacing w:after="0"/>
              <w:rPr>
                <w:sz w:val="24"/>
                <w:szCs w:val="24"/>
                <w:color w:val="auto"/>
              </w:rPr>
            </w:pP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80">
              <w:r>
                <w:rPr>
                  <w:rFonts w:ascii="Times New Roman" w:cs="Times New Roman" w:eastAsia="Times New Roman" w:hAnsi="Times New Roman"/>
                  <w:sz w:val="16"/>
                  <w:szCs w:val="16"/>
                  <w:color w:val="0000FF"/>
                </w:rPr>
                <w:t>MARKET FOR REGISTRANT’S COMMON EQUITY, RELATED STOCKHOLDER</w:t>
              </w:r>
            </w:hyperlink>
          </w:p>
        </w:tc>
        <w:tc>
          <w:tcPr>
            <w:tcW w:w="160" w:type="dxa"/>
            <w:vAlign w:val="bottom"/>
            <w:gridSpan w:val="2"/>
          </w:tcPr>
          <w:p>
            <w:pPr>
              <w:spacing w:after="0"/>
              <w:rPr>
                <w:rFonts w:ascii="Times New Roman" w:cs="Times New Roman" w:eastAsia="Times New Roman" w:hAnsi="Times New Roman"/>
                <w:sz w:val="16"/>
                <w:szCs w:val="16"/>
                <w:color w:val="0000FF"/>
                <w:w w:val="87"/>
              </w:rPr>
            </w:pPr>
            <w:hyperlink w:anchor="page80">
              <w:r>
                <w:rPr>
                  <w:rFonts w:ascii="Times New Roman" w:cs="Times New Roman" w:eastAsia="Times New Roman" w:hAnsi="Times New Roman"/>
                  <w:sz w:val="16"/>
                  <w:szCs w:val="16"/>
                  <w:color w:val="0000FF"/>
                  <w:w w:val="87"/>
                </w:rPr>
                <w:t>97</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0" w:type="dxa"/>
            <w:vAlign w:val="bottom"/>
            <w:tcBorders>
              <w:top w:val="single" w:sz="8" w:color="0000FF"/>
              <w:bottom w:val="single" w:sz="8" w:color="0000FF"/>
            </w:tcBorders>
            <w:gridSpan w:val="19"/>
          </w:tcPr>
          <w:p>
            <w:pPr>
              <w:spacing w:after="0" w:line="136" w:lineRule="exact"/>
              <w:rPr>
                <w:rFonts w:ascii="Times New Roman" w:cs="Times New Roman" w:eastAsia="Times New Roman" w:hAnsi="Times New Roman"/>
                <w:sz w:val="14"/>
                <w:szCs w:val="14"/>
                <w:color w:val="0000FF"/>
              </w:rPr>
            </w:pPr>
            <w:hyperlink w:anchor="page80">
              <w:r>
                <w:rPr>
                  <w:rFonts w:ascii="Times New Roman" w:cs="Times New Roman" w:eastAsia="Times New Roman" w:hAnsi="Times New Roman"/>
                  <w:sz w:val="14"/>
                  <w:szCs w:val="14"/>
                  <w:color w:val="0000FF"/>
                </w:rPr>
                <w:t>MATTERS AND ISSUER PURCHASES OF EQUITY SECURITIES</w:t>
              </w:r>
            </w:hyperlink>
          </w:p>
        </w:tc>
        <w:tc>
          <w:tcPr>
            <w:tcW w:w="112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6.</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82">
              <w:r>
                <w:rPr>
                  <w:rFonts w:ascii="Times New Roman" w:cs="Times New Roman" w:eastAsia="Times New Roman" w:hAnsi="Times New Roman"/>
                  <w:sz w:val="16"/>
                  <w:szCs w:val="16"/>
                  <w:color w:val="0000FF"/>
                </w:rPr>
                <w:t>[RESERVED]</w:t>
              </w:r>
            </w:hyperlink>
          </w:p>
        </w:tc>
        <w:tc>
          <w:tcPr>
            <w:tcW w:w="160" w:type="dxa"/>
            <w:vAlign w:val="bottom"/>
            <w:gridSpan w:val="2"/>
          </w:tcPr>
          <w:p>
            <w:pPr>
              <w:spacing w:after="0"/>
              <w:rPr>
                <w:rFonts w:ascii="Times New Roman" w:cs="Times New Roman" w:eastAsia="Times New Roman" w:hAnsi="Times New Roman"/>
                <w:sz w:val="16"/>
                <w:szCs w:val="16"/>
                <w:color w:val="0000FF"/>
                <w:w w:val="87"/>
              </w:rPr>
            </w:pPr>
            <w:hyperlink w:anchor="page82">
              <w:r>
                <w:rPr>
                  <w:rFonts w:ascii="Times New Roman" w:cs="Times New Roman" w:eastAsia="Times New Roman" w:hAnsi="Times New Roman"/>
                  <w:sz w:val="16"/>
                  <w:szCs w:val="16"/>
                  <w:color w:val="0000FF"/>
                  <w:w w:val="87"/>
                </w:rPr>
                <w:t>99</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7.</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82">
              <w:r>
                <w:rPr>
                  <w:rFonts w:ascii="Times New Roman" w:cs="Times New Roman" w:eastAsia="Times New Roman" w:hAnsi="Times New Roman"/>
                  <w:sz w:val="16"/>
                  <w:szCs w:val="16"/>
                  <w:color w:val="0000FF"/>
                </w:rPr>
                <w:t>MANAGEMENT’S DISCUSSION AND ANALYSIS OF FINANCIAL CONDITION AND</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82">
              <w:r>
                <w:rPr>
                  <w:rFonts w:ascii="Times New Roman" w:cs="Times New Roman" w:eastAsia="Times New Roman" w:hAnsi="Times New Roman"/>
                  <w:sz w:val="16"/>
                  <w:szCs w:val="16"/>
                  <w:color w:val="0000FF"/>
                  <w:w w:val="91"/>
                </w:rPr>
                <w:t>100</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10"/>
          </w:tcPr>
          <w:p>
            <w:pPr>
              <w:spacing w:after="0" w:line="136" w:lineRule="exact"/>
              <w:rPr>
                <w:rFonts w:ascii="Times New Roman" w:cs="Times New Roman" w:eastAsia="Times New Roman" w:hAnsi="Times New Roman"/>
                <w:sz w:val="14"/>
                <w:szCs w:val="14"/>
                <w:color w:val="0000FF"/>
              </w:rPr>
            </w:pPr>
            <w:hyperlink w:anchor="page82">
              <w:r>
                <w:rPr>
                  <w:rFonts w:ascii="Times New Roman" w:cs="Times New Roman" w:eastAsia="Times New Roman" w:hAnsi="Times New Roman"/>
                  <w:sz w:val="14"/>
                  <w:szCs w:val="14"/>
                  <w:color w:val="0000FF"/>
                </w:rPr>
                <w:t>RESULTS OF OPERATIONS</w:t>
              </w:r>
            </w:hyperlink>
          </w:p>
        </w:tc>
        <w:tc>
          <w:tcPr>
            <w:tcW w:w="3920" w:type="dxa"/>
            <w:vAlign w:val="bottom"/>
            <w:tcBorders>
              <w:top w:val="single" w:sz="8" w:color="0000FF"/>
            </w:tcBorders>
            <w:gridSpan w:val="14"/>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7A.</w:t>
            </w:r>
          </w:p>
        </w:tc>
        <w:tc>
          <w:tcPr>
            <w:tcW w:w="53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w:anchor="page126">
              <w:r>
                <w:rPr>
                  <w:rFonts w:ascii="Times New Roman" w:cs="Times New Roman" w:eastAsia="Times New Roman" w:hAnsi="Times New Roman"/>
                  <w:sz w:val="16"/>
                  <w:szCs w:val="16"/>
                  <w:color w:val="0000FF"/>
                  <w:w w:val="97"/>
                </w:rPr>
                <w:t>QUANTITATIVE AND QUALITATIVE DISCLOSURES ABOUT MARKET RISK</w:t>
              </w:r>
            </w:hyperlink>
          </w:p>
        </w:tc>
        <w:tc>
          <w:tcPr>
            <w:tcW w:w="1020" w:type="dxa"/>
            <w:vAlign w:val="bottom"/>
            <w:gridSpan w:val="6"/>
          </w:tcPr>
          <w:p>
            <w:pPr>
              <w:spacing w:after="0"/>
              <w:rPr>
                <w:sz w:val="24"/>
                <w:szCs w:val="24"/>
                <w:color w:val="auto"/>
              </w:rPr>
            </w:pPr>
          </w:p>
        </w:tc>
        <w:tc>
          <w:tcPr>
            <w:tcW w:w="2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26">
              <w:r>
                <w:rPr>
                  <w:rFonts w:ascii="Times New Roman" w:cs="Times New Roman" w:eastAsia="Times New Roman" w:hAnsi="Times New Roman"/>
                  <w:sz w:val="16"/>
                  <w:szCs w:val="16"/>
                  <w:color w:val="0000FF"/>
                  <w:w w:val="91"/>
                </w:rPr>
                <w:t>153</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8.</w:t>
            </w:r>
          </w:p>
        </w:tc>
        <w:tc>
          <w:tcPr>
            <w:tcW w:w="41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7"/>
              </w:rPr>
            </w:pPr>
            <w:hyperlink w:anchor="page128">
              <w:r>
                <w:rPr>
                  <w:rFonts w:ascii="Times New Roman" w:cs="Times New Roman" w:eastAsia="Times New Roman" w:hAnsi="Times New Roman"/>
                  <w:sz w:val="16"/>
                  <w:szCs w:val="16"/>
                  <w:color w:val="0000FF"/>
                  <w:w w:val="97"/>
                </w:rPr>
                <w:t>FINANCIAL STATEMENTS AND SUPPLEMENTARY DATA</w:t>
              </w:r>
            </w:hyperlink>
          </w:p>
        </w:tc>
        <w:tc>
          <w:tcPr>
            <w:tcW w:w="2280" w:type="dxa"/>
            <w:vAlign w:val="bottom"/>
            <w:gridSpan w:val="9"/>
          </w:tcPr>
          <w:p>
            <w:pPr>
              <w:spacing w:after="0"/>
              <w:rPr>
                <w:sz w:val="24"/>
                <w:szCs w:val="24"/>
                <w:color w:val="auto"/>
              </w:rPr>
            </w:pPr>
          </w:p>
        </w:tc>
        <w:tc>
          <w:tcPr>
            <w:tcW w:w="2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28">
              <w:r>
                <w:rPr>
                  <w:rFonts w:ascii="Times New Roman" w:cs="Times New Roman" w:eastAsia="Times New Roman" w:hAnsi="Times New Roman"/>
                  <w:sz w:val="16"/>
                  <w:szCs w:val="16"/>
                  <w:color w:val="0000FF"/>
                  <w:w w:val="91"/>
                </w:rPr>
                <w:t>156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9.</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5">
              <w:r>
                <w:rPr>
                  <w:rFonts w:ascii="Times New Roman" w:cs="Times New Roman" w:eastAsia="Times New Roman" w:hAnsi="Times New Roman"/>
                  <w:sz w:val="16"/>
                  <w:szCs w:val="16"/>
                  <w:color w:val="0000FF"/>
                </w:rPr>
                <w:t>CHANGES IN AND DISAGREEMENTS WITH ACCOUNTANTS ON ACCOUNTING AND</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5">
              <w:r>
                <w:rPr>
                  <w:rFonts w:ascii="Times New Roman" w:cs="Times New Roman" w:eastAsia="Times New Roman" w:hAnsi="Times New Roman"/>
                  <w:sz w:val="16"/>
                  <w:szCs w:val="16"/>
                  <w:color w:val="0000FF"/>
                  <w:w w:val="91"/>
                </w:rPr>
                <w:t>226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9"/>
          </w:tcPr>
          <w:p>
            <w:pPr>
              <w:spacing w:after="0" w:line="136" w:lineRule="exact"/>
              <w:rPr>
                <w:rFonts w:ascii="Times New Roman" w:cs="Times New Roman" w:eastAsia="Times New Roman" w:hAnsi="Times New Roman"/>
                <w:sz w:val="14"/>
                <w:szCs w:val="14"/>
                <w:color w:val="0000FF"/>
              </w:rPr>
            </w:pPr>
            <w:hyperlink w:anchor="page185">
              <w:r>
                <w:rPr>
                  <w:rFonts w:ascii="Times New Roman" w:cs="Times New Roman" w:eastAsia="Times New Roman" w:hAnsi="Times New Roman"/>
                  <w:sz w:val="14"/>
                  <w:szCs w:val="14"/>
                  <w:color w:val="0000FF"/>
                </w:rPr>
                <w:t>FINANCIAL DISCLOSURE</w:t>
              </w:r>
            </w:hyperlink>
          </w:p>
        </w:tc>
        <w:tc>
          <w:tcPr>
            <w:tcW w:w="4200" w:type="dxa"/>
            <w:vAlign w:val="bottom"/>
            <w:tcBorders>
              <w:top w:val="single" w:sz="8" w:color="0000FF"/>
            </w:tcBorders>
            <w:gridSpan w:val="17"/>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9A.</w:t>
            </w:r>
          </w:p>
        </w:tc>
        <w:tc>
          <w:tcPr>
            <w:tcW w:w="22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w:anchor="page185">
              <w:r>
                <w:rPr>
                  <w:rFonts w:ascii="Times New Roman" w:cs="Times New Roman" w:eastAsia="Times New Roman" w:hAnsi="Times New Roman"/>
                  <w:sz w:val="16"/>
                  <w:szCs w:val="16"/>
                  <w:color w:val="0000FF"/>
                  <w:w w:val="96"/>
                </w:rPr>
                <w:t>CONTROLS AND PROCEDURES</w:t>
              </w:r>
            </w:hyperlink>
          </w:p>
        </w:tc>
        <w:tc>
          <w:tcPr>
            <w:tcW w:w="4140" w:type="dxa"/>
            <w:vAlign w:val="bottom"/>
            <w:gridSpan w:val="14"/>
          </w:tcPr>
          <w:p>
            <w:pPr>
              <w:spacing w:after="0"/>
              <w:rPr>
                <w:sz w:val="24"/>
                <w:szCs w:val="24"/>
                <w:color w:val="auto"/>
              </w:rPr>
            </w:pPr>
          </w:p>
        </w:tc>
        <w:tc>
          <w:tcPr>
            <w:tcW w:w="2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85">
              <w:r>
                <w:rPr>
                  <w:rFonts w:ascii="Times New Roman" w:cs="Times New Roman" w:eastAsia="Times New Roman" w:hAnsi="Times New Roman"/>
                  <w:sz w:val="16"/>
                  <w:szCs w:val="16"/>
                  <w:color w:val="0000FF"/>
                  <w:w w:val="91"/>
                </w:rPr>
                <w:t>226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9B.</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6">
              <w:r>
                <w:rPr>
                  <w:rFonts w:ascii="Times New Roman" w:cs="Times New Roman" w:eastAsia="Times New Roman" w:hAnsi="Times New Roman"/>
                  <w:sz w:val="16"/>
                  <w:szCs w:val="16"/>
                  <w:color w:val="0000FF"/>
                </w:rPr>
                <w:t>OTHER INFORMATION</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6">
              <w:r>
                <w:rPr>
                  <w:rFonts w:ascii="Times New Roman" w:cs="Times New Roman" w:eastAsia="Times New Roman" w:hAnsi="Times New Roman"/>
                  <w:sz w:val="16"/>
                  <w:szCs w:val="16"/>
                  <w:color w:val="0000FF"/>
                  <w:w w:val="91"/>
                </w:rPr>
                <w:t>227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9C.</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6">
              <w:r>
                <w:rPr>
                  <w:rFonts w:ascii="Times New Roman" w:cs="Times New Roman" w:eastAsia="Times New Roman" w:hAnsi="Times New Roman"/>
                  <w:sz w:val="16"/>
                  <w:szCs w:val="16"/>
                  <w:color w:val="0000FF"/>
                </w:rPr>
                <w:t>DISCLOSURE REGARDING FOREIGN JURISDICTIONS THAT PREVENT INSPECTIONS</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6">
              <w:r>
                <w:rPr>
                  <w:rFonts w:ascii="Times New Roman" w:cs="Times New Roman" w:eastAsia="Times New Roman" w:hAnsi="Times New Roman"/>
                  <w:sz w:val="16"/>
                  <w:szCs w:val="16"/>
                  <w:color w:val="0000FF"/>
                  <w:w w:val="91"/>
                </w:rPr>
                <w:t>227</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186">
              <w:r>
                <w:rPr>
                  <w:rFonts w:ascii="Times New Roman" w:cs="Times New Roman" w:eastAsia="Times New Roman" w:hAnsi="Times New Roman"/>
                  <w:sz w:val="16"/>
                  <w:szCs w:val="16"/>
                  <w:color w:val="0000FF"/>
                  <w:w w:val="95"/>
                </w:rPr>
                <w:t>PART III.</w:t>
              </w:r>
            </w:hyperlink>
          </w:p>
        </w:tc>
        <w:tc>
          <w:tcPr>
            <w:tcW w:w="46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10.</w:t>
            </w:r>
          </w:p>
        </w:tc>
        <w:tc>
          <w:tcPr>
            <w:tcW w:w="50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7"/>
              </w:rPr>
            </w:pPr>
            <w:hyperlink w:anchor="page186">
              <w:r>
                <w:rPr>
                  <w:rFonts w:ascii="Times New Roman" w:cs="Times New Roman" w:eastAsia="Times New Roman" w:hAnsi="Times New Roman"/>
                  <w:sz w:val="16"/>
                  <w:szCs w:val="16"/>
                  <w:color w:val="0000FF"/>
                  <w:w w:val="97"/>
                </w:rPr>
                <w:t>DIRECTORS, EXECUTIVE OFFICERS AND CORPORATE GOVERNANCE</w:t>
              </w:r>
            </w:hyperlink>
          </w:p>
        </w:tc>
        <w:tc>
          <w:tcPr>
            <w:tcW w:w="1360" w:type="dxa"/>
            <w:vAlign w:val="bottom"/>
            <w:gridSpan w:val="7"/>
          </w:tcPr>
          <w:p>
            <w:pPr>
              <w:spacing w:after="0"/>
              <w:rPr>
                <w:sz w:val="24"/>
                <w:szCs w:val="24"/>
                <w:color w:val="auto"/>
              </w:rPr>
            </w:pPr>
          </w:p>
        </w:tc>
        <w:tc>
          <w:tcPr>
            <w:tcW w:w="2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86">
              <w:r>
                <w:rPr>
                  <w:rFonts w:ascii="Times New Roman" w:cs="Times New Roman" w:eastAsia="Times New Roman" w:hAnsi="Times New Roman"/>
                  <w:sz w:val="16"/>
                  <w:szCs w:val="16"/>
                  <w:color w:val="0000FF"/>
                  <w:w w:val="91"/>
                </w:rPr>
                <w:t>228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11.</w:t>
            </w:r>
          </w:p>
        </w:tc>
        <w:tc>
          <w:tcPr>
            <w:tcW w:w="214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187">
              <w:r>
                <w:rPr>
                  <w:rFonts w:ascii="Times New Roman" w:cs="Times New Roman" w:eastAsia="Times New Roman" w:hAnsi="Times New Roman"/>
                  <w:sz w:val="16"/>
                  <w:szCs w:val="16"/>
                  <w:color w:val="0000FF"/>
                  <w:w w:val="96"/>
                </w:rPr>
                <w:t>EXECUTIVE COMPENSATION</w:t>
              </w:r>
            </w:hyperlink>
          </w:p>
        </w:tc>
        <w:tc>
          <w:tcPr>
            <w:tcW w:w="4260" w:type="dxa"/>
            <w:vAlign w:val="bottom"/>
            <w:gridSpan w:val="15"/>
          </w:tcPr>
          <w:p>
            <w:pPr>
              <w:spacing w:after="0"/>
              <w:rPr>
                <w:sz w:val="24"/>
                <w:szCs w:val="24"/>
                <w:color w:val="auto"/>
              </w:rPr>
            </w:pPr>
          </w:p>
        </w:tc>
        <w:tc>
          <w:tcPr>
            <w:tcW w:w="2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87">
              <w:r>
                <w:rPr>
                  <w:rFonts w:ascii="Times New Roman" w:cs="Times New Roman" w:eastAsia="Times New Roman" w:hAnsi="Times New Roman"/>
                  <w:sz w:val="16"/>
                  <w:szCs w:val="16"/>
                  <w:color w:val="0000FF"/>
                  <w:w w:val="91"/>
                </w:rPr>
                <w:t>228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12.</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7">
              <w:r>
                <w:rPr>
                  <w:rFonts w:ascii="Times New Roman" w:cs="Times New Roman" w:eastAsia="Times New Roman" w:hAnsi="Times New Roman"/>
                  <w:sz w:val="16"/>
                  <w:szCs w:val="16"/>
                  <w:color w:val="0000FF"/>
                </w:rPr>
                <w:t>SECURITY OWNERSHIP OF CERTAIN BENEFICIAL OWNERS AND MANAGEMENT</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7">
              <w:r>
                <w:rPr>
                  <w:rFonts w:ascii="Times New Roman" w:cs="Times New Roman" w:eastAsia="Times New Roman" w:hAnsi="Times New Roman"/>
                  <w:sz w:val="16"/>
                  <w:szCs w:val="16"/>
                  <w:color w:val="0000FF"/>
                  <w:w w:val="91"/>
                </w:rPr>
                <w:t>228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15"/>
          </w:tcPr>
          <w:p>
            <w:pPr>
              <w:spacing w:after="0" w:line="136" w:lineRule="exact"/>
              <w:rPr>
                <w:rFonts w:ascii="Times New Roman" w:cs="Times New Roman" w:eastAsia="Times New Roman" w:hAnsi="Times New Roman"/>
                <w:sz w:val="14"/>
                <w:szCs w:val="14"/>
                <w:color w:val="0000FF"/>
              </w:rPr>
            </w:pPr>
            <w:hyperlink w:anchor="page187">
              <w:r>
                <w:rPr>
                  <w:rFonts w:ascii="Times New Roman" w:cs="Times New Roman" w:eastAsia="Times New Roman" w:hAnsi="Times New Roman"/>
                  <w:sz w:val="14"/>
                  <w:szCs w:val="14"/>
                  <w:color w:val="0000FF"/>
                </w:rPr>
                <w:t>AND RELATED STOCKHOLDER MATTERS</w:t>
              </w:r>
            </w:hyperlink>
          </w:p>
        </w:tc>
        <w:tc>
          <w:tcPr>
            <w:tcW w:w="2840" w:type="dxa"/>
            <w:vAlign w:val="bottom"/>
            <w:tcBorders>
              <w:top w:val="single" w:sz="8" w:color="0000FF"/>
            </w:tcBorders>
            <w:gridSpan w:val="10"/>
          </w:tcPr>
          <w:p>
            <w:pPr>
              <w:spacing w:after="0"/>
              <w:rPr>
                <w:sz w:val="11"/>
                <w:szCs w:val="11"/>
                <w:color w:val="auto"/>
              </w:rPr>
            </w:pPr>
          </w:p>
        </w:tc>
        <w:tc>
          <w:tcPr>
            <w:tcW w:w="520" w:type="dxa"/>
            <w:vAlign w:val="bottom"/>
            <w:gridSpan w:val="2"/>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13.</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7">
              <w:r>
                <w:rPr>
                  <w:rFonts w:ascii="Times New Roman" w:cs="Times New Roman" w:eastAsia="Times New Roman" w:hAnsi="Times New Roman"/>
                  <w:sz w:val="16"/>
                  <w:szCs w:val="16"/>
                  <w:color w:val="0000FF"/>
                </w:rPr>
                <w:t>CERTAIN RELATIONSHIPS AND RELATED TRANSACTIONS, AND DIRECTOR</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7">
              <w:r>
                <w:rPr>
                  <w:rFonts w:ascii="Times New Roman" w:cs="Times New Roman" w:eastAsia="Times New Roman" w:hAnsi="Times New Roman"/>
                  <w:sz w:val="16"/>
                  <w:szCs w:val="16"/>
                  <w:color w:val="0000FF"/>
                  <w:w w:val="91"/>
                </w:rPr>
                <w:t>228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Borders>
              <w:top w:val="single" w:sz="8" w:color="0000FF"/>
              <w:bottom w:val="single" w:sz="8" w:color="0000FF"/>
            </w:tcBorders>
            <w:gridSpan w:val="5"/>
          </w:tcPr>
          <w:p>
            <w:pPr>
              <w:spacing w:after="0" w:line="136" w:lineRule="exact"/>
              <w:rPr>
                <w:rFonts w:ascii="Times New Roman" w:cs="Times New Roman" w:eastAsia="Times New Roman" w:hAnsi="Times New Roman"/>
                <w:sz w:val="14"/>
                <w:szCs w:val="14"/>
                <w:color w:val="0000FF"/>
              </w:rPr>
            </w:pPr>
            <w:hyperlink w:anchor="page187">
              <w:r>
                <w:rPr>
                  <w:rFonts w:ascii="Times New Roman" w:cs="Times New Roman" w:eastAsia="Times New Roman" w:hAnsi="Times New Roman"/>
                  <w:sz w:val="14"/>
                  <w:szCs w:val="14"/>
                  <w:color w:val="0000FF"/>
                </w:rPr>
                <w:t>INDEPENDENCE</w:t>
              </w:r>
            </w:hyperlink>
          </w:p>
        </w:tc>
        <w:tc>
          <w:tcPr>
            <w:tcW w:w="4360" w:type="dxa"/>
            <w:vAlign w:val="bottom"/>
            <w:tcBorders>
              <w:top w:val="single" w:sz="8" w:color="0000FF"/>
            </w:tcBorders>
            <w:gridSpan w:val="18"/>
          </w:tcPr>
          <w:p>
            <w:pPr>
              <w:spacing w:after="0"/>
              <w:rPr>
                <w:sz w:val="11"/>
                <w:szCs w:val="11"/>
                <w:color w:val="auto"/>
              </w:rPr>
            </w:pPr>
          </w:p>
        </w:tc>
        <w:tc>
          <w:tcPr>
            <w:tcW w:w="860" w:type="dxa"/>
            <w:vAlign w:val="bottom"/>
            <w:gridSpan w:val="4"/>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14.</w:t>
            </w: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7">
              <w:r>
                <w:rPr>
                  <w:rFonts w:ascii="Times New Roman" w:cs="Times New Roman" w:eastAsia="Times New Roman" w:hAnsi="Times New Roman"/>
                  <w:sz w:val="16"/>
                  <w:szCs w:val="16"/>
                  <w:color w:val="0000FF"/>
                </w:rPr>
                <w:t>PRINCIPAL ACCOUNTANT FEES AND SERVICES</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7">
              <w:r>
                <w:rPr>
                  <w:rFonts w:ascii="Times New Roman" w:cs="Times New Roman" w:eastAsia="Times New Roman" w:hAnsi="Times New Roman"/>
                  <w:sz w:val="16"/>
                  <w:szCs w:val="16"/>
                  <w:color w:val="0000FF"/>
                  <w:w w:val="91"/>
                </w:rPr>
                <w:t>228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rFonts w:ascii="Times New Roman" w:cs="Times New Roman" w:eastAsia="Times New Roman" w:hAnsi="Times New Roman"/>
                <w:sz w:val="16"/>
                <w:szCs w:val="16"/>
                <w:color w:val="0000FF"/>
              </w:rPr>
            </w:pPr>
            <w:hyperlink w:anchor="page187">
              <w:r>
                <w:rPr>
                  <w:rFonts w:ascii="Times New Roman" w:cs="Times New Roman" w:eastAsia="Times New Roman" w:hAnsi="Times New Roman"/>
                  <w:sz w:val="16"/>
                  <w:szCs w:val="16"/>
                  <w:color w:val="0000FF"/>
                </w:rPr>
                <w:t>PART IV.</w:t>
              </w:r>
            </w:hyperlink>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w w:val="98"/>
              </w:rPr>
              <w:t>ITEM 15.</w:t>
            </w:r>
          </w:p>
        </w:tc>
        <w:tc>
          <w:tcPr>
            <w:tcW w:w="460" w:type="dxa"/>
            <w:vAlign w:val="bottom"/>
          </w:tcPr>
          <w:p>
            <w:pPr>
              <w:spacing w:after="0"/>
              <w:rPr>
                <w:sz w:val="24"/>
                <w:szCs w:val="24"/>
                <w:color w:val="auto"/>
              </w:rPr>
            </w:pPr>
          </w:p>
        </w:tc>
        <w:tc>
          <w:tcPr>
            <w:tcW w:w="6400" w:type="dxa"/>
            <w:vAlign w:val="bottom"/>
            <w:gridSpan w:val="27"/>
          </w:tcPr>
          <w:p>
            <w:pPr>
              <w:spacing w:after="0"/>
              <w:rPr>
                <w:rFonts w:ascii="Times New Roman" w:cs="Times New Roman" w:eastAsia="Times New Roman" w:hAnsi="Times New Roman"/>
                <w:sz w:val="16"/>
                <w:szCs w:val="16"/>
                <w:color w:val="0000FF"/>
              </w:rPr>
            </w:pPr>
            <w:hyperlink w:anchor="page187">
              <w:r>
                <w:rPr>
                  <w:rFonts w:ascii="Times New Roman" w:cs="Times New Roman" w:eastAsia="Times New Roman" w:hAnsi="Times New Roman"/>
                  <w:sz w:val="16"/>
                  <w:szCs w:val="16"/>
                  <w:color w:val="0000FF"/>
                </w:rPr>
                <w:t>EXHIBITS AND FINANCIAL STATEMENT SCHEDULES</w:t>
              </w:r>
            </w:hyperlink>
          </w:p>
        </w:tc>
        <w:tc>
          <w:tcPr>
            <w:tcW w:w="240" w:type="dxa"/>
            <w:vAlign w:val="bottom"/>
            <w:gridSpan w:val="3"/>
          </w:tcPr>
          <w:p>
            <w:pPr>
              <w:spacing w:after="0"/>
              <w:rPr>
                <w:rFonts w:ascii="Times New Roman" w:cs="Times New Roman" w:eastAsia="Times New Roman" w:hAnsi="Times New Roman"/>
                <w:sz w:val="16"/>
                <w:szCs w:val="16"/>
                <w:color w:val="0000FF"/>
                <w:w w:val="91"/>
              </w:rPr>
            </w:pPr>
            <w:hyperlink w:anchor="page187">
              <w:r>
                <w:rPr>
                  <w:rFonts w:ascii="Times New Roman" w:cs="Times New Roman" w:eastAsia="Times New Roman" w:hAnsi="Times New Roman"/>
                  <w:sz w:val="16"/>
                  <w:szCs w:val="16"/>
                  <w:color w:val="0000FF"/>
                  <w:w w:val="91"/>
                </w:rPr>
                <w:t>229</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ITEM 16.</w:t>
            </w:r>
          </w:p>
        </w:tc>
        <w:tc>
          <w:tcPr>
            <w:tcW w:w="16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5"/>
              </w:rPr>
            </w:pPr>
            <w:hyperlink w:anchor="page191">
              <w:r>
                <w:rPr>
                  <w:rFonts w:ascii="Times New Roman" w:cs="Times New Roman" w:eastAsia="Times New Roman" w:hAnsi="Times New Roman"/>
                  <w:sz w:val="16"/>
                  <w:szCs w:val="16"/>
                  <w:color w:val="0000FF"/>
                  <w:w w:val="95"/>
                </w:rPr>
                <w:t>FORM 10-K SUMMARY</w:t>
              </w:r>
            </w:hyperlink>
          </w:p>
        </w:tc>
        <w:tc>
          <w:tcPr>
            <w:tcW w:w="2220" w:type="dxa"/>
            <w:vAlign w:val="bottom"/>
            <w:tcBorders>
              <w:top w:val="single" w:sz="8" w:color="0000FF"/>
            </w:tcBorders>
            <w:gridSpan w:val="9"/>
          </w:tcPr>
          <w:p>
            <w:pPr>
              <w:spacing w:after="0"/>
              <w:rPr>
                <w:sz w:val="24"/>
                <w:szCs w:val="24"/>
                <w:color w:val="auto"/>
              </w:rPr>
            </w:pPr>
          </w:p>
        </w:tc>
        <w:tc>
          <w:tcPr>
            <w:tcW w:w="2540" w:type="dxa"/>
            <w:vAlign w:val="bottom"/>
            <w:gridSpan w:val="10"/>
          </w:tcPr>
          <w:p>
            <w:pPr>
              <w:spacing w:after="0"/>
              <w:rPr>
                <w:sz w:val="24"/>
                <w:szCs w:val="24"/>
                <w:color w:val="auto"/>
              </w:rPr>
            </w:pPr>
          </w:p>
        </w:tc>
        <w:tc>
          <w:tcPr>
            <w:tcW w:w="2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w w:val="91"/>
              </w:rPr>
            </w:pPr>
            <w:hyperlink w:anchor="page191">
              <w:r>
                <w:rPr>
                  <w:rFonts w:ascii="Times New Roman" w:cs="Times New Roman" w:eastAsia="Times New Roman" w:hAnsi="Times New Roman"/>
                  <w:sz w:val="16"/>
                  <w:szCs w:val="16"/>
                  <w:color w:val="0000FF"/>
                  <w:w w:val="91"/>
                </w:rPr>
                <w:t>233</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Forward-Looking Statements</w:t>
      </w:r>
    </w:p>
    <w:p>
      <w:pPr>
        <w:ind w:right="1460" w:firstLine="576"/>
        <w:spacing w:after="0"/>
        <w:rPr>
          <w:sz w:val="20"/>
          <w:szCs w:val="20"/>
          <w:color w:val="auto"/>
        </w:rPr>
      </w:pPr>
      <w:r>
        <w:rPr>
          <w:rFonts w:ascii="Times New Roman" w:cs="Times New Roman" w:eastAsia="Times New Roman" w:hAnsi="Times New Roman"/>
          <w:sz w:val="14"/>
          <w:szCs w:val="14"/>
          <w:color w:val="auto"/>
        </w:rPr>
        <w:t>This Annual Report on Form 10-K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listed below and those described under the section entitled “Risk Factors” in this Annual Report on Form 10-K, as such factors may be updated from time to time in our periodic filings with the U.S. Securities and Exchange Commission (the “SEC”), which are accessible on the SEC’s website at www.sec.gov. These factors should not be construed as exhaustive and should be read in conjunction with the other cautionary statements that are included in this Annual Report on Form 10-K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94615</wp:posOffset>
            </wp:positionV>
            <wp:extent cx="1677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ind w:right="1600" w:firstLine="576"/>
        <w:spacing w:after="0" w:line="203" w:lineRule="auto"/>
        <w:rPr>
          <w:sz w:val="20"/>
          <w:szCs w:val="20"/>
          <w:color w:val="auto"/>
        </w:rPr>
      </w:pPr>
      <w:r>
        <w:rPr>
          <w:rFonts w:ascii="Times New Roman" w:cs="Times New Roman" w:eastAsia="Times New Roman" w:hAnsi="Times New Roman"/>
          <w:sz w:val="16"/>
          <w:szCs w:val="16"/>
          <w:color w:val="auto"/>
        </w:rPr>
        <w:t>The following is only a summary of the principal risks that may materially adversely affect our business, financial condition, results of operations, and cash flows. The following should be read in conjunction with the complete discussion of risk factors we face, which are set forth in Item 1A “Risk Factors.”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Risks Related to Our Company</w:t>
      </w:r>
    </w:p>
    <w:p>
      <w:pPr>
        <w:ind w:right="1700"/>
        <w:spacing w:after="0" w:line="203"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Adverse economic and market conditions and other events or conditions throughout the world could negatively impact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 •Our use of leverage may expose us to substantial risks.</w:t>
      </w:r>
    </w:p>
    <w:p>
      <w:pPr>
        <w:spacing w:after="0" w:line="2" w:lineRule="exact"/>
        <w:rPr>
          <w:sz w:val="20"/>
          <w:szCs w:val="20"/>
          <w:color w:val="auto"/>
        </w:rPr>
      </w:pPr>
    </w:p>
    <w:p>
      <w:pPr>
        <w:ind w:right="1940"/>
        <w:spacing w:after="0" w:line="203" w:lineRule="auto"/>
        <w:rPr>
          <w:sz w:val="20"/>
          <w:szCs w:val="20"/>
          <w:color w:val="auto"/>
        </w:rPr>
      </w:pPr>
      <w:r>
        <w:rPr>
          <w:rFonts w:ascii="Times New Roman" w:cs="Times New Roman" w:eastAsia="Times New Roman" w:hAnsi="Times New Roman"/>
          <w:sz w:val="16"/>
          <w:szCs w:val="16"/>
          <w:color w:val="auto"/>
        </w:rPr>
        <w:t>•Our revenue, earnings, net income, and cash flow can all vary materially, which may make it difficult for us to achieve steady earnings growth on a quarterly basis and may cause the price of our common stock to decline.</w:t>
      </w:r>
    </w:p>
    <w:p>
      <w:pPr>
        <w:spacing w:after="0" w:line="1" w:lineRule="exact"/>
        <w:rPr>
          <w:sz w:val="20"/>
          <w:szCs w:val="20"/>
          <w:color w:val="auto"/>
        </w:rPr>
      </w:pPr>
    </w:p>
    <w:p>
      <w:pPr>
        <w:jc w:val="both"/>
        <w:ind w:right="1820"/>
        <w:spacing w:after="0" w:line="203" w:lineRule="auto"/>
        <w:rPr>
          <w:sz w:val="20"/>
          <w:szCs w:val="20"/>
          <w:color w:val="auto"/>
        </w:rPr>
      </w:pPr>
      <w:r>
        <w:rPr>
          <w:rFonts w:ascii="Times New Roman" w:cs="Times New Roman" w:eastAsia="Times New Roman" w:hAnsi="Times New Roman"/>
          <w:sz w:val="16"/>
          <w:szCs w:val="16"/>
          <w:color w:val="auto"/>
        </w:rPr>
        <w:t>•Given our focus on achieving superior investment performance and maintaining and strengthening investor relations, we may reduce our AUM, restrain its growth, reduce our fees, or otherwise alter the terms under which we do business when we deem it in the best interest of our investors—even in circumstances where such actions might be contrary to the near-term interests of our stockholders.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depend on our senior Carlyle professionals, including our Chief Executive Officer, and the loss of their services or</w:t>
      </w:r>
    </w:p>
    <w:p>
      <w:pPr>
        <w:sectPr>
          <w:pgSz w:w="11900" w:h="16840" w:orient="portrait"/>
          <w:cols w:equalWidth="0" w:num="1">
            <w:col w:w="9400"/>
          </w:cols>
          <w:pgMar w:left="1060" w:top="556" w:right="1440" w:bottom="0" w:gutter="0" w:footer="0" w:header="0"/>
        </w:sectPr>
      </w:pPr>
    </w:p>
    <w:bookmarkStart w:id="2" w:name="page3"/>
    <w:bookmarkEnd w:id="2"/>
    <w:p>
      <w:pPr>
        <w:ind w:right="2120"/>
        <w:spacing w:after="0" w:line="215" w:lineRule="auto"/>
        <w:rPr>
          <w:sz w:val="20"/>
          <w:szCs w:val="20"/>
          <w:color w:val="auto"/>
        </w:rPr>
      </w:pPr>
      <w:r>
        <w:rPr>
          <w:rFonts w:ascii="Times New Roman" w:cs="Times New Roman" w:eastAsia="Times New Roman" w:hAnsi="Times New Roman"/>
          <w:sz w:val="16"/>
          <w:szCs w:val="16"/>
          <w:color w:val="auto"/>
        </w:rPr>
        <w:t>investor confidence in such personnel could have a material adverse effect on our business, results of operations, and financial condition.</w:t>
      </w:r>
    </w:p>
    <w:p>
      <w:pPr>
        <w:ind w:right="1760"/>
        <w:spacing w:after="0" w:line="203" w:lineRule="auto"/>
        <w:rPr>
          <w:sz w:val="20"/>
          <w:szCs w:val="20"/>
          <w:color w:val="auto"/>
        </w:rPr>
      </w:pPr>
      <w:r>
        <w:rPr>
          <w:rFonts w:ascii="Times New Roman" w:cs="Times New Roman" w:eastAsia="Times New Roman" w:hAnsi="Times New Roman"/>
          <w:sz w:val="16"/>
          <w:szCs w:val="16"/>
          <w:color w:val="auto"/>
        </w:rPr>
        <w:t>•Recruiting and retaining our professionals has become more difficult and may continue to be difficult in the future, which could adversely affect our business, results of operations, and financial condition.</w:t>
      </w:r>
    </w:p>
    <w:p>
      <w:pPr>
        <w:spacing w:after="0" w:line="1" w:lineRule="exact"/>
        <w:rPr>
          <w:sz w:val="20"/>
          <w:szCs w:val="20"/>
          <w:color w:val="auto"/>
        </w:rPr>
      </w:pPr>
    </w:p>
    <w:p>
      <w:pPr>
        <w:ind w:right="1740"/>
        <w:spacing w:after="0" w:line="203" w:lineRule="auto"/>
        <w:rPr>
          <w:sz w:val="20"/>
          <w:szCs w:val="20"/>
          <w:color w:val="auto"/>
        </w:rPr>
      </w:pPr>
      <w:r>
        <w:rPr>
          <w:rFonts w:ascii="Times New Roman" w:cs="Times New Roman" w:eastAsia="Times New Roman" w:hAnsi="Times New Roman"/>
          <w:sz w:val="16"/>
          <w:szCs w:val="16"/>
          <w:color w:val="auto"/>
        </w:rPr>
        <w:t>•We may expand into new investment strategies, geographic markets, businesses, and types of investors, or seek to expand our business or change our strategic focus with new strategic initiatives, which may result in additional risks and uncertainties in our business.</w:t>
      </w:r>
    </w:p>
    <w:p>
      <w:pPr>
        <w:spacing w:after="0" w:line="1" w:lineRule="exact"/>
        <w:rPr>
          <w:sz w:val="20"/>
          <w:szCs w:val="20"/>
          <w:color w:val="auto"/>
        </w:rPr>
      </w:pPr>
    </w:p>
    <w:p>
      <w:pPr>
        <w:jc w:val="both"/>
        <w:ind w:right="1760"/>
        <w:spacing w:after="0" w:line="203" w:lineRule="auto"/>
        <w:rPr>
          <w:sz w:val="20"/>
          <w:szCs w:val="20"/>
          <w:color w:val="auto"/>
        </w:rPr>
      </w:pPr>
      <w:r>
        <w:rPr>
          <w:rFonts w:ascii="Times New Roman" w:cs="Times New Roman" w:eastAsia="Times New Roman" w:hAnsi="Times New Roman"/>
          <w:sz w:val="16"/>
          <w:szCs w:val="16"/>
          <w:color w:val="auto"/>
        </w:rPr>
        <w:t>•Operational risks (including those associated with our business model), system security risks, breaches of data protection, cyberattacks, or actions or failure to act by our employees or others with authorized access to our networks, including our ability to insure against such risks, may disrupt our businesses, result in losses, or limit our growth.</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Risks Related to Regulation and Litigation</w:t>
      </w:r>
    </w:p>
    <w:p>
      <w:pPr>
        <w:ind w:right="1660"/>
        <w:spacing w:after="0" w:line="203" w:lineRule="auto"/>
        <w:rPr>
          <w:sz w:val="20"/>
          <w:szCs w:val="20"/>
          <w:color w:val="auto"/>
        </w:rPr>
      </w:pPr>
      <w:r>
        <w:rPr>
          <w:rFonts w:ascii="Times New Roman" w:cs="Times New Roman" w:eastAsia="Times New Roman" w:hAnsi="Times New Roman"/>
          <w:sz w:val="16"/>
          <w:szCs w:val="16"/>
          <w:color w:val="auto"/>
        </w:rPr>
        <w:t>•Laws and regulations relating to privacy, data protection, data transfers, data localization, and data security worldwide may limit the use and adoption of our services and adversely affect our business.</w:t>
      </w:r>
    </w:p>
    <w:p>
      <w:pPr>
        <w:spacing w:after="0" w:line="1" w:lineRule="exact"/>
        <w:rPr>
          <w:sz w:val="20"/>
          <w:szCs w:val="20"/>
          <w:color w:val="auto"/>
        </w:rPr>
      </w:pPr>
    </w:p>
    <w:p>
      <w:pPr>
        <w:ind w:right="1800"/>
        <w:spacing w:after="0" w:line="222" w:lineRule="auto"/>
        <w:rPr>
          <w:sz w:val="20"/>
          <w:szCs w:val="20"/>
          <w:color w:val="auto"/>
        </w:rPr>
      </w:pPr>
      <w:r>
        <w:rPr>
          <w:rFonts w:ascii="Times New Roman" w:cs="Times New Roman" w:eastAsia="Times New Roman" w:hAnsi="Times New Roman"/>
          <w:sz w:val="16"/>
          <w:szCs w:val="16"/>
          <w:color w:val="auto"/>
        </w:rPr>
        <w:t>•Extensive regulation of our business affects our activities and creates the potential for significant liabilities and penalties, and could result in additional burdens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20"/>
        <w:spacing w:after="0" w:line="203" w:lineRule="auto"/>
        <w:rPr>
          <w:sz w:val="20"/>
          <w:szCs w:val="20"/>
          <w:color w:val="auto"/>
        </w:rPr>
      </w:pPr>
      <w:r>
        <w:rPr>
          <w:rFonts w:ascii="Times New Roman" w:cs="Times New Roman" w:eastAsia="Times New Roman" w:hAnsi="Times New Roman"/>
          <w:sz w:val="16"/>
          <w:szCs w:val="16"/>
          <w:color w:val="auto"/>
        </w:rPr>
        <w:t>•Financial regulations and changes thereto in the United States could adversely affect our business and the possibility of increased regulatory focus could result in additional burdens and expenses on our business. •Regulatory initiatives in jurisdictions outside the United States could adversely affect our business.</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•We are subject to substantial risk of litigation and regulatory proceedings and may face significant liabilities and damage to our reputation as a result of allegations of improper conduct and negative publicity.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the Assets We Manage</w:t>
      </w:r>
    </w:p>
    <w:p>
      <w:pPr>
        <w:spacing w:after="0" w:line="203" w:lineRule="auto"/>
        <w:rPr>
          <w:sz w:val="20"/>
          <w:szCs w:val="20"/>
          <w:color w:val="auto"/>
        </w:rPr>
      </w:pPr>
      <w:r>
        <w:rPr>
          <w:rFonts w:ascii="Times New Roman" w:cs="Times New Roman" w:eastAsia="Times New Roman" w:hAnsi="Times New Roman"/>
          <w:sz w:val="16"/>
          <w:szCs w:val="16"/>
          <w:color w:val="auto"/>
        </w:rPr>
        <w:t>•The asset management business is intensely competitive.</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•Poor performance of our investment funds would cause a decline in our revenue, income, and cash flow, may obligate us to repay carried interest previously paid to us, and could adversely affect our ability to raise capital for future investment funds.</w:t>
      </w:r>
    </w:p>
    <w:p>
      <w:pPr>
        <w:spacing w:after="0" w:line="1"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•The historical returns attributable to our funds, including those presented in this Annual Report on Form 10-K, should not be considered as indicative of the future results of our funds or of our future results or of any returns expected on an investment in our common stock.</w:t>
      </w:r>
    </w:p>
    <w:p>
      <w:pPr>
        <w:spacing w:after="0" w:line="1" w:lineRule="exact"/>
        <w:rPr>
          <w:sz w:val="20"/>
          <w:szCs w:val="20"/>
          <w:color w:val="auto"/>
        </w:rPr>
      </w:pPr>
    </w:p>
    <w:p>
      <w:pPr>
        <w:ind w:right="1860"/>
        <w:spacing w:after="0" w:line="203" w:lineRule="auto"/>
        <w:rPr>
          <w:sz w:val="20"/>
          <w:szCs w:val="20"/>
          <w:color w:val="auto"/>
        </w:rPr>
      </w:pPr>
      <w:r>
        <w:rPr>
          <w:rFonts w:ascii="Times New Roman" w:cs="Times New Roman" w:eastAsia="Times New Roman" w:hAnsi="Times New Roman"/>
          <w:sz w:val="16"/>
          <w:szCs w:val="16"/>
          <w:color w:val="auto"/>
        </w:rPr>
        <w:t>•Trade negotiations and related government actions may create regulatory uncertainty for our funds’ portfolio companies and our investment strategies and adversely affect the profitability of our funds’ portfolio companies.</w:t>
      </w:r>
    </w:p>
    <w:p>
      <w:pPr>
        <w:spacing w:after="0" w:line="1" w:lineRule="exact"/>
        <w:rPr>
          <w:sz w:val="20"/>
          <w:szCs w:val="20"/>
          <w:color w:val="auto"/>
        </w:rPr>
      </w:pPr>
    </w:p>
    <w:p>
      <w:pPr>
        <w:ind w:right="1900"/>
        <w:spacing w:after="0" w:line="203" w:lineRule="auto"/>
        <w:rPr>
          <w:sz w:val="20"/>
          <w:szCs w:val="20"/>
          <w:color w:val="auto"/>
        </w:rPr>
      </w:pPr>
      <w:r>
        <w:rPr>
          <w:rFonts w:ascii="Times New Roman" w:cs="Times New Roman" w:eastAsia="Times New Roman" w:hAnsi="Times New Roman"/>
          <w:sz w:val="16"/>
          <w:szCs w:val="16"/>
          <w:color w:val="auto"/>
        </w:rPr>
        <w:t>•Our asset management business depends in large part on our ability to raise capital from third-party investors. If we are unable to raise capital from third-party investors, we would be unable to collect management fees or deploy their capital into investments and potentially collect carried interest, which would materially reduce our revenue and cash flow and adversely affect our financial condition.</w:t>
      </w:r>
    </w:p>
    <w:p>
      <w:pPr>
        <w:spacing w:after="0" w:line="2" w:lineRule="exact"/>
        <w:rPr>
          <w:sz w:val="20"/>
          <w:szCs w:val="20"/>
          <w:color w:val="auto"/>
        </w:rPr>
      </w:pPr>
    </w:p>
    <w:p>
      <w:pPr>
        <w:ind w:right="1820"/>
        <w:spacing w:after="0" w:line="203" w:lineRule="auto"/>
        <w:rPr>
          <w:sz w:val="20"/>
          <w:szCs w:val="20"/>
          <w:color w:val="auto"/>
        </w:rPr>
      </w:pPr>
      <w:r>
        <w:rPr>
          <w:rFonts w:ascii="Times New Roman" w:cs="Times New Roman" w:eastAsia="Times New Roman" w:hAnsi="Times New Roman"/>
          <w:sz w:val="16"/>
          <w:szCs w:val="16"/>
          <w:color w:val="auto"/>
        </w:rPr>
        <w:t>•We have increasingly undertaken business initiatives to increase the number and type of investment products we offer to retail investors, which could expose us to new and greater levels of risk.</w:t>
      </w:r>
    </w:p>
    <w:p>
      <w:pPr>
        <w:spacing w:after="0" w:line="1" w:lineRule="exact"/>
        <w:rPr>
          <w:sz w:val="20"/>
          <w:szCs w:val="20"/>
          <w:color w:val="auto"/>
        </w:rPr>
      </w:pPr>
    </w:p>
    <w:p>
      <w:pPr>
        <w:ind w:right="1960"/>
        <w:spacing w:after="0" w:line="203" w:lineRule="auto"/>
        <w:rPr>
          <w:sz w:val="20"/>
          <w:szCs w:val="20"/>
          <w:color w:val="auto"/>
        </w:rPr>
      </w:pPr>
      <w:r>
        <w:rPr>
          <w:rFonts w:ascii="Times New Roman" w:cs="Times New Roman" w:eastAsia="Times New Roman" w:hAnsi="Times New Roman"/>
          <w:sz w:val="16"/>
          <w:szCs w:val="16"/>
          <w:color w:val="auto"/>
        </w:rPr>
        <w:t>•Our investors may negotiate to pay us lower management fees and the economic terms of our future funds may be less favorable to us than those of our existing funds, which could adversely affect our revenues.</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spacing w:after="0" w:line="1" w:lineRule="exact"/>
        <w:rPr>
          <w:sz w:val="20"/>
          <w:szCs w:val="20"/>
          <w:color w:val="auto"/>
        </w:rPr>
      </w:pPr>
    </w:p>
    <w:p>
      <w:pPr>
        <w:ind w:right="1880"/>
        <w:spacing w:after="0" w:line="203" w:lineRule="auto"/>
        <w:rPr>
          <w:sz w:val="20"/>
          <w:szCs w:val="20"/>
          <w:color w:val="auto"/>
        </w:rPr>
      </w:pPr>
      <w:r>
        <w:rPr>
          <w:rFonts w:ascii="Times New Roman" w:cs="Times New Roman" w:eastAsia="Times New Roman" w:hAnsi="Times New Roman"/>
          <w:sz w:val="16"/>
          <w:szCs w:val="16"/>
          <w:color w:val="auto"/>
        </w:rPr>
        <w:t>•The due diligence process that we undertake in connection with investments by our investment funds may not reveal all facts that may be relevant in connection with an investment.</w:t>
      </w:r>
    </w:p>
    <w:p>
      <w:pPr>
        <w:spacing w:after="0" w:line="1"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•High interest rates and challenging debt market conditions have negatively impacted and could continue to negatively impact the values of certain assets or investments and the ability of our funds and their portfolio companies to access the capital markets, which could adversely affect investment and realization opportunities, lead to lower-yielding investments, and potentially decrease our net income.</w:t>
      </w:r>
    </w:p>
    <w:p>
      <w:pPr>
        <w:spacing w:after="0" w:line="2" w:lineRule="exact"/>
        <w:rPr>
          <w:sz w:val="20"/>
          <w:szCs w:val="20"/>
          <w:color w:val="auto"/>
        </w:rPr>
      </w:pPr>
    </w:p>
    <w:p>
      <w:pPr>
        <w:ind w:right="1960"/>
        <w:spacing w:after="0" w:line="203" w:lineRule="auto"/>
        <w:rPr>
          <w:sz w:val="20"/>
          <w:szCs w:val="20"/>
          <w:color w:val="auto"/>
        </w:rPr>
      </w:pPr>
      <w:r>
        <w:rPr>
          <w:rFonts w:ascii="Times New Roman" w:cs="Times New Roman" w:eastAsia="Times New Roman" w:hAnsi="Times New Roman"/>
          <w:sz w:val="16"/>
          <w:szCs w:val="16"/>
          <w:color w:val="auto"/>
        </w:rPr>
        <w:t>•Our funds invest in relatively high -risk, illiquid assets, and we may fail to realize any profits from these activities for a considerable period of time or lose some or all of our principal investments.</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•Our funds make investments in companies that are based outside of the United States, which may expose us to additional risks not typically associated with investing in companies that are based in the United States.</w:t>
      </w:r>
    </w:p>
    <w:p>
      <w:pPr>
        <w:spacing w:after="0" w:line="1" w:lineRule="exact"/>
        <w:rPr>
          <w:sz w:val="20"/>
          <w:szCs w:val="20"/>
          <w:color w:val="auto"/>
        </w:rPr>
      </w:pPr>
    </w:p>
    <w:p>
      <w:pPr>
        <w:jc w:val="both"/>
        <w:ind w:right="2280"/>
        <w:spacing w:after="0" w:line="232" w:lineRule="auto"/>
        <w:rPr>
          <w:sz w:val="20"/>
          <w:szCs w:val="20"/>
          <w:color w:val="auto"/>
        </w:rPr>
      </w:pPr>
      <w:r>
        <w:rPr>
          <w:rFonts w:ascii="Times New Roman" w:cs="Times New Roman" w:eastAsia="Times New Roman" w:hAnsi="Times New Roman"/>
          <w:sz w:val="14"/>
          <w:szCs w:val="14"/>
          <w:color w:val="auto"/>
        </w:rPr>
        <w:t>•Certain of our fund investments may be concentrated in particular asset types or geographic regions, which could exacerbate any negative performance of those funds to the extent those concentrated investments perform poorly.</w:t>
      </w:r>
    </w:p>
    <w:p>
      <w:pPr>
        <w:spacing w:after="0" w:line="1" w:lineRule="exact"/>
        <w:rPr>
          <w:sz w:val="20"/>
          <w:szCs w:val="20"/>
          <w:color w:val="auto"/>
        </w:rPr>
      </w:pPr>
    </w:p>
    <w:p>
      <w:pPr>
        <w:ind w:right="1900"/>
        <w:spacing w:after="0" w:line="203" w:lineRule="auto"/>
        <w:rPr>
          <w:sz w:val="20"/>
          <w:szCs w:val="20"/>
          <w:color w:val="auto"/>
        </w:rPr>
      </w:pPr>
      <w:r>
        <w:rPr>
          <w:rFonts w:ascii="Times New Roman" w:cs="Times New Roman" w:eastAsia="Times New Roman" w:hAnsi="Times New Roman"/>
          <w:sz w:val="16"/>
          <w:szCs w:val="16"/>
          <w:color w:val="auto"/>
        </w:rPr>
        <w:t>•We are reliant on third-party service providers for certain aspects of our business and are subject to risks in using prime brokers, custodians, counterparties, administrators, and other agents.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Industry Risks Related to the Assets We Manage</w:t>
      </w:r>
    </w:p>
    <w:p>
      <w:pPr>
        <w:spacing w:after="0" w:line="1" w:lineRule="exact"/>
        <w:rPr>
          <w:sz w:val="20"/>
          <w:szCs w:val="20"/>
          <w:color w:val="auto"/>
        </w:rPr>
      </w:pPr>
    </w:p>
    <w:p>
      <w:pPr>
        <w:ind w:right="1920"/>
        <w:spacing w:after="0" w:line="203" w:lineRule="auto"/>
        <w:rPr>
          <w:sz w:val="20"/>
          <w:szCs w:val="20"/>
          <w:color w:val="auto"/>
        </w:rPr>
      </w:pPr>
      <w:r>
        <w:rPr>
          <w:rFonts w:ascii="Times New Roman" w:cs="Times New Roman" w:eastAsia="Times New Roman" w:hAnsi="Times New Roman"/>
          <w:sz w:val="16"/>
          <w:szCs w:val="16"/>
          <w:color w:val="auto"/>
        </w:rPr>
        <w:t>•Our real estate funds are subject to risks inherent in the ownership and operation of real estate and the construction and development of real estate.</w:t>
      </w:r>
    </w:p>
    <w:p>
      <w:pPr>
        <w:spacing w:after="0" w:line="1"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•Our energy business is involved in oil and gas investments (i.e., exploration, production, storage, transportation, logistics, refining, marketing, trading, petrochemicals, energy services, and other opportunistic investments), which entail a high degree of risk.</w:t>
      </w:r>
    </w:p>
    <w:p>
      <w:pPr>
        <w:spacing w:after="0" w:line="1" w:lineRule="exact"/>
        <w:rPr>
          <w:sz w:val="20"/>
          <w:szCs w:val="20"/>
          <w:color w:val="auto"/>
        </w:rPr>
      </w:pPr>
    </w:p>
    <w:p>
      <w:pPr>
        <w:ind w:right="2080"/>
        <w:spacing w:after="0" w:line="222" w:lineRule="auto"/>
        <w:rPr>
          <w:sz w:val="20"/>
          <w:szCs w:val="20"/>
          <w:color w:val="auto"/>
        </w:rPr>
      </w:pPr>
      <w:r>
        <w:rPr>
          <w:rFonts w:ascii="Times New Roman" w:cs="Times New Roman" w:eastAsia="Times New Roman" w:hAnsi="Times New Roman"/>
          <w:sz w:val="16"/>
          <w:szCs w:val="16"/>
          <w:color w:val="auto"/>
        </w:rPr>
        <w:t>•Investments in the natural resources industry, including the infrastructure, energy, power, and renewables industries, involve various operational, construction, and regulatory risks.</w:t>
      </w:r>
    </w:p>
    <w:p>
      <w:pPr>
        <w:sectPr>
          <w:pgSz w:w="11900" w:h="16840" w:orient="portrait"/>
          <w:cols w:equalWidth="0" w:num="1">
            <w:col w:w="9400"/>
          </w:cols>
          <w:pgMar w:left="1060" w:top="557" w:right="1440" w:bottom="7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00"/>
        <w:spacing w:after="0" w:line="203" w:lineRule="auto"/>
        <w:rPr>
          <w:sz w:val="20"/>
          <w:szCs w:val="20"/>
          <w:color w:val="auto"/>
        </w:rPr>
      </w:pPr>
      <w:r>
        <w:rPr>
          <w:rFonts w:ascii="Times New Roman" w:cs="Times New Roman" w:eastAsia="Times New Roman" w:hAnsi="Times New Roman"/>
          <w:sz w:val="16"/>
          <w:szCs w:val="16"/>
          <w:color w:val="auto"/>
        </w:rPr>
        <w:t>•Investments in the insurance industry (including our investment in Fortitude) could be adversely impacted by insurance regulations and potential regulatory reforms.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Our Common Stock</w:t>
      </w:r>
    </w:p>
    <w:p>
      <w:pPr>
        <w:ind w:right="1740"/>
        <w:spacing w:after="0" w:line="203" w:lineRule="auto"/>
        <w:rPr>
          <w:sz w:val="20"/>
          <w:szCs w:val="20"/>
          <w:color w:val="auto"/>
        </w:rPr>
      </w:pPr>
      <w:r>
        <w:rPr>
          <w:rFonts w:ascii="Times New Roman" w:cs="Times New Roman" w:eastAsia="Times New Roman" w:hAnsi="Times New Roman"/>
          <w:sz w:val="16"/>
          <w:szCs w:val="16"/>
          <w:color w:val="auto"/>
        </w:rPr>
        <w:t>•The market price of our common stock may decline due to the large number of shares of common stock eligible for future sale.</w:t>
      </w:r>
    </w:p>
    <w:p>
      <w:pPr>
        <w:spacing w:after="0" w:line="204" w:lineRule="auto"/>
        <w:rPr>
          <w:sz w:val="20"/>
          <w:szCs w:val="20"/>
          <w:color w:val="auto"/>
        </w:rPr>
      </w:pPr>
      <w:r>
        <w:rPr>
          <w:rFonts w:ascii="Times New Roman" w:cs="Times New Roman" w:eastAsia="Times New Roman" w:hAnsi="Times New Roman"/>
          <w:sz w:val="16"/>
          <w:szCs w:val="16"/>
          <w:color w:val="auto"/>
        </w:rPr>
        <w:t>•Carlyle Group Management L.L.C. has significant influence over us and its interests may conflict with ours or yours.</w:t>
      </w:r>
    </w:p>
    <w:p>
      <w:pPr>
        <w:spacing w:after="0" w:line="1"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color w:val="auto"/>
        </w:rPr>
        <w:t>•Our co-founders have the right to designate members of our Board of Directors. •Anti - takeover provisions in our organizational documents and Delaware law may discourage or delay acquisition attempts for us that stockholders might consider favorable.</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Risks Related to Taxation</w:t>
      </w:r>
    </w:p>
    <w:p>
      <w:pPr>
        <w:jc w:val="both"/>
        <w:ind w:right="1860"/>
        <w:spacing w:after="0" w:line="203" w:lineRule="auto"/>
        <w:rPr>
          <w:sz w:val="20"/>
          <w:szCs w:val="20"/>
          <w:color w:val="auto"/>
        </w:rPr>
      </w:pPr>
      <w:r>
        <w:rPr>
          <w:rFonts w:ascii="Times New Roman" w:cs="Times New Roman" w:eastAsia="Times New Roman" w:hAnsi="Times New Roman"/>
          <w:sz w:val="16"/>
          <w:szCs w:val="16"/>
          <w:color w:val="auto"/>
        </w:rPr>
        <w:t>•Changes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w:t>
      </w:r>
    </w:p>
    <w:p>
      <w:pPr>
        <w:spacing w:after="0" w:line="1" w:lineRule="exact"/>
        <w:rPr>
          <w:sz w:val="20"/>
          <w:szCs w:val="20"/>
          <w:color w:val="auto"/>
        </w:rPr>
      </w:pPr>
    </w:p>
    <w:p>
      <w:pPr>
        <w:ind w:right="1660"/>
        <w:spacing w:after="0" w:line="222" w:lineRule="auto"/>
        <w:rPr>
          <w:sz w:val="20"/>
          <w:szCs w:val="20"/>
          <w:color w:val="auto"/>
        </w:rPr>
      </w:pPr>
      <w:r>
        <w:rPr>
          <w:rFonts w:ascii="Times New Roman" w:cs="Times New Roman" w:eastAsia="Times New Roman" w:hAnsi="Times New Roman"/>
          <w:sz w:val="16"/>
          <w:szCs w:val="16"/>
          <w:color w:val="auto"/>
        </w:rPr>
        <w:t>•U.S. and foreign tax regulations could adversely affect our ability to raise funds from certain foreign investors and increase compliance costs.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January 1, 2020, we completed our conversion from a Delaware limited partnership named The Carlyle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-101600</wp:posOffset>
            </wp:positionV>
            <wp:extent cx="16770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77035" cy="7620"/>
                    </a:xfrm>
                    <a:prstGeom prst="rect">
                      <a:avLst/>
                    </a:prstGeom>
                    <a:noFill/>
                  </pic:spPr>
                </pic:pic>
              </a:graphicData>
            </a:graphic>
          </wp:anchor>
        </w:drawing>
      </w:r>
    </w:p>
    <w:p>
      <w:pPr>
        <w:jc w:val="both"/>
        <w:ind w:right="1540"/>
        <w:spacing w:after="0" w:line="203" w:lineRule="auto"/>
        <w:rPr>
          <w:sz w:val="20"/>
          <w:szCs w:val="20"/>
          <w:color w:val="auto"/>
        </w:rPr>
      </w:pPr>
      <w:r>
        <w:rPr>
          <w:rFonts w:ascii="Times New Roman" w:cs="Times New Roman" w:eastAsia="Times New Roman" w:hAnsi="Times New Roman"/>
          <w:sz w:val="16"/>
          <w:szCs w:val="16"/>
          <w:color w:val="auto"/>
        </w:rPr>
        <w:t>into a Delaware Corporation named The Carlyle Group Inc. (the conversion, together with such restructuring steps and related transactions, the “Conversion”).</w:t>
      </w:r>
    </w:p>
    <w:p>
      <w:pPr>
        <w:spacing w:after="0" w:line="1" w:lineRule="exact"/>
        <w:rPr>
          <w:sz w:val="20"/>
          <w:szCs w:val="20"/>
          <w:color w:val="auto"/>
        </w:rPr>
      </w:pPr>
    </w:p>
    <w:p>
      <w:pPr>
        <w:jc w:val="both"/>
        <w:ind w:right="1540" w:firstLine="576"/>
        <w:spacing w:after="0" w:line="232" w:lineRule="auto"/>
        <w:rPr>
          <w:sz w:val="20"/>
          <w:szCs w:val="20"/>
          <w:color w:val="auto"/>
        </w:rPr>
      </w:pPr>
      <w:r>
        <w:rPr>
          <w:rFonts w:ascii="Times New Roman" w:cs="Times New Roman" w:eastAsia="Times New Roman" w:hAnsi="Times New Roman"/>
          <w:sz w:val="14"/>
          <w:szCs w:val="14"/>
          <w:color w:val="auto"/>
        </w:rPr>
        <w:t>Unless the context suggests otherwise, references in this Annual Report on Form 10- K to “Carlyle,” the “Company,” “we,” “us,” and “our” refer to The Carlyle Group Inc. and its consolidated subsidiaries. When we refer to our “senior Carlyle professionals,” we are referring to the partner-level personnel of our firm. References in this Annual Report on Form 10-K to the ownership of the senior Carlyle professionals include the ownership of personal planning vehicles of these individuals.</w:t>
      </w:r>
    </w:p>
    <w:p>
      <w:pPr>
        <w:spacing w:after="0" w:line="2"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When we refer to the “Carlyle Holdings partnerships” or “Carlyle Holdings,” we are referring to Carlyle Holdings I L.P., Carlyle Holdings II L.P., and Carlyle Holdings III L.P., which prior to the Conversion were the holding partnerships through which the Company and our senior Carlyle professionals and other holders of Carlyle Holdings partnership units owned their respective interests in our business.</w:t>
      </w:r>
    </w:p>
    <w:p>
      <w:pPr>
        <w:spacing w:after="0" w:line="2"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“Carlyle funds,” “our funds” and “our investment funds” refer to the investment funds and vehicles advised by Carlyle. “Carry funds” generally refers to closed-end investment vehicles, in which commitments are drawn down over a specified investment period, and in which the general partner receives a special residual allocation of income from limited partners, which we refer to as carried interest, in the event that specified investment returns are achieved by the fund. Disclosures referring to carry funds will also include the impact of certain commitments that do not earn carried interest but are either part of or associated with our carry funds. The rate of carried interest, as well as the share of carried interest allocated to Carlyle, may vary across the carry fund platform. Carry funds generally include the following investment vehicles across our three business segments:</w:t>
      </w:r>
    </w:p>
    <w:p>
      <w:pPr>
        <w:spacing w:after="0" w:line="3" w:lineRule="exact"/>
        <w:rPr>
          <w:sz w:val="20"/>
          <w:szCs w:val="20"/>
          <w:color w:val="auto"/>
        </w:rPr>
      </w:pPr>
    </w:p>
    <w:p>
      <w:pPr>
        <w:ind w:right="2240"/>
        <w:spacing w:after="0" w:line="232" w:lineRule="auto"/>
        <w:rPr>
          <w:sz w:val="20"/>
          <w:szCs w:val="20"/>
          <w:color w:val="auto"/>
        </w:rPr>
      </w:pPr>
      <w:r>
        <w:rPr>
          <w:rFonts w:ascii="Times New Roman" w:cs="Times New Roman" w:eastAsia="Times New Roman" w:hAnsi="Times New Roman"/>
          <w:sz w:val="14"/>
          <w:szCs w:val="14"/>
          <w:color w:val="auto"/>
        </w:rPr>
        <w:t>•Global Private Equity: Buyout, middle market and growth capital, real estate, infrastructure, and natural resources funds advised by Carlyle, as well as certain energy funds advised by our strategic partner NGP Energy Capital Management (“NGP”) in which Carlyle is entitled to receive a share of carried interest (“NGP Carry Funds”); •Global Credit: Opportunistic credit, aviation finance, and other closed -end credit funds advised by Carlyle; and •Global Investment Solutions: Funds and vehicles advised by AlpInvest Partners B.V. and its affiliates (“AlpInvest”), which include primary fund, secondary and portfolio financing, and co- investment strategies.</w:t>
      </w:r>
    </w:p>
    <w:p>
      <w:pPr>
        <w:spacing w:after="0" w:line="206" w:lineRule="auto"/>
        <w:rPr>
          <w:sz w:val="20"/>
          <w:szCs w:val="20"/>
          <w:color w:val="auto"/>
        </w:rPr>
      </w:pPr>
      <w:r>
        <w:rPr>
          <w:rFonts w:ascii="Times New Roman" w:cs="Times New Roman" w:eastAsia="Times New Roman" w:hAnsi="Times New Roman"/>
          <w:sz w:val="16"/>
          <w:szCs w:val="16"/>
          <w:color w:val="auto"/>
        </w:rPr>
        <w:t>Carry funds specifically exclude certain legacy Abingworth funds in which Carlyle is not entitled to receive a share of</w:t>
      </w:r>
    </w:p>
    <w:p>
      <w:pPr>
        <w:spacing w:after="0" w:line="1" w:lineRule="exact"/>
        <w:rPr>
          <w:sz w:val="20"/>
          <w:szCs w:val="20"/>
          <w:color w:val="auto"/>
        </w:rPr>
      </w:pPr>
    </w:p>
    <w:p>
      <w:pPr>
        <w:ind w:right="1420"/>
        <w:spacing w:after="0" w:line="216" w:lineRule="auto"/>
        <w:rPr>
          <w:sz w:val="20"/>
          <w:szCs w:val="20"/>
          <w:color w:val="auto"/>
        </w:rPr>
      </w:pPr>
      <w:r>
        <w:rPr>
          <w:rFonts w:ascii="Times New Roman" w:cs="Times New Roman" w:eastAsia="Times New Roman" w:hAnsi="Times New Roman"/>
          <w:sz w:val="16"/>
          <w:szCs w:val="16"/>
          <w:color w:val="auto"/>
        </w:rPr>
        <w:t>carried interest, collateralized loan obligation vehicles (“CLOs”), our business development companies and associated managed accounts, as well as capital raised from strategic third- party investors which directly invest in Fortitude (defined below) alongside a carry fund.</w:t>
      </w:r>
    </w:p>
    <w:p>
      <w:pPr>
        <w:sectPr>
          <w:pgSz w:w="11900" w:h="16840" w:orient="portrait"/>
          <w:cols w:equalWidth="0" w:num="1">
            <w:col w:w="9400"/>
          </w:cols>
          <w:pgMar w:left="1060" w:top="1440" w:right="1440" w:bottom="1440" w:gutter="0" w:footer="0" w:header="0"/>
        </w:sectPr>
      </w:pPr>
    </w:p>
    <w:bookmarkStart w:id="4" w:name="page5"/>
    <w:bookmarkEnd w:id="4"/>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5</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2700"/>
        <w:spacing w:after="0" w:line="203" w:lineRule="auto"/>
        <w:rPr>
          <w:sz w:val="20"/>
          <w:szCs w:val="20"/>
          <w:color w:val="auto"/>
        </w:rPr>
      </w:pPr>
      <w:r>
        <w:rPr>
          <w:rFonts w:ascii="Times New Roman" w:cs="Times New Roman" w:eastAsia="Times New Roman" w:hAnsi="Times New Roman"/>
          <w:sz w:val="16"/>
          <w:szCs w:val="16"/>
          <w:color w:val="auto"/>
        </w:rPr>
        <w:t>For an explanation of the fund acronyms used throughout this Annual Report on Form 10-K, refer to Item 1 “Business–Our Global Investment Offerings.”</w:t>
      </w:r>
    </w:p>
    <w:p>
      <w:pPr>
        <w:ind w:left="10"/>
        <w:spacing w:after="0" w:line="204" w:lineRule="auto"/>
        <w:rPr>
          <w:sz w:val="20"/>
          <w:szCs w:val="20"/>
          <w:color w:val="auto"/>
        </w:rPr>
      </w:pPr>
      <w:r>
        <w:rPr>
          <w:rFonts w:ascii="Times New Roman" w:cs="Times New Roman" w:eastAsia="Times New Roman" w:hAnsi="Times New Roman"/>
          <w:sz w:val="16"/>
          <w:szCs w:val="16"/>
          <w:color w:val="auto"/>
        </w:rPr>
        <w:t>“Fortitude” refers to FGH Parent, L.P. (“FGH Parent”), the direct parent of Fortitude Group Holdings, LLC</w:t>
      </w:r>
    </w:p>
    <w:p>
      <w:pPr>
        <w:spacing w:after="0" w:line="1" w:lineRule="exact"/>
        <w:rPr>
          <w:sz w:val="20"/>
          <w:szCs w:val="20"/>
          <w:color w:val="auto"/>
        </w:rPr>
      </w:pPr>
    </w:p>
    <w:p>
      <w:pPr>
        <w:ind w:left="10" w:right="1820"/>
        <w:spacing w:after="0" w:line="203" w:lineRule="auto"/>
        <w:rPr>
          <w:sz w:val="20"/>
          <w:szCs w:val="20"/>
          <w:color w:val="auto"/>
        </w:rPr>
      </w:pPr>
      <w:r>
        <w:rPr>
          <w:rFonts w:ascii="Times New Roman" w:cs="Times New Roman" w:eastAsia="Times New Roman" w:hAnsi="Times New Roman"/>
          <w:sz w:val="16"/>
          <w:szCs w:val="16"/>
          <w:color w:val="auto"/>
        </w:rPr>
        <w:t>(“Fortitude Holdings”). See Note 4, Investments, to the consolidated financial statements in Part II, Item 8 of this Annual Report on Form 10- K for more information regarding the Company’s strategic investment in Fortitude. “Fee-earning assets under management” or “Fee-earning AUM” refers to the assets we manage or advise from which</w:t>
      </w:r>
    </w:p>
    <w:p>
      <w:pPr>
        <w:spacing w:after="0" w:line="1" w:lineRule="exact"/>
        <w:rPr>
          <w:sz w:val="20"/>
          <w:szCs w:val="20"/>
          <w:color w:val="auto"/>
        </w:rPr>
      </w:pPr>
    </w:p>
    <w:p>
      <w:pPr>
        <w:ind w:left="10" w:right="1580"/>
        <w:spacing w:after="0" w:line="203" w:lineRule="auto"/>
        <w:rPr>
          <w:sz w:val="20"/>
          <w:szCs w:val="20"/>
          <w:color w:val="auto"/>
        </w:rPr>
      </w:pPr>
      <w:r>
        <w:rPr>
          <w:rFonts w:ascii="Times New Roman" w:cs="Times New Roman" w:eastAsia="Times New Roman" w:hAnsi="Times New Roman"/>
          <w:sz w:val="16"/>
          <w:szCs w:val="16"/>
          <w:color w:val="auto"/>
        </w:rPr>
        <w:t>we derive recurring fund management fees. Our Fee-earning AUM is generally based on one of the following, once fees have been activated:</w:t>
      </w:r>
    </w:p>
    <w:p>
      <w:pPr>
        <w:spacing w:after="0" w:line="1" w:lineRule="exact"/>
        <w:rPr>
          <w:sz w:val="20"/>
          <w:szCs w:val="20"/>
          <w:color w:val="auto"/>
        </w:rPr>
      </w:pPr>
    </w:p>
    <w:p>
      <w:pPr>
        <w:ind w:left="10" w:right="1860"/>
        <w:spacing w:after="0" w:line="203" w:lineRule="auto"/>
        <w:rPr>
          <w:sz w:val="20"/>
          <w:szCs w:val="20"/>
          <w:color w:val="auto"/>
        </w:rPr>
      </w:pPr>
      <w:r>
        <w:rPr>
          <w:rFonts w:ascii="Times New Roman" w:cs="Times New Roman" w:eastAsia="Times New Roman" w:hAnsi="Times New Roman"/>
          <w:sz w:val="16"/>
          <w:szCs w:val="16"/>
          <w:color w:val="auto"/>
        </w:rPr>
        <w:t>(a)the amount of limited partner capital commitments, generally for carry funds where the original investment period has not expired and for AlpInvest carry funds during the commitment fee period;</w:t>
      </w:r>
    </w:p>
    <w:p>
      <w:pPr>
        <w:spacing w:after="0" w:line="1" w:lineRule="exact"/>
        <w:rPr>
          <w:sz w:val="20"/>
          <w:szCs w:val="20"/>
          <w:color w:val="auto"/>
        </w:rPr>
      </w:pPr>
    </w:p>
    <w:p>
      <w:pPr>
        <w:ind w:left="10" w:right="2000"/>
        <w:spacing w:after="0" w:line="203" w:lineRule="auto"/>
        <w:rPr>
          <w:sz w:val="20"/>
          <w:szCs w:val="20"/>
          <w:color w:val="auto"/>
        </w:rPr>
      </w:pPr>
      <w:r>
        <w:rPr>
          <w:rFonts w:ascii="Times New Roman" w:cs="Times New Roman" w:eastAsia="Times New Roman" w:hAnsi="Times New Roman"/>
          <w:sz w:val="16"/>
          <w:szCs w:val="16"/>
          <w:color w:val="auto"/>
        </w:rPr>
        <w:t>(b)the remaining amount of limited partner invested capital at cost, generally for carry funds and certain co-investment vehicles where the original investment period has expired;</w:t>
      </w:r>
    </w:p>
    <w:p>
      <w:pPr>
        <w:spacing w:after="0" w:line="1" w:lineRule="exact"/>
        <w:rPr>
          <w:sz w:val="20"/>
          <w:szCs w:val="20"/>
          <w:color w:val="auto"/>
        </w:rPr>
      </w:pPr>
    </w:p>
    <w:p>
      <w:pPr>
        <w:ind w:left="10" w:right="1860"/>
        <w:spacing w:after="0" w:line="203" w:lineRule="auto"/>
        <w:rPr>
          <w:sz w:val="20"/>
          <w:szCs w:val="20"/>
          <w:color w:val="auto"/>
        </w:rPr>
      </w:pPr>
      <w:r>
        <w:rPr>
          <w:rFonts w:ascii="Times New Roman" w:cs="Times New Roman" w:eastAsia="Times New Roman" w:hAnsi="Times New Roman"/>
          <w:sz w:val="16"/>
          <w:szCs w:val="16"/>
          <w:color w:val="auto"/>
        </w:rPr>
        <w:t>(c)the amount of aggregate fee-earning collateral balance of our CLOs and other securitization vehicles, as defined in the fund indentures (pre-2020 CLO vintages are generally exclusive of equities and defaulted positions) as of the quarterly cut-off date;</w:t>
      </w:r>
    </w:p>
    <w:p>
      <w:pPr>
        <w:ind w:left="10"/>
        <w:spacing w:after="0" w:line="205" w:lineRule="auto"/>
        <w:rPr>
          <w:sz w:val="20"/>
          <w:szCs w:val="20"/>
          <w:color w:val="auto"/>
        </w:rPr>
      </w:pPr>
      <w:r>
        <w:rPr>
          <w:rFonts w:ascii="Times New Roman" w:cs="Times New Roman" w:eastAsia="Times New Roman" w:hAnsi="Times New Roman"/>
          <w:sz w:val="16"/>
          <w:szCs w:val="16"/>
          <w:color w:val="auto"/>
        </w:rPr>
        <w:t>(d)the external investor portion of the net asset value of certain carry funds;</w:t>
      </w:r>
    </w:p>
    <w:p>
      <w:pPr>
        <w:ind w:left="10"/>
        <w:spacing w:after="0" w:line="203" w:lineRule="auto"/>
        <w:rPr>
          <w:sz w:val="20"/>
          <w:szCs w:val="20"/>
          <w:color w:val="auto"/>
        </w:rPr>
      </w:pPr>
      <w:r>
        <w:rPr>
          <w:rFonts w:ascii="Times New Roman" w:cs="Times New Roman" w:eastAsia="Times New Roman" w:hAnsi="Times New Roman"/>
          <w:sz w:val="16"/>
          <w:szCs w:val="16"/>
          <w:color w:val="auto"/>
        </w:rPr>
        <w:t>(e)the fair value of Fortitude’s general account assets invested under the strategic advisory services agreement;</w:t>
      </w:r>
    </w:p>
    <w:p>
      <w:pPr>
        <w:spacing w:after="0" w:line="1" w:lineRule="exact"/>
        <w:rPr>
          <w:sz w:val="20"/>
          <w:szCs w:val="20"/>
          <w:color w:val="auto"/>
        </w:rPr>
      </w:pPr>
    </w:p>
    <w:p>
      <w:pPr>
        <w:ind w:left="10" w:right="1900"/>
        <w:spacing w:after="0" w:line="203" w:lineRule="auto"/>
        <w:rPr>
          <w:sz w:val="20"/>
          <w:szCs w:val="20"/>
          <w:color w:val="auto"/>
        </w:rPr>
      </w:pPr>
      <w:r>
        <w:rPr>
          <w:rFonts w:ascii="Times New Roman" w:cs="Times New Roman" w:eastAsia="Times New Roman" w:hAnsi="Times New Roman"/>
          <w:sz w:val="16"/>
          <w:szCs w:val="16"/>
          <w:color w:val="auto"/>
        </w:rPr>
        <w:t>(f)the gross assets (including assets acquired with leverage), excluding cash and cash equivalents, of one of our business development companies and certain carry funds; or</w:t>
      </w:r>
    </w:p>
    <w:p>
      <w:pPr>
        <w:spacing w:after="0" w:line="1" w:lineRule="exact"/>
        <w:rPr>
          <w:sz w:val="20"/>
          <w:szCs w:val="20"/>
          <w:color w:val="auto"/>
        </w:rPr>
      </w:pPr>
    </w:p>
    <w:p>
      <w:pPr>
        <w:ind w:left="10" w:right="2220"/>
        <w:spacing w:after="0" w:line="203" w:lineRule="auto"/>
        <w:rPr>
          <w:sz w:val="20"/>
          <w:szCs w:val="20"/>
          <w:color w:val="auto"/>
        </w:rPr>
      </w:pPr>
      <w:r>
        <w:rPr>
          <w:rFonts w:ascii="Times New Roman" w:cs="Times New Roman" w:eastAsia="Times New Roman" w:hAnsi="Times New Roman"/>
          <w:sz w:val="16"/>
          <w:szCs w:val="16"/>
          <w:color w:val="auto"/>
        </w:rPr>
        <w:t>(g)the lower of cost or fair value of invested capital, generally for AlpInvest carry funds where the commitment fee period has expired and certain carry funds where the investment period has expired.</w:t>
      </w:r>
    </w:p>
    <w:p>
      <w:pPr>
        <w:spacing w:after="0" w:line="1" w:lineRule="exact"/>
        <w:rPr>
          <w:sz w:val="20"/>
          <w:szCs w:val="20"/>
          <w:color w:val="auto"/>
        </w:rPr>
      </w:pPr>
    </w:p>
    <w:p>
      <w:pPr>
        <w:ind w:left="10" w:right="2080"/>
        <w:spacing w:after="0" w:line="203" w:lineRule="auto"/>
        <w:rPr>
          <w:sz w:val="20"/>
          <w:szCs w:val="20"/>
          <w:color w:val="auto"/>
        </w:rPr>
      </w:pPr>
      <w:r>
        <w:rPr>
          <w:rFonts w:ascii="Times New Roman" w:cs="Times New Roman" w:eastAsia="Times New Roman" w:hAnsi="Times New Roman"/>
          <w:sz w:val="16"/>
          <w:szCs w:val="16"/>
          <w:color w:val="auto"/>
        </w:rPr>
        <w:t>“Assets under management” or “AUM” refers to the assets we manage or advise. Our AUM generally equals the sum of the following:</w:t>
      </w:r>
    </w:p>
    <w:p>
      <w:pPr>
        <w:spacing w:after="0" w:line="1" w:lineRule="exact"/>
        <w:rPr>
          <w:sz w:val="20"/>
          <w:szCs w:val="20"/>
          <w:color w:val="auto"/>
        </w:rPr>
      </w:pPr>
    </w:p>
    <w:p>
      <w:pPr>
        <w:ind w:left="10" w:right="1800" w:hanging="10"/>
        <w:spacing w:after="0" w:line="203" w:lineRule="auto"/>
        <w:tabs>
          <w:tab w:leader="none" w:pos="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1" w:lineRule="exact"/>
        <w:rPr>
          <w:rFonts w:ascii="Times New Roman" w:cs="Times New Roman" w:eastAsia="Times New Roman" w:hAnsi="Times New Roman"/>
          <w:sz w:val="16"/>
          <w:szCs w:val="16"/>
          <w:color w:val="auto"/>
        </w:rPr>
      </w:pPr>
    </w:p>
    <w:p>
      <w:pPr>
        <w:ind w:left="10" w:right="1800" w:hanging="10"/>
        <w:spacing w:after="0" w:line="203" w:lineRule="auto"/>
        <w:tabs>
          <w:tab w:leader="none" w:pos="2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aggregate collateral balance and principal cash or aggregate principal amount of the notes of our CLOs and other structured products (inclusive of all positions);</w:t>
      </w:r>
    </w:p>
    <w:p>
      <w:pPr>
        <w:ind w:left="270" w:hanging="270"/>
        <w:spacing w:after="0" w:line="203" w:lineRule="auto"/>
        <w:tabs>
          <w:tab w:leader="none" w:pos="2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asset value of certain carry funds;</w:t>
      </w:r>
    </w:p>
    <w:p>
      <w:pPr>
        <w:ind w:left="270" w:hanging="270"/>
        <w:spacing w:after="0" w:line="203" w:lineRule="auto"/>
        <w:tabs>
          <w:tab w:leader="none" w:pos="2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Fortitude’s general account assets covered by the strategic advisory services agreement; and</w:t>
      </w:r>
    </w:p>
    <w:p>
      <w:pPr>
        <w:ind w:left="10" w:right="1740" w:hanging="10"/>
        <w:spacing w:after="0" w:line="203" w:lineRule="auto"/>
        <w:tabs>
          <w:tab w:leader="none" w:pos="2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 w:lineRule="exact"/>
        <w:rPr>
          <w:rFonts w:ascii="Times New Roman" w:cs="Times New Roman" w:eastAsia="Times New Roman" w:hAnsi="Times New Roman"/>
          <w:sz w:val="16"/>
          <w:szCs w:val="16"/>
          <w:color w:val="auto"/>
        </w:rPr>
      </w:pPr>
    </w:p>
    <w:p>
      <w:pPr>
        <w:ind w:left="10" w:right="1560" w:firstLine="576"/>
        <w:spacing w:after="0" w:line="20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include in our calculation of AUM and Fee-earning AUM the NGP Carry Funds that are advised by NGP. Our calculation of AUM also includes third-party capital raised for the investment in Fortitude through a Carlyle-affiliated investment fund and from strategic investors which directly invest in Fortitude alongside the fund. The total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ectPr>
          <w:pgSz w:w="11900" w:h="16840" w:orient="portrait"/>
          <w:cols w:equalWidth="0" w:num="1">
            <w:col w:w="9410"/>
          </w:cols>
          <w:pgMar w:left="105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6</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60" w:firstLine="576"/>
        <w:spacing w:after="0" w:line="203" w:lineRule="auto"/>
        <w:rPr>
          <w:sz w:val="20"/>
          <w:szCs w:val="20"/>
          <w:color w:val="auto"/>
        </w:rPr>
      </w:pPr>
      <w:r>
        <w:rPr>
          <w:rFonts w:ascii="Times New Roman" w:cs="Times New Roman" w:eastAsia="Times New Roman" w:hAnsi="Times New Roman"/>
          <w:sz w:val="16"/>
          <w:szCs w:val="16"/>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2" w:lineRule="exact"/>
        <w:rPr>
          <w:sz w:val="20"/>
          <w:szCs w:val="20"/>
          <w:color w:val="auto"/>
        </w:rPr>
      </w:pPr>
    </w:p>
    <w:p>
      <w:pPr>
        <w:ind w:left="10" w:right="1440" w:firstLine="576"/>
        <w:spacing w:after="0" w:line="241" w:lineRule="auto"/>
        <w:rPr>
          <w:sz w:val="20"/>
          <w:szCs w:val="20"/>
          <w:color w:val="auto"/>
        </w:rPr>
      </w:pPr>
      <w:r>
        <w:rPr>
          <w:rFonts w:ascii="Times New Roman" w:cs="Times New Roman" w:eastAsia="Times New Roman" w:hAnsi="Times New Roman"/>
          <w:sz w:val="14"/>
          <w:szCs w:val="14"/>
          <w:color w:val="auto"/>
        </w:rPr>
        <w:t>Our calculations of AUM and Fee-earning AUM may differ from the calculations of other asset managers. As a result, these measures may not be comparable to similar measures presented by other asset managers. In addition, our calculation of AUM (but not Fee- earning AUM) includes uncalled commitments to, and the fair value of invested capital in, our investment funds from Carlyle and our personnel, regardless of whether such commitments or invested capital are subject to management fees, incentive fees or performance allocations. Our calculations of AUM or Fee -earning AUM are not based on any definition</w:t>
      </w:r>
    </w:p>
    <w:p>
      <w:pPr>
        <w:sectPr>
          <w:pgSz w:w="11900" w:h="16840" w:orient="portrait"/>
          <w:cols w:equalWidth="0" w:num="1">
            <w:col w:w="9410"/>
          </w:cols>
          <w:pgMar w:left="1050" w:top="1440" w:right="1440" w:bottom="0" w:gutter="0" w:footer="0" w:header="0"/>
          <w:type w:val="continuous"/>
        </w:sectPr>
      </w:pPr>
    </w:p>
    <w:bookmarkStart w:id="5" w:name="page6"/>
    <w:bookmarkEnd w:id="5"/>
    <w:p>
      <w:pPr>
        <w:ind w:right="1400"/>
        <w:spacing w:after="0" w:line="206" w:lineRule="auto"/>
        <w:rPr>
          <w:sz w:val="20"/>
          <w:szCs w:val="20"/>
          <w:color w:val="auto"/>
        </w:rPr>
      </w:pPr>
      <w:r>
        <w:rPr>
          <w:rFonts w:ascii="Times New Roman" w:cs="Times New Roman" w:eastAsia="Times New Roman" w:hAnsi="Times New Roman"/>
          <w:sz w:val="16"/>
          <w:szCs w:val="16"/>
          <w:color w:val="auto"/>
        </w:rPr>
        <w:t>of AUM or Fee-earning AUM that is set forth in the agreements governing the investment funds that we manage or advise. “Performance Fee Eligible AUM” represents the AUM of funds for which we are 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 -end reporting date. Funds whose performance allocations are treated as fee related performance allocations are excluded from these metrics.</w:t>
      </w:r>
    </w:p>
    <w:p>
      <w:pPr>
        <w:spacing w:after="0" w:line="5"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“Perpetual Capital” refers to the assets we manage or advise which have an indefinite term and for 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Carlyle Tactical Private Credit Fund (“CTAC”), (e) our closed-end tender offer Carlyle AlpInvest Private Markets (“CAPM”) funds, and (f) certain other structured credit products.</w:t>
      </w:r>
    </w:p>
    <w:p>
      <w:pPr>
        <w:spacing w:after="0" w:line="208" w:lineRule="auto"/>
        <w:rPr>
          <w:sz w:val="20"/>
          <w:szCs w:val="20"/>
          <w:color w:val="auto"/>
        </w:rPr>
      </w:pPr>
      <w:r>
        <w:rPr>
          <w:rFonts w:ascii="Times New Roman" w:cs="Times New Roman" w:eastAsia="Times New Roman" w:hAnsi="Times New Roman"/>
          <w:sz w:val="16"/>
          <w:szCs w:val="16"/>
          <w:color w:val="auto"/>
        </w:rPr>
        <w:t>“Legacy Energy Funds” include Energy III, Energy IV, and Renew II and are managed with Riverstone and its</w:t>
      </w:r>
    </w:p>
    <w:p>
      <w:pPr>
        <w:ind w:right="1560"/>
        <w:spacing w:after="0" w:line="213" w:lineRule="auto"/>
        <w:rPr>
          <w:sz w:val="20"/>
          <w:szCs w:val="20"/>
          <w:color w:val="auto"/>
        </w:rPr>
      </w:pPr>
      <w:r>
        <w:rPr>
          <w:rFonts w:ascii="Times New Roman" w:cs="Times New Roman" w:eastAsia="Times New Roman" w:hAnsi="Times New Roman"/>
          <w:sz w:val="16"/>
          <w:szCs w:val="16"/>
          <w:color w:val="auto"/>
        </w:rPr>
        <w:t>affiliates. The investment periods for these funds have expired and the remaining investments in each fund are being disposed of in the ordinary course of business. The impact of these funds is no longer significant to our results of operations. “Metropolitan” or “MRE” refers to Metropolitan Real Estate Management, LLC, which was included in the Global Investment Solutions business segment prior to its sale on April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ectPr>
          <w:pgSz w:w="11900" w:h="16840" w:orient="portrait"/>
          <w:cols w:equalWidth="0" w:num="1">
            <w:col w:w="9400"/>
          </w:cols>
          <w:pgMar w:left="1060" w:top="557" w:right="1440" w:bottom="128" w:gutter="0" w:footer="0" w:header="0"/>
        </w:sectPr>
      </w:pPr>
    </w:p>
    <w:p>
      <w:pPr>
        <w:spacing w:after="0" w:line="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b w:val="1"/>
          <w:bCs w:val="1"/>
          <w:color w:val="auto"/>
        </w:rPr>
        <w:t>ITEM 1. Overview</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200" w:lineRule="exact"/>
        <w:rPr>
          <w:sz w:val="20"/>
          <w:szCs w:val="20"/>
          <w:color w:val="auto"/>
        </w:rPr>
      </w:pPr>
    </w:p>
    <w:p>
      <w:pPr>
        <w:sectPr>
          <w:pgSz w:w="11900" w:h="16840" w:orient="portrait"/>
          <w:cols w:equalWidth="0" w:num="2">
            <w:col w:w="640" w:space="500"/>
            <w:col w:w="8260"/>
          </w:cols>
          <w:pgMar w:left="1060" w:top="557" w:right="1440" w:bottom="128" w:gutter="0" w:footer="0" w:header="0"/>
          <w:type w:val="continuous"/>
        </w:sectPr>
      </w:pPr>
    </w:p>
    <w:p>
      <w:pPr>
        <w:ind w:right="1460" w:firstLine="576"/>
        <w:spacing w:after="0" w:line="225" w:lineRule="auto"/>
        <w:rPr>
          <w:sz w:val="20"/>
          <w:szCs w:val="20"/>
          <w:color w:val="auto"/>
        </w:rPr>
      </w:pPr>
      <w:r>
        <w:rPr>
          <w:rFonts w:ascii="Times New Roman" w:cs="Times New Roman" w:eastAsia="Times New Roman" w:hAnsi="Times New Roman"/>
          <w:sz w:val="14"/>
          <w:szCs w:val="14"/>
          <w:color w:val="auto"/>
        </w:rPr>
        <w:t>Carlyle is a global investment firm with deep industry expertise that deploys private capital across three business segments: Global Private Equity, Global Credit, and Global Investment Solutions. Our teams invest across a range of strategies that leverage our deep industry expertise, local insights, and global resources to deliver attractive returns throughout an investment cycle. Since our firm was founded in Washington, D.C. in 1987, we have grown to manage $ 441 billion in AUM as of December 31, 2024. Our experienced and diverse team of more than 2,300 employees includes more than 725 investment professionals in 29 offices across four continents, and we serve more than 3,100 active carry fund investors from 87 countries.</w:t>
      </w:r>
    </w:p>
    <w:p>
      <w:pPr>
        <w:spacing w:after="0" w:line="2" w:lineRule="exact"/>
        <w:rPr>
          <w:sz w:val="20"/>
          <w:szCs w:val="20"/>
          <w:color w:val="auto"/>
        </w:rPr>
      </w:pPr>
    </w:p>
    <w:p>
      <w:pPr>
        <w:ind w:right="1560" w:firstLine="576"/>
        <w:spacing w:after="0" w:line="203" w:lineRule="auto"/>
        <w:rPr>
          <w:sz w:val="20"/>
          <w:szCs w:val="20"/>
          <w:color w:val="auto"/>
        </w:rPr>
      </w:pPr>
      <w:r>
        <w:rPr>
          <w:rFonts w:ascii="Times New Roman" w:cs="Times New Roman" w:eastAsia="Times New Roman" w:hAnsi="Times New Roman"/>
          <w:sz w:val="16"/>
          <w:szCs w:val="16"/>
          <w:color w:val="auto"/>
        </w:rPr>
        <w:t>We seek to invest with a clarity of purpose, adaptability, and alignment between our interests and the interests of our fund investors, shareholders, and other stakeholders.</w:t>
      </w:r>
    </w:p>
    <w:p>
      <w:pPr>
        <w:ind w:left="560"/>
        <w:spacing w:after="0" w:line="235" w:lineRule="auto"/>
        <w:rPr>
          <w:sz w:val="20"/>
          <w:szCs w:val="20"/>
          <w:color w:val="auto"/>
        </w:rPr>
      </w:pPr>
      <w:r>
        <w:rPr>
          <w:rFonts w:ascii="Times New Roman" w:cs="Times New Roman" w:eastAsia="Times New Roman" w:hAnsi="Times New Roman"/>
          <w:sz w:val="16"/>
          <w:szCs w:val="16"/>
          <w:color w:val="auto"/>
        </w:rPr>
        <w:t>Operational and strategic highlights for our firm and our three global business segments for 2024 include:</w:t>
      </w:r>
    </w:p>
    <w:p>
      <w:pPr>
        <w:spacing w:after="0" w:line="1" w:lineRule="exact"/>
        <w:rPr>
          <w:sz w:val="20"/>
          <w:szCs w:val="20"/>
          <w:color w:val="auto"/>
        </w:rPr>
      </w:pPr>
    </w:p>
    <w:p>
      <w:pPr>
        <w:ind w:right="2580"/>
        <w:spacing w:after="0" w:line="203" w:lineRule="auto"/>
        <w:rPr>
          <w:sz w:val="20"/>
          <w:szCs w:val="20"/>
          <w:color w:val="auto"/>
        </w:rPr>
      </w:pPr>
      <w:r>
        <w:rPr>
          <w:rFonts w:ascii="Times New Roman" w:cs="Times New Roman" w:eastAsia="Times New Roman" w:hAnsi="Times New Roman"/>
          <w:sz w:val="16"/>
          <w:szCs w:val="16"/>
          <w:color w:val="auto"/>
        </w:rPr>
        <w:t>•Assets under management grew 4% to $441 billion as of December 31, 2024 from $426 billion as of December 31, 2023. The increase was driven by inflows of $40.8 billion during 2024, consisting entirely of fundraising activity which increased 10% from 2023. We deployed $42.7 billion across our platform during 2024—including invested capital in our carry funds, new CLO issuances and incremental capital raised from CLO resets, and gross originations—and we realized proceeds of $28.6 billion for our carry fund investors. •We returned more than $1 billion in capital to our shareholders. During 2024, we paid dividends to our common shareholders of $503 million, and $555 million to repurchase 9.0 million shares of our common stock and retire 3.3 million shares of our common stock in connection with the net share settlement of equity-based awards.</w:t>
      </w:r>
    </w:p>
    <w:p>
      <w:pPr>
        <w:spacing w:after="0" w:line="4" w:lineRule="exact"/>
        <w:rPr>
          <w:sz w:val="20"/>
          <w:szCs w:val="20"/>
          <w:color w:val="auto"/>
        </w:rPr>
      </w:pPr>
    </w:p>
    <w:p>
      <w:pPr>
        <w:ind w:right="2540"/>
        <w:spacing w:after="0" w:line="211" w:lineRule="auto"/>
        <w:rPr>
          <w:sz w:val="20"/>
          <w:szCs w:val="20"/>
          <w:color w:val="auto"/>
        </w:rPr>
      </w:pPr>
      <w:r>
        <w:rPr>
          <w:rFonts w:ascii="Times New Roman" w:cs="Times New Roman" w:eastAsia="Times New Roman" w:hAnsi="Times New Roman"/>
          <w:sz w:val="16"/>
          <w:szCs w:val="16"/>
          <w:color w:val="auto"/>
        </w:rPr>
        <w:t>•In our Global Private Equity (“GPE”) segment, we realized proceeds of $17.8 billion for our carry fund investors in 2024 through both private market and public equity transactions, and deployed $8.2 billion across the segment. During 2024, inflows of $12.7 billion reflected fundraising across the segment, including the launch of our tenth U.S. real estate fund (“CRP X”) and additional commitments to our fifth Japan buyout fund (“CJP V”), which is nearly 70% larger than its predecessor fund.</w:t>
      </w:r>
    </w:p>
    <w:p>
      <w:pPr>
        <w:sectPr>
          <w:pgSz w:w="11900" w:h="16840" w:orient="portrait"/>
          <w:cols w:equalWidth="0" w:num="1">
            <w:col w:w="9400"/>
          </w:cols>
          <w:pgMar w:left="1060" w:top="557" w:right="1440" w:bottom="128" w:gutter="0" w:footer="0" w:header="0"/>
          <w:type w:val="continuous"/>
        </w:sectPr>
      </w:pPr>
    </w:p>
    <w:bookmarkStart w:id="6" w:name="page7"/>
    <w:bookmarkEnd w:id="6"/>
    <w:p>
      <w:pPr>
        <w:ind w:right="2580"/>
        <w:spacing w:after="0" w:line="206" w:lineRule="auto"/>
        <w:rPr>
          <w:sz w:val="20"/>
          <w:szCs w:val="20"/>
          <w:color w:val="auto"/>
        </w:rPr>
      </w:pPr>
      <w:r>
        <w:rPr>
          <w:rFonts w:ascii="Times New Roman" w:cs="Times New Roman" w:eastAsia="Times New Roman" w:hAnsi="Times New Roman"/>
          <w:sz w:val="16"/>
          <w:szCs w:val="16"/>
          <w:color w:val="auto"/>
        </w:rPr>
        <w:t>•Our Global Credit (“GC”) AUM increased 2% year-over-year to $192 billion, driven by inflows of $17.3 billion across a diverse set of strategies, including the closing of ten new CLOs in liquid credit, the final closing in our third opportunistic credit fund (“CCOF III”), and record gross subscriptions in Carlyle Tactical Private Credit Fund (“CTAC”), which more than doubled its AUM over the last two years. Our Global Capital Markets strategy also had a record year, and was the primary driver of $ 152.5 million of portfolio advisory and transaction fees for the year ended December 31, 2024, more than double the amount earned in 2023.</w:t>
      </w:r>
    </w:p>
    <w:p>
      <w:pPr>
        <w:spacing w:after="0" w:line="5" w:lineRule="exact"/>
        <w:rPr>
          <w:sz w:val="20"/>
          <w:szCs w:val="20"/>
          <w:color w:val="auto"/>
        </w:rPr>
      </w:pPr>
    </w:p>
    <w:p>
      <w:pPr>
        <w:ind w:right="2560"/>
        <w:spacing w:after="0" w:line="203" w:lineRule="auto"/>
        <w:rPr>
          <w:sz w:val="20"/>
          <w:szCs w:val="20"/>
          <w:color w:val="auto"/>
        </w:rPr>
      </w:pPr>
      <w:r>
        <w:rPr>
          <w:rFonts w:ascii="Times New Roman" w:cs="Times New Roman" w:eastAsia="Times New Roman" w:hAnsi="Times New Roman"/>
          <w:sz w:val="16"/>
          <w:szCs w:val="16"/>
          <w:color w:val="auto"/>
        </w:rPr>
        <w:t>•In our Global Investment Solutions segment, total AUM increased 11% year -over-year to $85 billion, driven by $10.8 billion of inflows primarily from fundraising in our secondaries and portfolio finance and CAPM funds. Following the launch of Carlyle AlpInvest Private Markets Fund during 2023, we launched its European counterpart fund during 2024 (together, the “CAPM funds” or “CAPM”). We deployed $ 10.0 billion in investments across our Global Investment Solutions platform and we realized proceeds of $6.6 billion for our Global Investment Solutions investors.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1" w:lineRule="exact"/>
        <w:rPr>
          <w:sz w:val="20"/>
          <w:szCs w:val="20"/>
          <w:color w:val="auto"/>
        </w:rPr>
      </w:pPr>
    </w:p>
    <w:p>
      <w:pPr>
        <w:ind w:right="1400" w:firstLine="576"/>
        <w:spacing w:after="0" w:line="216" w:lineRule="auto"/>
        <w:rPr>
          <w:sz w:val="20"/>
          <w:szCs w:val="20"/>
          <w:color w:val="auto"/>
        </w:rPr>
      </w:pPr>
      <w:r>
        <w:rPr>
          <w:rFonts w:ascii="Times New Roman" w:cs="Times New Roman" w:eastAsia="Times New Roman" w:hAnsi="Times New Roman"/>
          <w:sz w:val="16"/>
          <w:szCs w:val="16"/>
          <w:color w:val="auto"/>
        </w:rPr>
        <w:t>We operate our business across three segments: Global Private Equity, Global Credit, and Global Investment Solutions. Information about our segments should be read together with Part II,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Global Private Equity</w:t>
      </w: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Our GPE segment advises our buyout, growth, real estate, infrastructure, and natural resources funds. Across our GPE funds, as of December 31, 2024, we had investments in more than 275 active portfolio companies that employ over 750,000 people around the world. Our GPE teams have the following areas of focus:</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Corporate Private Equity</w:t>
      </w:r>
      <w:r>
        <w:rPr>
          <w:rFonts w:ascii="Times New Roman" w:cs="Times New Roman" w:eastAsia="Times New Roman" w:hAnsi="Times New Roman"/>
          <w:sz w:val="16"/>
          <w:szCs w:val="16"/>
          <w:color w:val="auto"/>
        </w:rPr>
        <w:t>. Our corporate private equity teams advise a diverse group of funds that invest in</w:t>
      </w:r>
    </w:p>
    <w:p>
      <w:pPr>
        <w:ind w:right="1540"/>
        <w:spacing w:after="0" w:line="203" w:lineRule="auto"/>
        <w:rPr>
          <w:sz w:val="20"/>
          <w:szCs w:val="20"/>
          <w:color w:val="auto"/>
        </w:rPr>
      </w:pPr>
      <w:r>
        <w:rPr>
          <w:rFonts w:ascii="Times New Roman" w:cs="Times New Roman" w:eastAsia="Times New Roman" w:hAnsi="Times New Roman"/>
          <w:sz w:val="16"/>
          <w:szCs w:val="16"/>
          <w:color w:val="auto"/>
        </w:rPr>
        <w:t>transactions that focus either on a particular geography or strategy. Our buyout funds focus on corporate buyouts and strategic minority investments. The investment mandate for our growth capital funds is to seek out companies with the potential for disruptive growth. Our core strategy seeks longer duration private equity opportunities, targeting stable businesses with sustainable market leadership, which have opportunities for operational improvement. Our corporate private equity funds are advised by teams of local professionals who live and work in the markets where they invest. In 2024, we invested $ 5.0 billion in new and follow-on investments through our corporate private equity funds. As of December 31, 2024, our corporate private equity funds had, in the aggregate, $105.2 billion in AUM.</w:t>
      </w:r>
    </w:p>
    <w:p>
      <w:pPr>
        <w:spacing w:after="0" w:line="3" w:lineRule="exact"/>
        <w:rPr>
          <w:sz w:val="20"/>
          <w:szCs w:val="20"/>
          <w:color w:val="auto"/>
        </w:rPr>
      </w:pPr>
    </w:p>
    <w:p>
      <w:pPr>
        <w:ind w:right="1520" w:firstLine="612"/>
        <w:spacing w:after="0" w:line="203" w:lineRule="auto"/>
        <w:rPr>
          <w:sz w:val="20"/>
          <w:szCs w:val="20"/>
          <w:color w:val="auto"/>
        </w:rPr>
      </w:pPr>
      <w:r>
        <w:rPr>
          <w:rFonts w:ascii="Times New Roman" w:cs="Times New Roman" w:eastAsia="Times New Roman" w:hAnsi="Times New Roman"/>
          <w:sz w:val="16"/>
          <w:szCs w:val="16"/>
          <w:i w:val="1"/>
          <w:iCs w:val="1"/>
          <w:color w:val="auto"/>
        </w:rPr>
        <w:t>Real Estate</w:t>
      </w:r>
      <w:r>
        <w:rPr>
          <w:rFonts w:ascii="Times New Roman" w:cs="Times New Roman" w:eastAsia="Times New Roman" w:hAnsi="Times New Roman"/>
          <w:sz w:val="16"/>
          <w:szCs w:val="16"/>
          <w:color w:val="auto"/>
        </w:rPr>
        <w:t>. Our real estate team advises real estate funds that invest in the U.S. and Europe, with a focus on a broad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range of opportunities including residential properties, senior living facilities, industrial properties, and self- storage properties, but have limited our exposure to office buildings, hotels, and retail properties. Our real estate funds generally focus on acquiring single- property assets rather than large- cap companies with real estate portfolios and made more than 1,650 investments in more than 800 cities or metropolitan statistical areas around the world from inception through December 31, 2024. As of December 31, 2024, our real estate funds managed, in the aggregate, $34.4 billion in AUM.</w:t>
      </w:r>
    </w:p>
    <w:p>
      <w:pPr>
        <w:spacing w:after="0" w:line="3" w:lineRule="exact"/>
        <w:rPr>
          <w:sz w:val="20"/>
          <w:szCs w:val="20"/>
          <w:color w:val="auto"/>
        </w:rPr>
      </w:pPr>
    </w:p>
    <w:p>
      <w:pPr>
        <w:ind w:right="150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Infrastructure &amp; Natural Resources. </w:t>
      </w:r>
      <w:r>
        <w:rPr>
          <w:rFonts w:ascii="Times New Roman" w:cs="Times New Roman" w:eastAsia="Times New Roman" w:hAnsi="Times New Roman"/>
          <w:sz w:val="16"/>
          <w:szCs w:val="16"/>
          <w:color w:val="auto"/>
        </w:rPr>
        <w:t>Our active infrastructure and natural resources funds focus on infrastructure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energy investing. Our infrastructure business comprises teams that invest in six primary sectors: renewables, energy infrastructure, water and waste, transportation, digital infrastructure, and power generation. Our energy activities focus on buyouts, growth capital investments and strategic joint ventures in the midstream, upstream, downstream, energy and oilfield services sectors around the world. Our international energy investment team focuses on investments across the energy value chain outside of North America. We conduct our North American energy investing through our strategic investment in NGP, a Texas -based energy investor. As of December 31, 2024, we managed $24.0 billion in AUM through our infrastructure and natural resources funds.</w:t>
      </w:r>
    </w:p>
    <w:p>
      <w:pPr>
        <w:spacing w:after="0" w:line="3" w:lineRule="exact"/>
        <w:rPr>
          <w:sz w:val="20"/>
          <w:szCs w:val="20"/>
          <w:color w:val="auto"/>
        </w:rPr>
      </w:pPr>
    </w:p>
    <w:p>
      <w:pPr>
        <w:ind w:right="2220"/>
        <w:spacing w:after="0" w:line="209" w:lineRule="auto"/>
        <w:rPr>
          <w:sz w:val="20"/>
          <w:szCs w:val="20"/>
          <w:color w:val="auto"/>
        </w:rPr>
      </w:pPr>
      <w:r>
        <w:rPr>
          <w:rFonts w:ascii="Times New Roman" w:cs="Times New Roman" w:eastAsia="Times New Roman" w:hAnsi="Times New Roman"/>
          <w:sz w:val="16"/>
          <w:szCs w:val="16"/>
          <w:color w:val="auto"/>
        </w:rPr>
        <w:t>The following table presents certain data about our Global Private Equity segment as of December 31, 2024 (dollar amounts in billions) .</w:t>
      </w:r>
    </w:p>
    <w:tbl>
      <w:tblPr>
        <w:tblLayout w:type="fixed"/>
        <w:tblInd w:w="0" w:type="dxa"/>
        <w:tblCellMar>
          <w:top w:w="0" w:type="dxa"/>
          <w:left w:w="0" w:type="dxa"/>
          <w:bottom w:w="0" w:type="dxa"/>
          <w:right w:w="0" w:type="dxa"/>
        </w:tblCellMar>
      </w:tblPr>
      <w:tr>
        <w:trPr>
          <w:trHeight w:val="119"/>
        </w:trPr>
        <w:tc>
          <w:tcPr>
            <w:tcW w:w="6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AUM</w:t>
            </w:r>
            <w:r>
              <w:rPr>
                <w:rFonts w:ascii="Times New Roman" w:cs="Times New Roman" w:eastAsia="Times New Roman" w:hAnsi="Times New Roman"/>
                <w:sz w:val="8"/>
                <w:szCs w:val="8"/>
                <w:b w:val="1"/>
                <w:bCs w:val="1"/>
                <w:color w:val="auto"/>
              </w:rPr>
              <w:t>(1)</w:t>
            </w:r>
          </w:p>
        </w:tc>
        <w:tc>
          <w:tcPr>
            <w:tcW w:w="2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0" w:type="dxa"/>
            <w:vAlign w:val="bottom"/>
          </w:tcPr>
          <w:p>
            <w:pPr>
              <w:spacing w:after="0"/>
              <w:rPr>
                <w:sz w:val="10"/>
                <w:szCs w:val="10"/>
                <w:color w:val="auto"/>
              </w:rPr>
            </w:pPr>
          </w:p>
        </w:tc>
        <w:tc>
          <w:tcPr>
            <w:tcW w:w="7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Fee-earning</w:t>
            </w:r>
          </w:p>
        </w:tc>
        <w:tc>
          <w:tcPr>
            <w:tcW w:w="40" w:type="dxa"/>
            <w:vAlign w:val="bottom"/>
          </w:tcPr>
          <w:p>
            <w:pPr>
              <w:spacing w:after="0"/>
              <w:rPr>
                <w:sz w:val="10"/>
                <w:szCs w:val="10"/>
                <w:color w:val="auto"/>
              </w:rPr>
            </w:pPr>
          </w:p>
        </w:tc>
        <w:tc>
          <w:tcPr>
            <w:tcW w:w="9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Active</w:t>
            </w:r>
          </w:p>
        </w:tc>
        <w:tc>
          <w:tcPr>
            <w:tcW w:w="40" w:type="dxa"/>
            <w:vAlign w:val="bottom"/>
          </w:tcPr>
          <w:p>
            <w:pPr>
              <w:spacing w:after="0"/>
              <w:rPr>
                <w:sz w:val="10"/>
                <w:szCs w:val="10"/>
                <w:color w:val="auto"/>
              </w:rPr>
            </w:pPr>
          </w:p>
        </w:tc>
        <w:tc>
          <w:tcPr>
            <w:tcW w:w="6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Active</w:t>
            </w:r>
          </w:p>
        </w:tc>
        <w:tc>
          <w:tcPr>
            <w:tcW w:w="40" w:type="dxa"/>
            <w:vAlign w:val="bottom"/>
          </w:tcPr>
          <w:p>
            <w:pPr>
              <w:spacing w:after="0"/>
              <w:rPr>
                <w:sz w:val="10"/>
                <w:szCs w:val="10"/>
                <w:color w:val="auto"/>
              </w:rPr>
            </w:pPr>
          </w:p>
        </w:tc>
        <w:tc>
          <w:tcPr>
            <w:tcW w:w="7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20" w:type="dxa"/>
            <w:vAlign w:val="bottom"/>
          </w:tcPr>
          <w:p>
            <w:pPr>
              <w:spacing w:after="0"/>
              <w:rPr>
                <w:sz w:val="10"/>
                <w:szCs w:val="10"/>
                <w:color w:val="auto"/>
              </w:rPr>
            </w:pPr>
          </w:p>
        </w:tc>
        <w:tc>
          <w:tcPr>
            <w:tcW w:w="10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40" w:type="dxa"/>
            <w:vAlign w:val="bottom"/>
          </w:tcPr>
          <w:p>
            <w:pPr>
              <w:spacing w:after="0"/>
              <w:rPr>
                <w:sz w:val="10"/>
                <w:szCs w:val="10"/>
                <w:color w:val="auto"/>
              </w:rPr>
            </w:pPr>
          </w:p>
        </w:tc>
        <w:tc>
          <w:tcPr>
            <w:tcW w:w="11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Amount Invested</w:t>
            </w:r>
          </w:p>
        </w:tc>
        <w:tc>
          <w:tcPr>
            <w:tcW w:w="40" w:type="dxa"/>
            <w:vAlign w:val="bottom"/>
          </w:tcPr>
          <w:p>
            <w:pPr>
              <w:spacing w:after="0"/>
              <w:rPr>
                <w:sz w:val="10"/>
                <w:szCs w:val="10"/>
                <w:color w:val="auto"/>
              </w:rPr>
            </w:pPr>
          </w:p>
        </w:tc>
        <w:tc>
          <w:tcPr>
            <w:tcW w:w="112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Investments Since</w:t>
            </w: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w:t>
            </w:r>
          </w:p>
        </w:tc>
        <w:tc>
          <w:tcPr>
            <w:tcW w:w="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w:t>
            </w:r>
          </w:p>
        </w:tc>
        <w:tc>
          <w:tcPr>
            <w:tcW w:w="4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4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Funds</w:t>
            </w:r>
            <w:r>
              <w:rPr>
                <w:rFonts w:ascii="Times New Roman" w:cs="Times New Roman" w:eastAsia="Times New Roman" w:hAnsi="Times New Roman"/>
                <w:sz w:val="8"/>
                <w:szCs w:val="8"/>
                <w:b w:val="1"/>
                <w:bCs w:val="1"/>
                <w:color w:val="auto"/>
              </w:rPr>
              <w:t>(1)</w:t>
            </w: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Professionals</w:t>
            </w:r>
            <w:r>
              <w:rPr>
                <w:rFonts w:ascii="Times New Roman" w:cs="Times New Roman" w:eastAsia="Times New Roman" w:hAnsi="Times New Roman"/>
                <w:sz w:val="8"/>
                <w:szCs w:val="8"/>
                <w:b w:val="1"/>
                <w:bCs w:val="1"/>
                <w:color w:val="auto"/>
              </w:rPr>
              <w:t>(2)</w:t>
            </w:r>
          </w:p>
        </w:tc>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Since Inception</w:t>
            </w:r>
          </w:p>
        </w:tc>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Inception</w:t>
            </w:r>
          </w:p>
        </w:tc>
        <w:tc>
          <w:tcPr>
            <w:tcW w:w="0" w:type="dxa"/>
            <w:vAlign w:val="bottom"/>
          </w:tcPr>
          <w:p>
            <w:pPr>
              <w:spacing w:after="0"/>
              <w:rPr>
                <w:sz w:val="1"/>
                <w:szCs w:val="1"/>
                <w:color w:val="auto"/>
              </w:rPr>
            </w:pPr>
          </w:p>
        </w:tc>
      </w:tr>
      <w:tr>
        <w:trPr>
          <w:trHeight w:val="42"/>
        </w:trPr>
        <w:tc>
          <w:tcPr>
            <w:tcW w:w="6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vMerge w:val="continue"/>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vMerge w:val="continue"/>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40" w:type="dxa"/>
            <w:vAlign w:val="bottom"/>
            <w:vMerge w:val="continue"/>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950+</w:t>
            </w:r>
          </w:p>
        </w:tc>
        <w:tc>
          <w:tcPr>
            <w:tcW w:w="40" w:type="dxa"/>
            <w:vAlign w:val="bottom"/>
            <w:vMerge w:val="continue"/>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71</w:t>
            </w:r>
          </w:p>
        </w:tc>
        <w:tc>
          <w:tcPr>
            <w:tcW w:w="40" w:type="dxa"/>
            <w:vAlign w:val="bottom"/>
            <w:vMerge w:val="continue"/>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vMerge w:val="continue"/>
          </w:tcPr>
          <w:p>
            <w:pPr>
              <w:spacing w:after="0"/>
              <w:rPr>
                <w:sz w:val="16"/>
                <w:szCs w:val="16"/>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w:t>
            </w:r>
          </w:p>
        </w:tc>
        <w:tc>
          <w:tcPr>
            <w:tcW w:w="40" w:type="dxa"/>
            <w:vAlign w:val="bottom"/>
            <w:vMerge w:val="continue"/>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$230</w:t>
            </w:r>
          </w:p>
        </w:tc>
        <w:tc>
          <w:tcPr>
            <w:tcW w:w="40" w:type="dxa"/>
            <w:vAlign w:val="bottom"/>
            <w:vMerge w:val="continue"/>
          </w:tcPr>
          <w:p>
            <w:pPr>
              <w:spacing w:after="0"/>
              <w:rPr>
                <w:sz w:val="16"/>
                <w:szCs w:val="16"/>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2,650+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521335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3350" cy="152400"/>
                    </a:xfrm>
                    <a:prstGeom prst="rect">
                      <a:avLst/>
                    </a:prstGeom>
                    <a:noFill/>
                  </pic:spPr>
                </pic:pic>
              </a:graphicData>
            </a:graphic>
          </wp:anchor>
        </w:drawing>
      </w:r>
    </w:p>
    <w:p>
      <w:pPr>
        <w:jc w:val="both"/>
        <w:ind w:right="1700"/>
        <w:spacing w:after="0" w:line="220" w:lineRule="auto"/>
        <w:rPr>
          <w:sz w:val="20"/>
          <w:szCs w:val="20"/>
          <w:color w:val="auto"/>
        </w:rPr>
      </w:pPr>
      <w:r>
        <w:rPr>
          <w:rFonts w:ascii="Times New Roman" w:cs="Times New Roman" w:eastAsia="Times New Roman" w:hAnsi="Times New Roman"/>
          <w:sz w:val="14"/>
          <w:szCs w:val="14"/>
          <w:color w:val="auto"/>
        </w:rPr>
        <w:t>(1)Total AUM includes NGP, which advises eight funds with $10.6 billion in AUM as of December 31, 2024. Through our strategic partnership with NGP, we are entitled to 55% of the management fee related revenue of the NGP entities that serve as advisors to the NGP Energy Funds, and an allocation of income related to the carried interest received by the fund general partners of the NGP Carry Funds. We do not control NGP, and we do not serve as an investment adviser to the NGP funds.</w:t>
      </w:r>
    </w:p>
    <w:p>
      <w:pPr>
        <w:spacing w:after="0" w:line="219" w:lineRule="auto"/>
        <w:rPr>
          <w:sz w:val="20"/>
          <w:szCs w:val="20"/>
          <w:color w:val="auto"/>
        </w:rPr>
      </w:pPr>
      <w:r>
        <w:rPr>
          <w:rFonts w:ascii="Times New Roman" w:cs="Times New Roman" w:eastAsia="Times New Roman" w:hAnsi="Times New Roman"/>
          <w:sz w:val="14"/>
          <w:szCs w:val="14"/>
          <w:color w:val="auto"/>
        </w:rPr>
        <w:t>(2)Total GPE investment professionals excludes NGP employees.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Global Credit</w:t>
      </w:r>
    </w:p>
    <w:p>
      <w:pPr>
        <w:spacing w:after="0" w:line="1" w:lineRule="exact"/>
        <w:rPr>
          <w:sz w:val="20"/>
          <w:szCs w:val="20"/>
          <w:color w:val="auto"/>
        </w:rPr>
      </w:pPr>
    </w:p>
    <w:p>
      <w:pPr>
        <w:ind w:right="1480" w:firstLine="576"/>
        <w:spacing w:after="0" w:line="238" w:lineRule="auto"/>
        <w:rPr>
          <w:sz w:val="20"/>
          <w:szCs w:val="20"/>
          <w:color w:val="auto"/>
        </w:rPr>
      </w:pPr>
      <w:r>
        <w:rPr>
          <w:rFonts w:ascii="Times New Roman" w:cs="Times New Roman" w:eastAsia="Times New Roman" w:hAnsi="Times New Roman"/>
          <w:sz w:val="14"/>
          <w:szCs w:val="14"/>
          <w:color w:val="auto"/>
        </w:rPr>
        <w:t>Our Global Credit segment, which had $192.4 billion in assets under management as of December 31, 2024, advises products that pursue investment strategies across the credit spectrum, including: liquid credit, private credit, including opportunistic credit, direct lending, and real assets credit, as well as platform initiatives such as CTAC and asset -backed finance. Global Credit, which also includes our Insurance Solutions and Global Capital Markets businesses, has been Carlyle’s fastest- growing segment in the past five years, with total AUM nearly quadrupling in that period. Since the establishment of Global Credit in 1999, these various capital sources have provided the opportunity for Carlyle to offer highly customizable and creative financing solutions to borrowers to meet their specific capital needs. Carlyle draws on the expertise and underwriting capabilities of our more than 190 investment professionals and leverages the resources and industry expertise of Carlyle’s</w:t>
      </w:r>
    </w:p>
    <w:p>
      <w:pPr>
        <w:sectPr>
          <w:pgSz w:w="11900" w:h="16840" w:orient="portrait"/>
          <w:cols w:equalWidth="0" w:num="1">
            <w:col w:w="9400"/>
          </w:cols>
          <w:pgMar w:left="1060" w:top="557" w:right="1440" w:bottom="139"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t>global network to provide creative solutions for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spacing w:after="0" w:line="204" w:lineRule="auto"/>
        <w:rPr>
          <w:sz w:val="20"/>
          <w:szCs w:val="20"/>
          <w:color w:val="auto"/>
        </w:rPr>
      </w:pPr>
      <w:r>
        <w:rPr>
          <w:rFonts w:ascii="Times New Roman" w:cs="Times New Roman" w:eastAsia="Times New Roman" w:hAnsi="Times New Roman"/>
          <w:sz w:val="16"/>
          <w:szCs w:val="16"/>
          <w:color w:val="auto"/>
        </w:rPr>
        <w:t>Primary areas of focus for our Global Credit platform include:</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Insurance Solutions</w:t>
      </w:r>
    </w:p>
    <w:p>
      <w:pPr>
        <w:ind w:right="2300"/>
        <w:spacing w:after="0" w:line="203"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u w:val="single" w:color="auto"/>
          <w:color w:val="auto"/>
        </w:rPr>
        <w:t>Carlyle Insurance Solutions</w:t>
      </w:r>
      <w:r>
        <w:rPr>
          <w:rFonts w:ascii="Times New Roman" w:cs="Times New Roman" w:eastAsia="Times New Roman" w:hAnsi="Times New Roman"/>
          <w:sz w:val="16"/>
          <w:szCs w:val="16"/>
          <w:color w:val="auto"/>
        </w:rPr>
        <w:t>. Carlyle Insurance Solutions (“CIS”) combines our deep insurance expertise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construction capabilities, capital sourcing and asset origination strengths to provide comprehensive liability funding and reinsurance, asset management and advisory solutions for reinsurance companies and fund investors. The CIS team oversees the investment in Fortitude, as well as the strategic advisory services agreement with certain subsidiaries of Fortitude. As of December 31, 2024, AUM related to capital raised from third-party investors to acquire a controlling interest in Fortitude was $ 6.0 billion. As of December 31, 2024, AUM related to the strategic advisory services agreement was $ 70.9 billion, which has increased nearly 50% since signing the agreement in April 2022. This balance includes the net asset value of investments in Carlyle products, which is also reflected in the AUM and Fee-earning AUM of the strategy in which they are invested. Fortitude and certain Fortitude reinsurance counterparties have committed approximately $19.4 billion of capital to-date to various Carlyle strategies.</w:t>
      </w:r>
    </w:p>
    <w:p>
      <w:pPr>
        <w:spacing w:after="0" w:line="209" w:lineRule="auto"/>
        <w:rPr>
          <w:sz w:val="20"/>
          <w:szCs w:val="20"/>
          <w:color w:val="auto"/>
        </w:rPr>
      </w:pPr>
      <w:r>
        <w:rPr>
          <w:rFonts w:ascii="Times New Roman" w:cs="Times New Roman" w:eastAsia="Times New Roman" w:hAnsi="Times New Roman"/>
          <w:sz w:val="16"/>
          <w:szCs w:val="16"/>
          <w:i w:val="1"/>
          <w:iCs w:val="1"/>
          <w:color w:val="auto"/>
        </w:rPr>
        <w:t>Liquid Credit</w:t>
      </w:r>
    </w:p>
    <w:p>
      <w:pPr>
        <w:ind w:right="2300"/>
        <w:spacing w:after="0" w:line="203" w:lineRule="auto"/>
        <w:rPr>
          <w:sz w:val="20"/>
          <w:szCs w:val="20"/>
          <w:color w:val="auto"/>
        </w:rPr>
      </w:pPr>
      <w:r>
        <w:rPr>
          <w:rFonts w:ascii="Times New Roman" w:cs="Times New Roman" w:eastAsia="Times New Roman" w:hAnsi="Times New Roman"/>
          <w:sz w:val="16"/>
          <w:szCs w:val="16"/>
          <w:color w:val="auto"/>
        </w:rPr>
        <w:t>•Our liquid credit products invest primarily in performing senior secured bank loans through CLOs and other investment vehicles. In 2024, we closed ten new CLOs with an aggregate size of $4.8 billion. As of December 31, 2024, our liquid credit team advised funds with AUM totaling $50.0 billion.</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Private Credit</w:t>
      </w:r>
    </w:p>
    <w:p>
      <w:pPr>
        <w:ind w:right="222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Opportunistic Credit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opportunistic credit team invests primarily in highly-structured and privately-negotiated capital solutions supporting corporate borrowers through secured loans, senior subordinated debt, mezzanine debt, convertible notes, and other debt-like instruments, as well as preferred and common equity. The team will also look to invest in special situations (i.e., event -driven opportunities that exhibit hybrid credit and equity features) as well as market dislocations (i.e., primary and secondary market investments in liquid debt instruments that arise as a result of temporary market volatility). In certain investments, our funds may seek to restructure pre-reorganization debt claims into controlling positions in the equity of the reorganized companies. As of December 31, 2024, our opportunistic credit team advised products totaling $19.5 billion in AUM.</w:t>
      </w:r>
    </w:p>
    <w:p>
      <w:pPr>
        <w:spacing w:after="0" w:line="3" w:lineRule="exact"/>
        <w:rPr>
          <w:sz w:val="20"/>
          <w:szCs w:val="20"/>
          <w:color w:val="auto"/>
        </w:rPr>
      </w:pPr>
    </w:p>
    <w:p>
      <w:pPr>
        <w:ind w:right="230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Direct Lending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direct lending business includes our business development companies (“BDCs”) that invest primarily in middle market first-lien loans (which include unitranche, “first out” and “last out” loans) and second-lien loans of middle -market companies, typically defined as companies with annual EBITDA ranging from $25 million to $100 million, that lack access to the broadly syndicated loan and bond markets. As of December 31, 2024, our direct lending investment team advised investment vehicles with AUM totaling $10.9 billion.</w:t>
      </w:r>
    </w:p>
    <w:p>
      <w:pPr>
        <w:spacing w:after="0" w:line="2" w:lineRule="exact"/>
        <w:rPr>
          <w:sz w:val="20"/>
          <w:szCs w:val="20"/>
          <w:color w:val="auto"/>
        </w:rPr>
      </w:pPr>
    </w:p>
    <w:p>
      <w:pPr>
        <w:ind w:right="228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Asset-Backed Finance</w:t>
      </w:r>
      <w:r>
        <w:rPr>
          <w:rFonts w:ascii="Times New Roman" w:cs="Times New Roman" w:eastAsia="Times New Roman" w:hAnsi="Times New Roman"/>
          <w:sz w:val="16"/>
          <w:szCs w:val="16"/>
          <w:color w:val="auto"/>
        </w:rPr>
        <w:t>. Asset-backed finance (“ABF”) is an asset-backed, private fixed income investment strategy within Global Credit that seeks to generate a premium return profile compared to traditional fixed income and credit investments by acquiring and lending against diversified pools of assets with contractual cash flows. ABF combines Carlyle’s long- standing history in liquid credit, private asset underwriting expertise, and capital markets capabilities, to deliver tailored asset-focused financing solutions across the entire debt and equity capital structure. As of December 31, 2024, ABF represented $7.6 billion in AUM.</w:t>
      </w:r>
    </w:p>
    <w:p>
      <w:pPr>
        <w:spacing w:after="0" w:line="3" w:lineRule="exact"/>
        <w:rPr>
          <w:sz w:val="20"/>
          <w:szCs w:val="20"/>
          <w:color w:val="auto"/>
        </w:rPr>
      </w:pPr>
    </w:p>
    <w:p>
      <w:pPr>
        <w:ind w:right="270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Aviation Finance</w:t>
      </w:r>
      <w:r>
        <w:rPr>
          <w:rFonts w:ascii="Times New Roman" w:cs="Times New Roman" w:eastAsia="Times New Roman" w:hAnsi="Times New Roman"/>
          <w:sz w:val="16"/>
          <w:szCs w:val="16"/>
          <w:color w:val="auto"/>
        </w:rPr>
        <w:t>. Carlyle Aviation Partners is our multi-strategy investment platform that is engaged in commercial aviation aircraft financing and investment throughout the commercial aviation industry. As of December 31, 2024, Carlyle Aviation Partners had approximately $12.6 billion in AUM across carry funds, securitization vehicles, liquid strategies, and other vehicles.</w:t>
      </w:r>
    </w:p>
    <w:p>
      <w:pPr>
        <w:spacing w:after="0" w:line="2" w:lineRule="exact"/>
        <w:rPr>
          <w:sz w:val="20"/>
          <w:szCs w:val="20"/>
          <w:color w:val="auto"/>
        </w:rPr>
      </w:pPr>
    </w:p>
    <w:p>
      <w:pPr>
        <w:ind w:right="2260"/>
        <w:spacing w:after="0" w:line="20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Infrastructure Credit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Our Infrastructure credit team invests primarily in directly originated and privately negotiated debt instruments related to global infrastructure projects, primarily in the power, energy, transportation, water/waste, telecommunications and social infrastructure sectors. The team focuses primarily on senior, subordinated, and mezzanine debt and seeks to invest primarily in developed markets within the Organization for Economic Cooperation and Development (“OECD”). As of December 31, 2024, our Infrastructure credit team managed $5.9 billion in AUM.</w:t>
      </w:r>
    </w:p>
    <w:p>
      <w:pPr>
        <w:sectPr>
          <w:pgSz w:w="11900" w:h="16840" w:orient="portrait"/>
          <w:cols w:equalWidth="0" w:num="1">
            <w:col w:w="9400"/>
          </w:cols>
          <w:pgMar w:left="1060" w:top="557"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30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Cross -Platform Credit Products</w:t>
      </w:r>
      <w:r>
        <w:rPr>
          <w:rFonts w:ascii="Times New Roman" w:cs="Times New Roman" w:eastAsia="Times New Roman" w:hAnsi="Times New Roman"/>
          <w:sz w:val="16"/>
          <w:szCs w:val="16"/>
          <w:color w:val="auto"/>
        </w:rPr>
        <w:t>. Our platform initiatives include CTAC, our closed- end interval fund that invests across Carlyle’s entire credit platform, as well as cross-platform separately managed accounts that are tailored to invest across Carlyle’s credit platform based on the specific investment needs of individual investors. As of December 31, 2024, the Global Credit platform initiatives represented $8.1 billion in AUM.</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Global Capital Markets</w:t>
      </w:r>
    </w:p>
    <w:p>
      <w:pPr>
        <w:spacing w:after="0" w:line="1" w:lineRule="exact"/>
        <w:rPr>
          <w:sz w:val="20"/>
          <w:szCs w:val="20"/>
          <w:color w:val="auto"/>
        </w:rPr>
      </w:pPr>
    </w:p>
    <w:p>
      <w:pPr>
        <w:ind w:right="230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Carlyle Global Capital Markets</w:t>
      </w:r>
      <w:r>
        <w:rPr>
          <w:rFonts w:ascii="Times New Roman" w:cs="Times New Roman" w:eastAsia="Times New Roman" w:hAnsi="Times New Roman"/>
          <w:sz w:val="16"/>
          <w:szCs w:val="16"/>
          <w:color w:val="auto"/>
        </w:rPr>
        <w:t>. Carlyle Global Capital Markets (“GCM”) is a loan syndication and capital markets business that launched in 2018. The primary focus of GCM is to arrange, place, underwrite, originate and syndicate loans and underwrite and place securities of third parties and Carlyle portfolio companies through TCG Capital Markets and TCG Senior Funding. TCG Capital Markets is a FINRA registered broker dealer. GCM may also act as the initial purchaser of such loans and securities. GCM receives fees, including underwriting, placement, structuring, transaction and syndication fees, commissions, underwriting and original issue discounts, interest payments and other compensation, which may be payable in cash or securities or loans, in respect of the activities described above and may elect to waive such fees.</w:t>
      </w:r>
    </w:p>
    <w:p>
      <w:pPr>
        <w:ind w:left="560"/>
        <w:spacing w:after="0" w:line="237" w:lineRule="auto"/>
        <w:rPr>
          <w:sz w:val="20"/>
          <w:szCs w:val="20"/>
          <w:color w:val="auto"/>
        </w:rPr>
      </w:pPr>
      <w:r>
        <w:rPr>
          <w:rFonts w:ascii="Times New Roman" w:cs="Times New Roman" w:eastAsia="Times New Roman" w:hAnsi="Times New Roman"/>
          <w:sz w:val="14"/>
          <w:szCs w:val="14"/>
          <w:color w:val="auto"/>
        </w:rPr>
        <w:t>The following table presents certain data about our Global Credit segment as of December 31, 2024 (dollar amounts in</w:t>
      </w:r>
    </w:p>
    <w:p>
      <w:pPr>
        <w:spacing w:after="0" w:line="216" w:lineRule="auto"/>
        <w:rPr>
          <w:sz w:val="20"/>
          <w:szCs w:val="20"/>
          <w:color w:val="auto"/>
        </w:rPr>
      </w:pPr>
      <w:r>
        <w:rPr>
          <w:rFonts w:ascii="Times New Roman" w:cs="Times New Roman" w:eastAsia="Times New Roman" w:hAnsi="Times New Roman"/>
          <w:sz w:val="16"/>
          <w:szCs w:val="16"/>
          <w:color w:val="auto"/>
        </w:rPr>
        <w:t>billions).</w:t>
      </w:r>
    </w:p>
    <w:tbl>
      <w:tblPr>
        <w:tblLayout w:type="fixed"/>
        <w:tblInd w:w="0" w:type="dxa"/>
        <w:tblCellMar>
          <w:top w:w="0" w:type="dxa"/>
          <w:left w:w="0" w:type="dxa"/>
          <w:bottom w:w="0" w:type="dxa"/>
          <w:right w:w="0" w:type="dxa"/>
        </w:tblCellMar>
      </w:tblPr>
      <w:tr>
        <w:trPr>
          <w:trHeight w:val="118"/>
        </w:trPr>
        <w:tc>
          <w:tcPr>
            <w:tcW w:w="12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AUM</w:t>
            </w:r>
          </w:p>
        </w:tc>
        <w:tc>
          <w:tcPr>
            <w:tcW w:w="40" w:type="dxa"/>
            <w:vAlign w:val="bottom"/>
          </w:tcPr>
          <w:p>
            <w:pPr>
              <w:spacing w:after="0"/>
              <w:rPr>
                <w:sz w:val="10"/>
                <w:szCs w:val="10"/>
                <w:color w:val="auto"/>
              </w:rPr>
            </w:pPr>
          </w:p>
        </w:tc>
        <w:tc>
          <w:tcPr>
            <w:tcW w:w="12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40" w:type="dxa"/>
            <w:vAlign w:val="bottom"/>
          </w:tcPr>
          <w:p>
            <w:pPr>
              <w:spacing w:after="0"/>
              <w:rPr>
                <w:sz w:val="10"/>
                <w:szCs w:val="10"/>
                <w:color w:val="auto"/>
              </w:rPr>
            </w:pPr>
          </w:p>
        </w:tc>
        <w:tc>
          <w:tcPr>
            <w:tcW w:w="12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Fee-earning</w:t>
            </w:r>
          </w:p>
        </w:tc>
        <w:tc>
          <w:tcPr>
            <w:tcW w:w="40" w:type="dxa"/>
            <w:vAlign w:val="bottom"/>
          </w:tcPr>
          <w:p>
            <w:pPr>
              <w:spacing w:after="0"/>
              <w:rPr>
                <w:sz w:val="10"/>
                <w:szCs w:val="10"/>
                <w:color w:val="auto"/>
              </w:rPr>
            </w:pPr>
          </w:p>
        </w:tc>
        <w:tc>
          <w:tcPr>
            <w:tcW w:w="12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40" w:type="dxa"/>
            <w:vAlign w:val="bottom"/>
          </w:tcPr>
          <w:p>
            <w:pPr>
              <w:spacing w:after="0"/>
              <w:rPr>
                <w:sz w:val="10"/>
                <w:szCs w:val="10"/>
                <w:color w:val="auto"/>
              </w:rPr>
            </w:pPr>
          </w:p>
        </w:tc>
        <w:tc>
          <w:tcPr>
            <w:tcW w:w="12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Active</w:t>
            </w:r>
          </w:p>
        </w:tc>
        <w:tc>
          <w:tcPr>
            <w:tcW w:w="20" w:type="dxa"/>
            <w:vAlign w:val="bottom"/>
          </w:tcPr>
          <w:p>
            <w:pPr>
              <w:spacing w:after="0"/>
              <w:rPr>
                <w:sz w:val="10"/>
                <w:szCs w:val="10"/>
                <w:color w:val="auto"/>
              </w:rPr>
            </w:pPr>
          </w:p>
        </w:tc>
        <w:tc>
          <w:tcPr>
            <w:tcW w:w="12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Investment</w:t>
            </w:r>
          </w:p>
        </w:tc>
      </w:tr>
      <w:tr>
        <w:trPr>
          <w:trHeight w:val="174"/>
        </w:trPr>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AUM</w:t>
            </w:r>
          </w:p>
        </w:tc>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AUM</w:t>
            </w:r>
          </w:p>
        </w:tc>
        <w:tc>
          <w:tcPr>
            <w:tcW w:w="4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Funds</w:t>
            </w:r>
          </w:p>
        </w:tc>
        <w:tc>
          <w:tcPr>
            <w:tcW w:w="2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Professionals</w:t>
            </w:r>
          </w:p>
        </w:tc>
      </w:tr>
      <w:tr>
        <w:trPr>
          <w:trHeight w:val="42"/>
        </w:trPr>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8"/>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$154</w:t>
            </w: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190+</w:t>
            </w:r>
          </w:p>
        </w:tc>
      </w:tr>
    </w:tbl>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Global Investment Solutions</w:t>
      </w:r>
    </w:p>
    <w:p>
      <w:pPr>
        <w:spacing w:after="0" w:line="1" w:lineRule="exact"/>
        <w:rPr>
          <w:sz w:val="20"/>
          <w:szCs w:val="20"/>
          <w:color w:val="auto"/>
        </w:rPr>
      </w:pPr>
    </w:p>
    <w:p>
      <w:pPr>
        <w:ind w:right="1480" w:firstLine="576"/>
        <w:spacing w:after="0" w:line="203" w:lineRule="auto"/>
        <w:rPr>
          <w:sz w:val="20"/>
          <w:szCs w:val="20"/>
          <w:color w:val="auto"/>
        </w:rPr>
      </w:pPr>
      <w:r>
        <w:rPr>
          <w:rFonts w:ascii="Times New Roman" w:cs="Times New Roman" w:eastAsia="Times New Roman" w:hAnsi="Times New Roman"/>
          <w:sz w:val="16"/>
          <w:szCs w:val="16"/>
          <w:color w:val="auto"/>
        </w:rPr>
        <w:t>Our Global Investment Solutions segment, established in 2011, provides comprehensive investment opportunities and resources for our investors and clients to build private equity portfolios through fund of funds, secondary purchases or financings of existing portfolios and managed co -investment programs. Investors can also invest across our platform through our closed-end tender offer CAPM funds, which have $1.9 billion in AUM as of December 31, 2024. Global Investment Solutions executes these activities through AlpInvest, one of the world’s largest investors in private equity.</w:t>
      </w:r>
    </w:p>
    <w:p>
      <w:pPr>
        <w:ind w:left="560"/>
        <w:spacing w:after="0" w:line="206" w:lineRule="auto"/>
        <w:rPr>
          <w:sz w:val="20"/>
          <w:szCs w:val="20"/>
          <w:color w:val="auto"/>
        </w:rPr>
      </w:pPr>
      <w:r>
        <w:rPr>
          <w:rFonts w:ascii="Times New Roman" w:cs="Times New Roman" w:eastAsia="Times New Roman" w:hAnsi="Times New Roman"/>
          <w:sz w:val="16"/>
          <w:szCs w:val="16"/>
          <w:color w:val="auto"/>
        </w:rPr>
        <w:t>The primary areas of focus for our Global Investment Solutions teams include:</w:t>
      </w:r>
    </w:p>
    <w:p>
      <w:pPr>
        <w:ind w:right="226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Private Equity Secondary and Portfolio Finance Investments.</w:t>
      </w:r>
      <w:r>
        <w:rPr>
          <w:rFonts w:ascii="Times New Roman" w:cs="Times New Roman" w:eastAsia="Times New Roman" w:hAnsi="Times New Roman"/>
          <w:sz w:val="16"/>
          <w:szCs w:val="16"/>
          <w:color w:val="auto"/>
        </w:rPr>
        <w:t xml:space="preserve"> Funds managed by AlpInvest build an investment portfolio of private equity owned assets through the acquisition of limited partnership interests in the secondary market and other types of transactions such as fund recapitalizations, portfolio restructurings and spin-outs, and portfolio financings. Private equity investors who desire to sell or restructure their pre-existing investment commitments to a fund may negotiate to sell the fund interests to AlpInvest. In this manner, AlpInvest’s secondary and portfolio finance investments team provides the full range of liquidity and restructuring solutions from debt to equity for third-party private equity investors. As of December 31, 2024, our secondary and portfolio finance investments program totaled $37.1 billion in AUM.</w:t>
      </w:r>
    </w:p>
    <w:p>
      <w:pPr>
        <w:spacing w:after="0" w:line="3" w:lineRule="exact"/>
        <w:rPr>
          <w:sz w:val="20"/>
          <w:szCs w:val="20"/>
          <w:color w:val="auto"/>
        </w:rPr>
      </w:pPr>
    </w:p>
    <w:p>
      <w:pPr>
        <w:ind w:right="232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Private Equity Co-investments.</w:t>
      </w:r>
      <w:r>
        <w:rPr>
          <w:rFonts w:ascii="Times New Roman" w:cs="Times New Roman" w:eastAsia="Times New Roman" w:hAnsi="Times New Roman"/>
          <w:sz w:val="14"/>
          <w:szCs w:val="14"/>
          <w:color w:val="auto"/>
        </w:rPr>
        <w:t xml:space="preserve"> AlpInvest invests alongside other private equity and mezzanine funds in which it or certain AlpInvest limited partners typically has a primary fund investment throughout Europe, North America and Asia. These investments are generally made when an investment opportunity is too large for a particular fund and the sponsor of the fund therefore seeks to raise additional “co- investment” capital from sources such as AlpInvest. As of December 31, 2024, our co-investment programs totaled $22.2 billion in AUM.</w:t>
      </w:r>
    </w:p>
    <w:p>
      <w:pPr>
        <w:spacing w:after="0" w:line="2" w:lineRule="exact"/>
        <w:rPr>
          <w:sz w:val="20"/>
          <w:szCs w:val="20"/>
          <w:color w:val="auto"/>
        </w:rPr>
      </w:pPr>
    </w:p>
    <w:p>
      <w:pPr>
        <w:ind w:right="2200"/>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•Private Equity Fund Investments. </w:t>
      </w:r>
      <w:r>
        <w:rPr>
          <w:rFonts w:ascii="Times New Roman" w:cs="Times New Roman" w:eastAsia="Times New Roman" w:hAnsi="Times New Roman"/>
          <w:sz w:val="14"/>
          <w:szCs w:val="14"/>
          <w:color w:val="auto"/>
        </w:rPr>
        <w:t>Our fund of funds vehicles advised by AlpInvest make investment commitments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directly to buyout, growth capital, venture and other alternative asset funds advised by other general partners. As of December 31, 2024, AlpInvest advised $23.9 billion in AUM in private equity fund investments.</w:t>
      </w:r>
    </w:p>
    <w:p>
      <w:pPr>
        <w:sectPr>
          <w:pgSz w:w="11900" w:h="16840" w:orient="portrait"/>
          <w:cols w:equalWidth="0" w:num="1">
            <w:col w:w="9400"/>
          </w:cols>
          <w:pgMar w:left="1060" w:top="1440" w:right="1440" w:bottom="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spacing w:after="0"/>
        <w:rPr>
          <w:sz w:val="20"/>
          <w:szCs w:val="20"/>
          <w:color w:val="auto"/>
        </w:rPr>
      </w:pPr>
      <w:r>
        <w:rPr>
          <w:rFonts w:ascii="Times New Roman" w:cs="Times New Roman" w:eastAsia="Times New Roman" w:hAnsi="Times New Roman"/>
          <w:sz w:val="14"/>
          <w:szCs w:val="14"/>
          <w:color w:val="auto"/>
        </w:rPr>
        <w:t>The following table presents certain data about our Global Investment Solutions segment as of December 31, 2024</w:t>
      </w:r>
    </w:p>
    <w:p>
      <w:pPr>
        <w:sectPr>
          <w:pgSz w:w="11900" w:h="16840" w:orient="portrait"/>
          <w:cols w:equalWidth="0" w:num="1">
            <w:col w:w="9400"/>
          </w:cols>
          <w:pgMar w:left="1060" w:top="1440" w:right="1440" w:bottom="91"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(dollar amounts in billions).</w:t>
      </w:r>
    </w:p>
    <w:tbl>
      <w:tblPr>
        <w:tblLayout w:type="fixed"/>
        <w:tblInd w:w="0" w:type="dxa"/>
        <w:tblCellMar>
          <w:top w:w="0" w:type="dxa"/>
          <w:left w:w="0" w:type="dxa"/>
          <w:bottom w:w="0" w:type="dxa"/>
          <w:right w:w="0" w:type="dxa"/>
        </w:tblCellMar>
      </w:tblPr>
      <w:tr>
        <w:trPr>
          <w:trHeight w:val="118"/>
        </w:trPr>
        <w:tc>
          <w:tcPr>
            <w:tcW w:w="10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AUM</w:t>
            </w:r>
          </w:p>
        </w:tc>
        <w:tc>
          <w:tcPr>
            <w:tcW w:w="20" w:type="dxa"/>
            <w:vAlign w:val="bottom"/>
          </w:tcPr>
          <w:p>
            <w:pPr>
              <w:spacing w:after="0"/>
              <w:rPr>
                <w:sz w:val="10"/>
                <w:szCs w:val="10"/>
                <w:color w:val="auto"/>
              </w:rPr>
            </w:pPr>
          </w:p>
        </w:tc>
        <w:tc>
          <w:tcPr>
            <w:tcW w:w="1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0" w:type="dxa"/>
            <w:vAlign w:val="bottom"/>
          </w:tcPr>
          <w:p>
            <w:pPr>
              <w:spacing w:after="0"/>
              <w:rPr>
                <w:sz w:val="10"/>
                <w:szCs w:val="10"/>
                <w:color w:val="auto"/>
              </w:rPr>
            </w:pPr>
          </w:p>
        </w:tc>
        <w:tc>
          <w:tcPr>
            <w:tcW w:w="11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Fee-earning</w:t>
            </w:r>
          </w:p>
        </w:tc>
        <w:tc>
          <w:tcPr>
            <w:tcW w:w="40" w:type="dxa"/>
            <w:vAlign w:val="bottom"/>
          </w:tcPr>
          <w:p>
            <w:pPr>
              <w:spacing w:after="0"/>
              <w:rPr>
                <w:sz w:val="10"/>
                <w:szCs w:val="10"/>
                <w:color w:val="auto"/>
              </w:rPr>
            </w:pPr>
          </w:p>
        </w:tc>
        <w:tc>
          <w:tcPr>
            <w:tcW w:w="11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Fund</w:t>
            </w:r>
          </w:p>
        </w:tc>
        <w:tc>
          <w:tcPr>
            <w:tcW w:w="40" w:type="dxa"/>
            <w:vAlign w:val="bottom"/>
          </w:tcPr>
          <w:p>
            <w:pPr>
              <w:spacing w:after="0"/>
              <w:rPr>
                <w:sz w:val="10"/>
                <w:szCs w:val="10"/>
                <w:color w:val="auto"/>
              </w:rPr>
            </w:pPr>
          </w:p>
        </w:tc>
        <w:tc>
          <w:tcPr>
            <w:tcW w:w="1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Available</w:t>
            </w:r>
          </w:p>
        </w:tc>
        <w:tc>
          <w:tcPr>
            <w:tcW w:w="40" w:type="dxa"/>
            <w:vAlign w:val="bottom"/>
          </w:tcPr>
          <w:p>
            <w:pPr>
              <w:spacing w:after="0"/>
              <w:rPr>
                <w:sz w:val="10"/>
                <w:szCs w:val="10"/>
                <w:color w:val="auto"/>
              </w:rPr>
            </w:pPr>
          </w:p>
        </w:tc>
        <w:tc>
          <w:tcPr>
            <w:tcW w:w="12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20" w:type="dxa"/>
            <w:vAlign w:val="bottom"/>
          </w:tcPr>
          <w:p>
            <w:pPr>
              <w:spacing w:after="0"/>
              <w:rPr>
                <w:sz w:val="10"/>
                <w:szCs w:val="10"/>
                <w:color w:val="auto"/>
              </w:rPr>
            </w:pPr>
          </w:p>
        </w:tc>
        <w:tc>
          <w:tcPr>
            <w:tcW w:w="11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Amount Invested</w:t>
            </w:r>
          </w:p>
        </w:tc>
        <w:tc>
          <w:tcPr>
            <w:tcW w:w="0" w:type="dxa"/>
            <w:vAlign w:val="bottom"/>
          </w:tcPr>
          <w:p>
            <w:pPr>
              <w:spacing w:after="0"/>
              <w:rPr>
                <w:sz w:val="1"/>
                <w:szCs w:val="1"/>
                <w:color w:val="auto"/>
              </w:rPr>
            </w:pPr>
          </w:p>
        </w:tc>
      </w:tr>
      <w:tr>
        <w:trPr>
          <w:trHeight w:val="174"/>
        </w:trPr>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w:t>
            </w:r>
          </w:p>
        </w:tc>
        <w:tc>
          <w:tcPr>
            <w:tcW w:w="2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w:t>
            </w:r>
          </w:p>
        </w:tc>
        <w:tc>
          <w:tcPr>
            <w:tcW w:w="40" w:type="dxa"/>
            <w:vAlign w:val="bottom"/>
          </w:tcPr>
          <w:p>
            <w:pPr>
              <w:spacing w:after="0"/>
              <w:rPr>
                <w:sz w:val="15"/>
                <w:szCs w:val="15"/>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Vehicles</w:t>
            </w:r>
          </w:p>
        </w:tc>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Professionals</w:t>
            </w:r>
          </w:p>
        </w:tc>
        <w:tc>
          <w:tcPr>
            <w:tcW w:w="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Since Inception</w:t>
            </w:r>
          </w:p>
        </w:tc>
        <w:tc>
          <w:tcPr>
            <w:tcW w:w="0" w:type="dxa"/>
            <w:vAlign w:val="bottom"/>
          </w:tcPr>
          <w:p>
            <w:pPr>
              <w:spacing w:after="0"/>
              <w:rPr>
                <w:sz w:val="1"/>
                <w:szCs w:val="1"/>
                <w:color w:val="auto"/>
              </w:rPr>
            </w:pPr>
          </w:p>
        </w:tc>
      </w:tr>
      <w:tr>
        <w:trPr>
          <w:trHeight w:val="42"/>
        </w:trPr>
        <w:tc>
          <w:tcPr>
            <w:tcW w:w="10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vMerge w:val="continue"/>
          </w:tcPr>
          <w:p>
            <w:pPr>
              <w:spacing w:after="0"/>
              <w:rPr>
                <w:sz w:val="16"/>
                <w:szCs w:val="16"/>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w:t>
            </w:r>
          </w:p>
        </w:tc>
        <w:tc>
          <w:tcPr>
            <w:tcW w:w="40" w:type="dxa"/>
            <w:vAlign w:val="bottom"/>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vMerge w:val="continue"/>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vMerge w:val="continue"/>
          </w:tcPr>
          <w:p>
            <w:pPr>
              <w:spacing w:after="0"/>
              <w:rPr>
                <w:sz w:val="16"/>
                <w:szCs w:val="16"/>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vMerge w:val="continue"/>
          </w:tcPr>
          <w:p>
            <w:pPr>
              <w:spacing w:after="0"/>
              <w:rPr>
                <w:sz w:val="16"/>
                <w:szCs w:val="16"/>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-135890</wp:posOffset>
            </wp:positionV>
            <wp:extent cx="5190490" cy="144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0490" cy="14478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b w:val="1"/>
          <w:bCs w:val="1"/>
          <w:color w:val="auto"/>
        </w:rPr>
        <w:t>Investment Approach</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Global Private Equity</w:t>
      </w:r>
    </w:p>
    <w:p>
      <w:pPr>
        <w:ind w:left="560"/>
        <w:spacing w:after="0" w:line="204" w:lineRule="auto"/>
        <w:rPr>
          <w:sz w:val="20"/>
          <w:szCs w:val="20"/>
          <w:color w:val="auto"/>
        </w:rPr>
      </w:pPr>
      <w:r>
        <w:rPr>
          <w:rFonts w:ascii="Times New Roman" w:cs="Times New Roman" w:eastAsia="Times New Roman" w:hAnsi="Times New Roman"/>
          <w:sz w:val="16"/>
          <w:szCs w:val="16"/>
          <w:color w:val="auto"/>
        </w:rPr>
        <w:t>The investment approach of our GPE teams is generally characterized as follows:</w:t>
      </w:r>
    </w:p>
    <w:p>
      <w:pPr>
        <w:ind w:right="224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Consistent and Disciplined Investment Process.</w:t>
      </w:r>
      <w:r>
        <w:rPr>
          <w:rFonts w:ascii="Times New Roman" w:cs="Times New Roman" w:eastAsia="Times New Roman" w:hAnsi="Times New Roman"/>
          <w:sz w:val="16"/>
          <w:szCs w:val="16"/>
          <w:color w:val="auto"/>
        </w:rPr>
        <w:t xml:space="preserve"> We believe our successful investment track record is the result, in part, of a consistent and disciplined application of our investment process. Investment opportunities for our GPE funds are initially sourced and evaluated by one or more of our deal teams. Deal teams consistently strive to be creative and look for deals in which we can leverage Carlyle’s competitive advantages, sector experience, and global platform. The due diligence and transaction review process places a special emphasis on, as appropriate and among other considerations, the reputation of a target company’s shareholders and management, the company’s or asset’s size and sensitivity of cash flow generation, the business sector and competitive risks, the portfolio fit, exit risks, and other key factors specific to a particular investment. In evaluating each deal, we consider what expertise or experience we can bring to the transaction to enhance value for our investors. Each investment opportunity must secure approval from the investment committee of the applicable investment fund to move forward. To help ensure consistency, we utilize a standard investment committee process across our GPE funds, although NGP follows its own policies and procedures with respect to its advised funds. The investment committee approval process involves a detailed review of the transaction and investment thesis, business, risk factors and diligence issues, as well as financial models.</w:t>
      </w:r>
    </w:p>
    <w:p>
      <w:pPr>
        <w:spacing w:after="0" w:line="6" w:lineRule="exact"/>
        <w:rPr>
          <w:sz w:val="20"/>
          <w:szCs w:val="20"/>
          <w:color w:val="auto"/>
        </w:rPr>
      </w:pPr>
    </w:p>
    <w:p>
      <w:pPr>
        <w:ind w:right="232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Distinctive Portfolio Construction Principles.</w:t>
      </w:r>
      <w:r>
        <w:rPr>
          <w:rFonts w:ascii="Times New Roman" w:cs="Times New Roman" w:eastAsia="Times New Roman" w:hAnsi="Times New Roman"/>
          <w:sz w:val="16"/>
          <w:szCs w:val="16"/>
          <w:color w:val="auto"/>
        </w:rPr>
        <w:t xml:space="preserve"> We seek to proactively manage the construction of our portfolios through deliberate and thoughtful diversification across industries, geographies and cycles, and to avoid certain assets facing economic or industry headwinds. For example, our real estate portfolios have relatively little current exposure to commercial office properties, business hotels, and retail properties.</w:t>
      </w:r>
    </w:p>
    <w:p>
      <w:pPr>
        <w:spacing w:after="0" w:line="2" w:lineRule="exact"/>
        <w:rPr>
          <w:sz w:val="20"/>
          <w:szCs w:val="20"/>
          <w:color w:val="auto"/>
        </w:rPr>
      </w:pPr>
    </w:p>
    <w:p>
      <w:pPr>
        <w:ind w:right="224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Geographic- and Industry-Focused.</w:t>
      </w:r>
      <w:r>
        <w:rPr>
          <w:rFonts w:ascii="Times New Roman" w:cs="Times New Roman" w:eastAsia="Times New Roman" w:hAnsi="Times New Roman"/>
          <w:sz w:val="16"/>
          <w:szCs w:val="16"/>
          <w:color w:val="auto"/>
        </w:rPr>
        <w:t xml:space="preserve"> We have developed a global network of local investment teams and have adopted an industry-focused approach to investing. Our extensive network of global investment professionals has the knowledge, experience and relationships on a local level that allows them to identify and take advantage of opportunities that may be unavailable to firms that do not have our global reach and resources. We believe that our global platform helps enhance all stages of the investment process, including by facilitating faster and more effective diligence, a deeper understanding of global industry trends and priority access to the capital markets. We have particular industry expertise in aerospace and government services, consumer, media and retail, financial services, healthcare, industrials, technology, real estate, natural resources, and infrastructure. As a result, we believe that our in-depth knowledge of specific industries improves our ability to source and create transactions, conduct effective and more informed due diligence, develop strong relationships with management teams and use contacts and relationships within these industries to drive value creation.</w:t>
      </w:r>
    </w:p>
    <w:p>
      <w:pPr>
        <w:spacing w:after="0" w:line="5" w:lineRule="exact"/>
        <w:rPr>
          <w:sz w:val="20"/>
          <w:szCs w:val="20"/>
          <w:color w:val="auto"/>
        </w:rPr>
      </w:pPr>
    </w:p>
    <w:p>
      <w:pPr>
        <w:ind w:right="2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Variable Deal Sizes and Creative Structures.</w:t>
      </w:r>
      <w:r>
        <w:rPr>
          <w:rFonts w:ascii="Times New Roman" w:cs="Times New Roman" w:eastAsia="Times New Roman" w:hAnsi="Times New Roman"/>
          <w:sz w:val="14"/>
          <w:szCs w:val="14"/>
          <w:color w:val="auto"/>
        </w:rPr>
        <w:t xml:space="preserve"> We believe that having the resources to complete investments of varying sizes provides us with the ability to enhance investment returns while providing for prudent industry, geographic and size diversification. Our teams are staffed not only to effectively pursue large transactions, but also other transactions of varying sizes. We often invest in smaller companies or single real estate transactions and this has allowed us to obtain greater diversity across our entire portfolio. Additionally, we may undertake large, strategic minority investments with certain control elements or private investment in public equity (PIPE) transactions in large companies with a clear exit strategy. In certain jurisdictions around the world, we may make investments with little or no debt financing and seek alternative structures to opportunistically pursue transactions. We generally seek to obtain board representation and typically appoint our investment professionals and advisors to represent us on the boards of the companies in which we invest. Where our funds, either alone or as part of a consortium, are not the controlling investor, we typically, subject to applicable regulatory requirements, acquire significant voting and other control rights with a view to securing influence over the conduct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22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Driving Value Creation.</w:t>
      </w:r>
      <w:r>
        <w:rPr>
          <w:rFonts w:ascii="Times New Roman" w:cs="Times New Roman" w:eastAsia="Times New Roman" w:hAnsi="Times New Roman"/>
          <w:sz w:val="16"/>
          <w:szCs w:val="16"/>
          <w:color w:val="auto"/>
        </w:rPr>
        <w:t xml:space="preserve"> Our GPE teams seek to make investments in portfolio companies and assets in which our particular strengths and resources may be employed to their best advantage. Typically, as part of a GPE investment, our investment teams will prepare and execute a systematic value creation plan that is developed during a thorough due diligence effort and draws on the deep resources available across our global platform, specifically relying on:</w:t>
      </w:r>
    </w:p>
    <w:p>
      <w:pPr>
        <w:spacing w:after="0" w:line="2" w:lineRule="exact"/>
        <w:rPr>
          <w:sz w:val="20"/>
          <w:szCs w:val="20"/>
          <w:color w:val="auto"/>
        </w:rPr>
      </w:pPr>
    </w:p>
    <w:p>
      <w:pPr>
        <w:ind w:right="27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◦Reach. </w:t>
      </w:r>
      <w:r>
        <w:rPr>
          <w:rFonts w:ascii="Times New Roman" w:cs="Times New Roman" w:eastAsia="Times New Roman" w:hAnsi="Times New Roman"/>
          <w:sz w:val="16"/>
          <w:szCs w:val="16"/>
          <w:color w:val="auto"/>
        </w:rPr>
        <w:t>Our global team and global presence enables us to support international expansion of our operating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efforts and global supply chain initiatives.</w:t>
      </w:r>
    </w:p>
    <w:p>
      <w:pPr>
        <w:spacing w:after="0" w:line="1" w:lineRule="exact"/>
        <w:rPr>
          <w:sz w:val="20"/>
          <w:szCs w:val="20"/>
          <w:color w:val="auto"/>
        </w:rPr>
      </w:pPr>
    </w:p>
    <w:p>
      <w:pPr>
        <w:ind w:right="2540"/>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◦Expertise. </w:t>
      </w:r>
      <w:r>
        <w:rPr>
          <w:rFonts w:ascii="Times New Roman" w:cs="Times New Roman" w:eastAsia="Times New Roman" w:hAnsi="Times New Roman"/>
          <w:sz w:val="14"/>
          <w:szCs w:val="14"/>
          <w:color w:val="auto"/>
        </w:rPr>
        <w:t>Our deep bench of investment professionals and industry specialists provide extensive sector-specific knowledge and local market expertise. Our investment teams benefit from best- in-class support services and infrastructure provided through the global Carlyle organization. Carlyle’s overall infrastructure and support services cover the full range of administrative functions, including fund management, accounting, legal and compliance, human resources, information technology, tax, and external affairs. Additionally, where appropriate we may seek to partner with third parties whose sector or market expertise may enhance our value creation in an investment. For example, in our U.S. real estate funds we may partner with joint venture partners or managers with significant operational expertise and/or deal sourcing capabilities.</w:t>
      </w:r>
    </w:p>
    <w:p>
      <w:pPr>
        <w:spacing w:after="0" w:line="3" w:lineRule="exact"/>
        <w:rPr>
          <w:sz w:val="20"/>
          <w:szCs w:val="20"/>
          <w:color w:val="auto"/>
        </w:rPr>
      </w:pPr>
    </w:p>
    <w:p>
      <w:pPr>
        <w:ind w:right="2480"/>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◦Insights. </w:t>
      </w:r>
      <w:r>
        <w:rPr>
          <w:rFonts w:ascii="Times New Roman" w:cs="Times New Roman" w:eastAsia="Times New Roman" w:hAnsi="Times New Roman"/>
          <w:sz w:val="14"/>
          <w:szCs w:val="14"/>
          <w:color w:val="auto"/>
        </w:rPr>
        <w:t>To supplement our investment expertise, we retain a group of approximately 45 operating executives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advisors as independent consultants to work with our investment teams, provide board-level governance and support and advise our portfolio companies. These operating executives and advisors are typically former CEOs and other high-level executives of some of the world’s most successful corporations and currently sit on the boards of directors of a diverse mix of companies. Operating executives and advisors are independent</w:t>
      </w:r>
    </w:p>
    <w:p>
      <w:pPr>
        <w:sectPr>
          <w:pgSz w:w="11900" w:h="16840" w:orient="portrait"/>
          <w:cols w:equalWidth="0" w:num="1">
            <w:col w:w="9400"/>
          </w:cols>
          <w:pgMar w:left="1060" w:top="556" w:right="1440" w:bottom="8" w:gutter="0" w:footer="0" w:header="0"/>
        </w:sectPr>
      </w:pPr>
    </w:p>
    <w:bookmarkStart w:id="10" w:name="page11"/>
    <w:bookmarkEnd w:id="10"/>
    <w:p>
      <w:pPr>
        <w:ind w:right="2540"/>
        <w:spacing w:after="0" w:line="209" w:lineRule="auto"/>
        <w:rPr>
          <w:sz w:val="20"/>
          <w:szCs w:val="20"/>
          <w:color w:val="auto"/>
        </w:rPr>
      </w:pPr>
      <w:r>
        <w:rPr>
          <w:rFonts w:ascii="Times New Roman" w:cs="Times New Roman" w:eastAsia="Times New Roman" w:hAnsi="Times New Roman"/>
          <w:sz w:val="16"/>
          <w:szCs w:val="16"/>
          <w:color w:val="auto"/>
        </w:rPr>
        <w:t>consultants and are not Carlyle employees. Operating executives and advisors are often engaged by Carlyle primarily to assist with deal sourcing, due diligence and market intelligence. Operating executives and advisors may also be engaged and compensated by our portfolio companies as directors or to otherwise advise portfolio company management.</w:t>
      </w:r>
    </w:p>
    <w:p>
      <w:pPr>
        <w:spacing w:after="0" w:line="220" w:lineRule="auto"/>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i w:val="1"/>
          <w:iCs w:val="1"/>
          <w:color w:val="auto"/>
        </w:rPr>
        <w:t>Data.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goal of our research function is to extract as much information as possible from our portfolio about</w:t>
      </w:r>
    </w:p>
    <w:p>
      <w:pPr>
        <w:ind w:right="2580"/>
        <w:spacing w:after="0" w:line="203" w:lineRule="auto"/>
        <w:rPr>
          <w:sz w:val="20"/>
          <w:szCs w:val="20"/>
          <w:color w:val="auto"/>
        </w:rPr>
      </w:pPr>
      <w:r>
        <w:rPr>
          <w:rFonts w:ascii="Times New Roman" w:cs="Times New Roman" w:eastAsia="Times New Roman" w:hAnsi="Times New Roman"/>
          <w:sz w:val="16"/>
          <w:szCs w:val="16"/>
          <w:color w:val="auto"/>
        </w:rPr>
        <w:t>the current state of the economy and its likely evolution over the near- to- medium term. Our corporate private equity investment portfolio includes 190 active corporate investments as of December 31, 2024, across a diverse range of industries and geographies that each generate multiple data points (e.g., orders, shipments, production volumes, occupancy rates, bookings). By evaluating this data on a systematic basis, we work to identify the data with the highest correlation with macroeconomic data and map observed movements in the portfolio to anticipated variation in the economy, including changes in growth rates across industries and geographies. We incorporate this proprietary data into our investment portfolio management strategy and exit decisions on an ongoing basis. We believe this robust data gives us an advantage over our peers who do not have as large of a global reach. Additionally, we are leveraging technological innovations and Artificial Intelligence tools which offer operational efficiency potential across the deal life cycle from sourcing and diligence, all the way through to exits. These tools allow our deal teams to operate more efficiently by democratizing access to data analysis and automating more routine tasks allowing teams more time to focus on the key issues and drive greater investment insights.</w:t>
      </w:r>
    </w:p>
    <w:p>
      <w:pPr>
        <w:spacing w:after="0" w:line="5" w:lineRule="exact"/>
        <w:rPr>
          <w:sz w:val="20"/>
          <w:szCs w:val="20"/>
          <w:color w:val="auto"/>
        </w:rPr>
      </w:pPr>
    </w:p>
    <w:p>
      <w:pPr>
        <w:jc w:val="both"/>
        <w:ind w:right="302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◦Talent and Organization Performance. </w:t>
      </w:r>
      <w:r>
        <w:rPr>
          <w:rFonts w:ascii="Times New Roman" w:cs="Times New Roman" w:eastAsia="Times New Roman" w:hAnsi="Times New Roman"/>
          <w:sz w:val="16"/>
          <w:szCs w:val="16"/>
          <w:color w:val="auto"/>
        </w:rPr>
        <w:t>Our investment professionals work to enhance leadership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organizational effectiveness through proprietary and third-party data-driven assessments, best-practice playbooks, and knowledge-sharing forums.</w:t>
      </w:r>
    </w:p>
    <w:p>
      <w:pPr>
        <w:spacing w:after="0" w:line="1" w:lineRule="exact"/>
        <w:rPr>
          <w:sz w:val="20"/>
          <w:szCs w:val="20"/>
          <w:color w:val="auto"/>
        </w:rPr>
      </w:pPr>
    </w:p>
    <w:p>
      <w:pPr>
        <w:ind w:right="252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Pursuing Best Exit Alternatives</w:t>
      </w:r>
      <w:r>
        <w:rPr>
          <w:rFonts w:ascii="Times New Roman" w:cs="Times New Roman" w:eastAsia="Times New Roman" w:hAnsi="Times New Roman"/>
          <w:sz w:val="16"/>
          <w:szCs w:val="16"/>
          <w:color w:val="auto"/>
        </w:rPr>
        <w:t>. In determining when to exit an investment, our investment teams consider whether a portfolio company or asset has achieved its objectives, the financial returns (including gross and net MOIC and IRR) and the appropriate timing in industry cycles and company or asset development to strive for the optimal value. Each fund’s investment committee approves all exit decisions.</w:t>
      </w:r>
    </w:p>
    <w:p>
      <w:pPr>
        <w:spacing w:after="0" w:line="2" w:lineRule="exact"/>
        <w:rPr>
          <w:sz w:val="20"/>
          <w:szCs w:val="20"/>
          <w:color w:val="auto"/>
        </w:rPr>
      </w:pPr>
    </w:p>
    <w:p>
      <w:pPr>
        <w:ind w:right="2560"/>
        <w:spacing w:after="0" w:line="21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Value Creation</w:t>
      </w:r>
      <w:r>
        <w:rPr>
          <w:rFonts w:ascii="Times New Roman" w:cs="Times New Roman" w:eastAsia="Times New Roman" w:hAnsi="Times New Roman"/>
          <w:sz w:val="16"/>
          <w:szCs w:val="16"/>
          <w:color w:val="auto"/>
        </w:rPr>
        <w:t>. Our Global Portfolio Solutions team helps to translate our collaborative culture into services and operational capabilities supporting our investment process and portfolio companies and assets. Our approach ensures that Carlyle’s global network, deep industry knowledge, and operational expertise are used to support and enhance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31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▪Information Technology Resources. </w:t>
      </w:r>
      <w:r>
        <w:rPr>
          <w:rFonts w:ascii="Times New Roman" w:cs="Times New Roman" w:eastAsia="Times New Roman" w:hAnsi="Times New Roman"/>
          <w:sz w:val="16"/>
          <w:szCs w:val="16"/>
          <w:color w:val="auto"/>
        </w:rPr>
        <w:t>We have established an information technology capability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contributes to due diligence, portfolio company strategy and portfolio company operations. The capability includes dedicated information technology and business process resources, including assistance with portfolio company risk assessments and enhanced deal analytics.</w:t>
      </w:r>
    </w:p>
    <w:p>
      <w:pPr>
        <w:spacing w:after="0" w:line="2" w:lineRule="exact"/>
        <w:rPr>
          <w:sz w:val="20"/>
          <w:szCs w:val="20"/>
          <w:color w:val="auto"/>
        </w:rPr>
      </w:pPr>
    </w:p>
    <w:p>
      <w:pPr>
        <w:ind w:right="322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Digital.</w:t>
      </w:r>
      <w:r>
        <w:rPr>
          <w:rFonts w:ascii="Times New Roman" w:cs="Times New Roman" w:eastAsia="Times New Roman" w:hAnsi="Times New Roman"/>
          <w:sz w:val="16"/>
          <w:szCs w:val="16"/>
          <w:color w:val="auto"/>
        </w:rPr>
        <w:t xml:space="preserve"> Given the increasing importance of digital tools and resources across the global economy, we have established a dedicated group focused exclusively on identifying, developing and implementing digital transformation strategies to help drive growth, unlock value, and drive efficiencies across our portfolio companies.</w:t>
      </w:r>
    </w:p>
    <w:p>
      <w:pPr>
        <w:spacing w:after="0" w:line="2" w:lineRule="exact"/>
        <w:rPr>
          <w:sz w:val="20"/>
          <w:szCs w:val="20"/>
          <w:color w:val="auto"/>
        </w:rPr>
      </w:pPr>
    </w:p>
    <w:p>
      <w:pPr>
        <w:ind w:right="308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Procurement.</w:t>
      </w:r>
      <w:r>
        <w:rPr>
          <w:rFonts w:ascii="Times New Roman" w:cs="Times New Roman" w:eastAsia="Times New Roman" w:hAnsi="Times New Roman"/>
          <w:sz w:val="16"/>
          <w:szCs w:val="16"/>
          <w:color w:val="auto"/>
        </w:rPr>
        <w:t xml:space="preserve"> We have developed a leveraged purchasing effort to provide portfolio companies with effective sourcing programs with better pricing and service levels to help create operating value. This program seeks to drive down costs and provide better service on common indirect spend categories and disseminate best practices on managing functional spend in the areas of human capital management, employee benefits, corporate real estate, information technology and treasury and risk. As of December 31, 2024, over 60 portfolio companies are actively participating in the optional program, benefiting from more than 100 category arrangements and preferred vendor arrangements. ▪</w:t>
      </w:r>
      <w:r>
        <w:rPr>
          <w:rFonts w:ascii="Times New Roman" w:cs="Times New Roman" w:eastAsia="Times New Roman" w:hAnsi="Times New Roman"/>
          <w:sz w:val="16"/>
          <w:szCs w:val="16"/>
          <w:i w:val="1"/>
          <w:iCs w:val="1"/>
          <w:color w:val="auto"/>
        </w:rPr>
        <w:t>Sustainability.</w:t>
      </w:r>
      <w:r>
        <w:rPr>
          <w:rFonts w:ascii="Times New Roman" w:cs="Times New Roman" w:eastAsia="Times New Roman" w:hAnsi="Times New Roman"/>
          <w:sz w:val="16"/>
          <w:szCs w:val="16"/>
          <w:color w:val="auto"/>
        </w:rPr>
        <w:t xml:space="preserve"> As a responsible global organization dedicated to driving value, Carlyle has invested in a framework and the necessary resources for understanding, monitoring, and managing material environmental, social, and governance (“ESG”) risks and opportunities across our portfolio. We believe ESG integration provides an additional lens to help us assess and mitigate risks and identify and capitalize on potential opportunities.</w:t>
      </w:r>
    </w:p>
    <w:p>
      <w:pPr>
        <w:ind w:left="560"/>
        <w:spacing w:after="0" w:line="210" w:lineRule="auto"/>
        <w:rPr>
          <w:sz w:val="20"/>
          <w:szCs w:val="20"/>
          <w:color w:val="auto"/>
        </w:rPr>
      </w:pPr>
      <w:r>
        <w:rPr>
          <w:rFonts w:ascii="Times New Roman" w:cs="Times New Roman" w:eastAsia="Times New Roman" w:hAnsi="Times New Roman"/>
          <w:sz w:val="16"/>
          <w:szCs w:val="16"/>
          <w:b w:val="1"/>
          <w:bCs w:val="1"/>
          <w:i w:val="1"/>
          <w:iCs w:val="1"/>
          <w:color w:val="auto"/>
        </w:rPr>
        <w:t>Global Credit</w:t>
      </w:r>
    </w:p>
    <w:p>
      <w:pPr>
        <w:ind w:left="560"/>
        <w:spacing w:after="0" w:line="203" w:lineRule="auto"/>
        <w:rPr>
          <w:sz w:val="20"/>
          <w:szCs w:val="20"/>
          <w:color w:val="auto"/>
        </w:rPr>
      </w:pPr>
      <w:r>
        <w:rPr>
          <w:rFonts w:ascii="Times New Roman" w:cs="Times New Roman" w:eastAsia="Times New Roman" w:hAnsi="Times New Roman"/>
          <w:sz w:val="16"/>
          <w:szCs w:val="16"/>
          <w:color w:val="auto"/>
        </w:rPr>
        <w:t>The investment approach of our Global Credit platform is generally characterized as follows:</w:t>
      </w:r>
    </w:p>
    <w:p>
      <w:pPr>
        <w:spacing w:after="0" w:line="1" w:lineRule="exact"/>
        <w:rPr>
          <w:sz w:val="20"/>
          <w:szCs w:val="20"/>
          <w:color w:val="auto"/>
        </w:rPr>
      </w:pPr>
    </w:p>
    <w:p>
      <w:pPr>
        <w:ind w:right="224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Source Investment Opportunities.</w:t>
      </w:r>
      <w:r>
        <w:rPr>
          <w:rFonts w:ascii="Times New Roman" w:cs="Times New Roman" w:eastAsia="Times New Roman" w:hAnsi="Times New Roman"/>
          <w:sz w:val="16"/>
          <w:szCs w:val="16"/>
          <w:color w:val="auto"/>
        </w:rPr>
        <w:t xml:space="preserve"> Our Global Credit team sources investment opportunities from both the primary and secondary markets through our global network and strong relationships with the financial community. We typically target portfolio companies that have a demonstrated track record of profitability, market leadership in their respective niche, predictable cash flow, a definable competitive advantage and products or services that are value-added to their customer base.</w:t>
      </w:r>
    </w:p>
    <w:p>
      <w:pPr>
        <w:spacing w:after="0" w:line="2" w:lineRule="exact"/>
        <w:rPr>
          <w:sz w:val="20"/>
          <w:szCs w:val="20"/>
          <w:color w:val="auto"/>
        </w:rPr>
      </w:pPr>
    </w:p>
    <w:p>
      <w:pPr>
        <w:ind w:right="228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Conduct Fundamental Due Diligence and Perform Capital Structure Analyses</w:t>
      </w:r>
      <w:r>
        <w:rPr>
          <w:rFonts w:ascii="Times New Roman" w:cs="Times New Roman" w:eastAsia="Times New Roman" w:hAnsi="Times New Roman"/>
          <w:sz w:val="16"/>
          <w:szCs w:val="16"/>
          <w:color w:val="auto"/>
        </w:rPr>
        <w:t>. After an opportunity is identified, our Global Credit investment professionals conduct fundamental due diligence to determine the relative value of the potential investment and capital structure analyses to determine credit worthiness. Our due diligence approach typically incorporates meetings with management, company facility visits, discussions with industry analysts and consultants and an in- depth examination of financial results and projections. In conducting due diligence, our Global Credit team employs an integrated, cross-platform approach with industry-dedicated credit research analysts and non-investment grade expertise across the capital structure. Our Global Credit team also seeks to leverage resources from across the firm, utilizing information obtained from our more than 275 active portfolio companies and lending relationships, credit industry research team, in- house government affairs and economic research, and ESG teams.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Evaluation of Macroeconomic Factors.</w:t>
      </w:r>
      <w:r>
        <w:rPr>
          <w:rFonts w:ascii="Times New Roman" w:cs="Times New Roman" w:eastAsia="Times New Roman" w:hAnsi="Times New Roman"/>
          <w:sz w:val="16"/>
          <w:szCs w:val="16"/>
          <w:color w:val="auto"/>
        </w:rPr>
        <w:t xml:space="preserve"> Our Global Credit team evaluates technical factors such as supply and</w:t>
      </w:r>
    </w:p>
    <w:p>
      <w:pPr>
        <w:sectPr>
          <w:pgSz w:w="11900" w:h="16840" w:orient="portrait"/>
          <w:cols w:equalWidth="0" w:num="1">
            <w:col w:w="9400"/>
          </w:cols>
          <w:pgMar w:left="1060" w:top="557" w:right="1440" w:bottom="104" w:gutter="0" w:footer="0" w:header="0"/>
        </w:sectPr>
      </w:pPr>
    </w:p>
    <w:bookmarkStart w:id="11" w:name="page12"/>
    <w:bookmarkEnd w:id="11"/>
    <w:p>
      <w:pPr>
        <w:ind w:right="2420"/>
        <w:spacing w:after="0" w:line="209" w:lineRule="auto"/>
        <w:rPr>
          <w:sz w:val="20"/>
          <w:szCs w:val="20"/>
          <w:color w:val="auto"/>
        </w:rPr>
      </w:pPr>
      <w:r>
        <w:rPr>
          <w:rFonts w:ascii="Times New Roman" w:cs="Times New Roman" w:eastAsia="Times New Roman" w:hAnsi="Times New Roman"/>
          <w:sz w:val="16"/>
          <w:szCs w:val="16"/>
          <w:color w:val="auto"/>
        </w:rPr>
        <w:t>demand, the market’s expectations surrounding a company and the existence of short- and long -term value creation or destruction catalysts. Inherent in all stages of credit evaluation is a determination of the likelihood of potential catalysts emerging, such as corporate reorganizations, recapitalizations, asset sales, changes in a company’s liquidity and mergers and acquisitions.</w:t>
      </w:r>
    </w:p>
    <w:p>
      <w:pPr>
        <w:spacing w:after="0" w:line="1" w:lineRule="exact"/>
        <w:rPr>
          <w:sz w:val="20"/>
          <w:szCs w:val="20"/>
          <w:color w:val="auto"/>
        </w:rPr>
      </w:pPr>
    </w:p>
    <w:p>
      <w:pPr>
        <w:ind w:right="2260"/>
        <w:spacing w:after="0" w:line="23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Minimization.</w:t>
      </w:r>
      <w:r>
        <w:rPr>
          <w:rFonts w:ascii="Times New Roman" w:cs="Times New Roman" w:eastAsia="Times New Roman" w:hAnsi="Times New Roman"/>
          <w:sz w:val="14"/>
          <w:szCs w:val="14"/>
          <w:color w:val="auto"/>
        </w:rPr>
        <w:t xml:space="preserve"> Our Global Credit team seeks to make investments in companies that are well -positioned to weather downturns and/or below-plan performance. The team works to structure investments with strong financial covenants, frequent reporting requirements and board representation, if possible. Through board representation or observation rights, our Global Credit team works to provide a consultative, interactive approach to equity sponsors and management partners as part of the overall portfolio management process. In our CLO business, our liquid credit team uses an in-house risk and analytics platform to monitor and analyze our portfolio, and repositions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320"/>
        <w:spacing w:after="0" w:line="203" w:lineRule="auto"/>
        <w:rPr>
          <w:sz w:val="20"/>
          <w:szCs w:val="20"/>
          <w:color w:val="auto"/>
        </w:rPr>
      </w:pPr>
      <w:r>
        <w:rPr>
          <w:rFonts w:ascii="Times New Roman" w:cs="Times New Roman" w:eastAsia="Times New Roman" w:hAnsi="Times New Roman"/>
          <w:sz w:val="16"/>
          <w:szCs w:val="16"/>
          <w:color w:val="auto"/>
        </w:rPr>
        <w:t>portfolio as appropriate. The analytics platform is also used to generate sensitivity analysis for critical risk factors such as default rates, prepayment rates and liquidation prices.</w:t>
      </w:r>
    </w:p>
    <w:p>
      <w:pPr>
        <w:ind w:left="560"/>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Global Investment Solutions</w:t>
      </w:r>
    </w:p>
    <w:p>
      <w:pPr>
        <w:spacing w:after="0" w:line="1" w:lineRule="exact"/>
        <w:rPr>
          <w:sz w:val="20"/>
          <w:szCs w:val="20"/>
          <w:color w:val="auto"/>
        </w:rPr>
      </w:pPr>
    </w:p>
    <w:p>
      <w:pPr>
        <w:ind w:right="1520" w:firstLine="576"/>
        <w:spacing w:after="0" w:line="232" w:lineRule="auto"/>
        <w:rPr>
          <w:sz w:val="20"/>
          <w:szCs w:val="20"/>
          <w:color w:val="auto"/>
        </w:rPr>
      </w:pPr>
      <w:r>
        <w:rPr>
          <w:rFonts w:ascii="Times New Roman" w:cs="Times New Roman" w:eastAsia="Times New Roman" w:hAnsi="Times New Roman"/>
          <w:sz w:val="14"/>
          <w:szCs w:val="14"/>
          <w:color w:val="auto"/>
        </w:rPr>
        <w:t>Our Global Investment Solutions team aims to apply a wide array of capabilities to help clients meet their investment objectives. The investment approach of our Global Investment Solutions platform is generally characterized as follows:</w:t>
      </w:r>
    </w:p>
    <w:p>
      <w:pPr>
        <w:spacing w:after="0" w:line="1" w:lineRule="exact"/>
        <w:rPr>
          <w:sz w:val="20"/>
          <w:szCs w:val="20"/>
          <w:color w:val="auto"/>
        </w:rPr>
      </w:pPr>
    </w:p>
    <w:p>
      <w:pPr>
        <w:ind w:right="226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Well-Informed, Disciplined Investment Process.</w:t>
      </w:r>
      <w:r>
        <w:rPr>
          <w:rFonts w:ascii="Times New Roman" w:cs="Times New Roman" w:eastAsia="Times New Roman" w:hAnsi="Times New Roman"/>
          <w:sz w:val="16"/>
          <w:szCs w:val="16"/>
          <w:color w:val="auto"/>
        </w:rPr>
        <w:t xml:space="preserve"> We follow a disciplined, highly-selective investment process and seek to achieve diversification by deploying capital across economic cycles, segments and investment styles. Our integrated and collaborative culture across our strategies, reinforced by investment in information technology solutions, provides deep insight into fund manager portfolios and operations to support our rigorous selection process.</w:t>
      </w:r>
    </w:p>
    <w:p>
      <w:pPr>
        <w:spacing w:after="0" w:line="2" w:lineRule="exact"/>
        <w:rPr>
          <w:sz w:val="20"/>
          <w:szCs w:val="20"/>
          <w:color w:val="auto"/>
        </w:rPr>
      </w:pPr>
    </w:p>
    <w:p>
      <w:pPr>
        <w:ind w:right="2260"/>
        <w:spacing w:after="0" w:line="20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Proactive Sourcing.</w:t>
      </w:r>
      <w:r>
        <w:rPr>
          <w:rFonts w:ascii="Times New Roman" w:cs="Times New Roman" w:eastAsia="Times New Roman" w:hAnsi="Times New Roman"/>
          <w:sz w:val="16"/>
          <w:szCs w:val="16"/>
          <w:color w:val="auto"/>
        </w:rPr>
        <w:t xml:space="preserve"> AlpInvest’s extensive network of private equity managers across the globe positions us to identify investment opportunities that may be unavailable to other investors. Our investment strategy is defined by a strong belief that the most attractive opportunities are found in areas that are subject to fewer competitive pressures. As a result, our teams actively seek out proprietary investments that would otherwise be difficult for our investors to access alone.</w:t>
      </w:r>
    </w:p>
    <w:p>
      <w:pPr>
        <w:spacing w:after="0" w:line="2" w:lineRule="exact"/>
        <w:rPr>
          <w:sz w:val="20"/>
          <w:szCs w:val="20"/>
          <w:color w:val="auto"/>
        </w:rPr>
      </w:pPr>
    </w:p>
    <w:p>
      <w:pPr>
        <w:ind w:right="24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•Global Scale and Presence. </w:t>
      </w:r>
      <w:r>
        <w:rPr>
          <w:rFonts w:ascii="Times New Roman" w:cs="Times New Roman" w:eastAsia="Times New Roman" w:hAnsi="Times New Roman"/>
          <w:sz w:val="16"/>
          <w:szCs w:val="16"/>
          <w:color w:val="auto"/>
        </w:rPr>
        <w:t>Our scale and on-the-ground presence across three continents—Asia, Europe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North America—give us a distinct and comprehensive perspective on the private equity markets. Our stable, dedicated, and experienced teams have deep knowledge of their respective markets across the globe. We believe this enhances our visibility across the global investment market and provides detailed local information that enhances our investment evaluation process.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Our Global Investment Offerings</w:t>
      </w:r>
    </w:p>
    <w:p>
      <w:pPr>
        <w:ind w:right="1740" w:firstLine="576"/>
        <w:spacing w:after="0" w:line="236" w:lineRule="auto"/>
        <w:rPr>
          <w:sz w:val="20"/>
          <w:szCs w:val="20"/>
          <w:color w:val="auto"/>
        </w:rPr>
      </w:pPr>
      <w:r>
        <w:rPr>
          <w:rFonts w:ascii="Times New Roman" w:cs="Times New Roman" w:eastAsia="Times New Roman" w:hAnsi="Times New Roman"/>
          <w:sz w:val="14"/>
          <w:szCs w:val="14"/>
          <w:color w:val="auto"/>
        </w:rPr>
        <w:t>The following table provides a breakout of the product offerings and related acronyms included in our total assets under management of $ 441 billion as of December 31, 2024 for each of our three global business segments (in billions):</w:t>
      </w:r>
    </w:p>
    <w:p>
      <w:pPr>
        <w:sectPr>
          <w:pgSz w:w="11900" w:h="16840" w:orient="portrait"/>
          <w:cols w:equalWidth="0" w:num="1">
            <w:col w:w="9400"/>
          </w:cols>
          <w:pgMar w:left="1060" w:top="557" w:right="1440" w:bottom="539" w:gutter="0" w:footer="0" w:header="0"/>
        </w:sectPr>
      </w:pP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140" w:type="dxa"/>
            <w:vAlign w:val="bottom"/>
            <w:tcBorders>
              <w:left w:val="single" w:sz="8" w:color="096670"/>
            </w:tcBorders>
            <w:shd w:val="clear" w:color="auto" w:fill="096670"/>
          </w:tcPr>
          <w:p>
            <w:pPr>
              <w:ind w:left="20"/>
              <w:spacing w:after="0"/>
              <w:rPr>
                <w:sz w:val="20"/>
                <w:szCs w:val="20"/>
                <w:color w:val="auto"/>
              </w:rPr>
            </w:pPr>
            <w:r>
              <w:rPr>
                <w:rFonts w:ascii="Times New Roman" w:cs="Times New Roman" w:eastAsia="Times New Roman" w:hAnsi="Times New Roman"/>
                <w:sz w:val="14"/>
                <w:szCs w:val="14"/>
                <w:b w:val="1"/>
                <w:bCs w:val="1"/>
                <w:color w:val="FFFFFF"/>
              </w:rPr>
              <w:t>Global Private Equity</w:t>
            </w:r>
          </w:p>
        </w:tc>
        <w:tc>
          <w:tcPr>
            <w:tcW w:w="300" w:type="dxa"/>
            <w:vAlign w:val="bottom"/>
            <w:shd w:val="clear" w:color="auto" w:fill="096670"/>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w:t>
            </w:r>
          </w:p>
        </w:tc>
        <w:tc>
          <w:tcPr>
            <w:tcW w:w="660" w:type="dxa"/>
            <w:vAlign w:val="bottom"/>
            <w:tcBorders>
              <w:right w:val="single" w:sz="8" w:color="096670"/>
            </w:tcBorders>
            <w:shd w:val="clear" w:color="auto" w:fill="096670"/>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163.5</w:t>
            </w:r>
          </w:p>
        </w:tc>
      </w:tr>
      <w:tr>
        <w:trPr>
          <w:trHeight w:val="204"/>
        </w:trPr>
        <w:tc>
          <w:tcPr>
            <w:tcW w:w="3140" w:type="dxa"/>
            <w:vAlign w:val="bottom"/>
            <w:tcBorders>
              <w:left w:val="single" w:sz="8" w:color="096670"/>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Private Equity</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9667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105.2</w:t>
            </w:r>
          </w:p>
        </w:tc>
      </w:tr>
      <w:tr>
        <w:trPr>
          <w:trHeight w:val="188"/>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U.S. Buyout (CP)</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53.5</w:t>
            </w:r>
          </w:p>
        </w:tc>
      </w:tr>
      <w:tr>
        <w:trPr>
          <w:trHeight w:val="192"/>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Asia Buyout (CAP)</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11.8</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Europe Buyout (CEP)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Carlyle Global Partners (CGP)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7.2</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Europe Technology (CETP)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Japan Buyout (CJP)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U.S. Growth (CP Growth / CEOF)</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Life Sciences (ABV / ACCD)</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Asia Growth (CAP Growth / CAGP)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1</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r>
      <w:tr>
        <w:trPr>
          <w:trHeight w:val="28"/>
        </w:trPr>
        <w:tc>
          <w:tcPr>
            <w:tcW w:w="3140" w:type="dxa"/>
            <w:vAlign w:val="bottom"/>
            <w:tcBorders>
              <w:left w:val="single" w:sz="8" w:color="09667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right w:val="single" w:sz="8" w:color="096670"/>
            </w:tcBorders>
          </w:tcPr>
          <w:p>
            <w:pPr>
              <w:spacing w:after="0"/>
              <w:rPr>
                <w:sz w:val="2"/>
                <w:szCs w:val="2"/>
                <w:color w:val="auto"/>
              </w:rPr>
            </w:pPr>
          </w:p>
        </w:tc>
      </w:tr>
      <w:tr>
        <w:trPr>
          <w:trHeight w:val="204"/>
        </w:trPr>
        <w:tc>
          <w:tcPr>
            <w:tcW w:w="3140" w:type="dxa"/>
            <w:vAlign w:val="bottom"/>
            <w:tcBorders>
              <w:left w:val="single" w:sz="8" w:color="096670"/>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9667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34.4</w:t>
            </w:r>
          </w:p>
        </w:tc>
      </w:tr>
      <w:tr>
        <w:trPr>
          <w:trHeight w:val="188"/>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U.S. Real Estate (CRP)</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23.8</w:t>
            </w:r>
          </w:p>
        </w:tc>
      </w:tr>
      <w:tr>
        <w:trPr>
          <w:trHeight w:val="192"/>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Core Plus Real Estate (CPI)</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International Real Estate (CER)</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r>
      <w:tr>
        <w:trPr>
          <w:trHeight w:val="28"/>
        </w:trPr>
        <w:tc>
          <w:tcPr>
            <w:tcW w:w="3140" w:type="dxa"/>
            <w:vAlign w:val="bottom"/>
            <w:tcBorders>
              <w:left w:val="single" w:sz="8" w:color="096670"/>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right w:val="single" w:sz="8" w:color="096670"/>
            </w:tcBorders>
          </w:tcPr>
          <w:p>
            <w:pPr>
              <w:spacing w:after="0"/>
              <w:rPr>
                <w:sz w:val="2"/>
                <w:szCs w:val="2"/>
                <w:color w:val="auto"/>
              </w:rPr>
            </w:pPr>
          </w:p>
        </w:tc>
      </w:tr>
      <w:tr>
        <w:trPr>
          <w:trHeight w:val="204"/>
        </w:trPr>
        <w:tc>
          <w:tcPr>
            <w:tcW w:w="3140" w:type="dxa"/>
            <w:vAlign w:val="bottom"/>
            <w:tcBorders>
              <w:left w:val="single" w:sz="8" w:color="096670"/>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Infrastructure &amp; Natural Resources</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9667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24.0</w:t>
            </w:r>
          </w:p>
        </w:tc>
      </w:tr>
      <w:tr>
        <w:trPr>
          <w:trHeight w:val="188"/>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 xml:space="preserve">NGP Energy </w:t>
            </w:r>
            <w:r>
              <w:rPr>
                <w:rFonts w:ascii="Times New Roman" w:cs="Times New Roman" w:eastAsia="Times New Roman" w:hAnsi="Times New Roman"/>
                <w:sz w:val="9"/>
                <w:szCs w:val="9"/>
                <w:color w:val="auto"/>
              </w:rPr>
              <w:t>2</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r>
      <w:tr>
        <w:trPr>
          <w:trHeight w:val="192"/>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 xml:space="preserve">Infrastructure &amp; Renewable Energy </w:t>
            </w:r>
            <w:r>
              <w:rPr>
                <w:rFonts w:ascii="Times New Roman" w:cs="Times New Roman" w:eastAsia="Times New Roman" w:hAnsi="Times New Roman"/>
                <w:sz w:val="9"/>
                <w:szCs w:val="9"/>
                <w:color w:val="auto"/>
              </w:rPr>
              <w:t>3</w:t>
            </w:r>
          </w:p>
        </w:tc>
        <w:tc>
          <w:tcPr>
            <w:tcW w:w="300" w:type="dxa"/>
            <w:vAlign w:val="bottom"/>
          </w:tcPr>
          <w:p>
            <w:pPr>
              <w:spacing w:after="0"/>
              <w:rPr>
                <w:sz w:val="16"/>
                <w:szCs w:val="16"/>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r>
      <w:tr>
        <w:trPr>
          <w:trHeight w:val="204"/>
        </w:trPr>
        <w:tc>
          <w:tcPr>
            <w:tcW w:w="3140" w:type="dxa"/>
            <w:vAlign w:val="bottom"/>
            <w:tcBorders>
              <w:left w:val="single" w:sz="8" w:color="096670"/>
            </w:tcBorders>
          </w:tcPr>
          <w:p>
            <w:pPr>
              <w:ind w:left="20"/>
              <w:spacing w:after="0"/>
              <w:rPr>
                <w:sz w:val="20"/>
                <w:szCs w:val="20"/>
                <w:color w:val="auto"/>
              </w:rPr>
            </w:pPr>
            <w:r>
              <w:rPr>
                <w:rFonts w:ascii="Times New Roman" w:cs="Times New Roman" w:eastAsia="Times New Roman" w:hAnsi="Times New Roman"/>
                <w:sz w:val="14"/>
                <w:szCs w:val="14"/>
                <w:color w:val="auto"/>
              </w:rPr>
              <w:t>International Energy (CIEP)</w:t>
            </w:r>
          </w:p>
        </w:tc>
        <w:tc>
          <w:tcPr>
            <w:tcW w:w="300" w:type="dxa"/>
            <w:vAlign w:val="bottom"/>
          </w:tcPr>
          <w:p>
            <w:pPr>
              <w:spacing w:after="0"/>
              <w:rPr>
                <w:sz w:val="17"/>
                <w:szCs w:val="17"/>
                <w:color w:val="auto"/>
              </w:rPr>
            </w:pPr>
          </w:p>
        </w:tc>
        <w:tc>
          <w:tcPr>
            <w:tcW w:w="660" w:type="dxa"/>
            <w:vAlign w:val="bottom"/>
            <w:tcBorders>
              <w:right w:val="single" w:sz="8" w:color="096670"/>
            </w:tcBorders>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r>
      <w:tr>
        <w:trPr>
          <w:trHeight w:val="28"/>
        </w:trPr>
        <w:tc>
          <w:tcPr>
            <w:tcW w:w="3140" w:type="dxa"/>
            <w:vAlign w:val="bottom"/>
            <w:tcBorders>
              <w:left w:val="single" w:sz="8" w:color="096670"/>
              <w:bottom w:val="single" w:sz="8" w:color="096670"/>
            </w:tcBorders>
          </w:tcPr>
          <w:p>
            <w:pPr>
              <w:spacing w:after="0"/>
              <w:rPr>
                <w:sz w:val="2"/>
                <w:szCs w:val="2"/>
                <w:color w:val="auto"/>
              </w:rPr>
            </w:pPr>
          </w:p>
        </w:tc>
        <w:tc>
          <w:tcPr>
            <w:tcW w:w="300" w:type="dxa"/>
            <w:vAlign w:val="bottom"/>
            <w:tcBorders>
              <w:bottom w:val="single" w:sz="8" w:color="096670"/>
            </w:tcBorders>
          </w:tcPr>
          <w:p>
            <w:pPr>
              <w:spacing w:after="0"/>
              <w:rPr>
                <w:sz w:val="2"/>
                <w:szCs w:val="2"/>
                <w:color w:val="auto"/>
              </w:rPr>
            </w:pPr>
          </w:p>
        </w:tc>
        <w:tc>
          <w:tcPr>
            <w:tcW w:w="660" w:type="dxa"/>
            <w:vAlign w:val="bottom"/>
            <w:tcBorders>
              <w:bottom w:val="single" w:sz="8" w:color="096670"/>
              <w:right w:val="single" w:sz="8" w:color="096670"/>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6"/>
        </w:trPr>
        <w:tc>
          <w:tcPr>
            <w:tcW w:w="3220" w:type="dxa"/>
            <w:vAlign w:val="bottom"/>
            <w:tcBorders>
              <w:left w:val="single" w:sz="8" w:color="08335E"/>
            </w:tcBorders>
            <w:shd w:val="clear" w:color="auto" w:fill="0A364A"/>
          </w:tcPr>
          <w:p>
            <w:pPr>
              <w:ind w:left="20"/>
              <w:spacing w:after="0"/>
              <w:rPr>
                <w:sz w:val="20"/>
                <w:szCs w:val="20"/>
                <w:color w:val="auto"/>
              </w:rPr>
            </w:pPr>
            <w:r>
              <w:rPr>
                <w:rFonts w:ascii="Times New Roman" w:cs="Times New Roman" w:eastAsia="Times New Roman" w:hAnsi="Times New Roman"/>
                <w:sz w:val="14"/>
                <w:szCs w:val="14"/>
                <w:b w:val="1"/>
                <w:bCs w:val="1"/>
                <w:color w:val="FFFFFF"/>
              </w:rPr>
              <w:t>Global Credit</w:t>
            </w:r>
          </w:p>
        </w:tc>
        <w:tc>
          <w:tcPr>
            <w:tcW w:w="300" w:type="dxa"/>
            <w:vAlign w:val="bottom"/>
            <w:shd w:val="clear" w:color="auto" w:fill="0A364A"/>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w:t>
            </w:r>
          </w:p>
        </w:tc>
        <w:tc>
          <w:tcPr>
            <w:tcW w:w="660" w:type="dxa"/>
            <w:vAlign w:val="bottom"/>
            <w:tcBorders>
              <w:right w:val="single" w:sz="8" w:color="08335E"/>
            </w:tcBorders>
            <w:shd w:val="clear" w:color="auto" w:fill="0A364A"/>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192.4</w:t>
            </w:r>
          </w:p>
        </w:tc>
      </w:tr>
      <w:tr>
        <w:trPr>
          <w:trHeight w:val="190"/>
        </w:trPr>
        <w:tc>
          <w:tcPr>
            <w:tcW w:w="3220" w:type="dxa"/>
            <w:vAlign w:val="bottom"/>
            <w:tcBorders>
              <w:left w:val="single" w:sz="8" w:color="08335E"/>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Insurance Solutions </w:t>
            </w:r>
            <w:r>
              <w:rPr>
                <w:rFonts w:ascii="Times New Roman" w:cs="Times New Roman" w:eastAsia="Times New Roman" w:hAnsi="Times New Roman"/>
                <w:sz w:val="9"/>
                <w:szCs w:val="9"/>
                <w:b w:val="1"/>
                <w:bCs w:val="1"/>
                <w:color w:val="auto"/>
              </w:rPr>
              <w:t>4</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8335E"/>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76.9</w:t>
            </w:r>
          </w:p>
        </w:tc>
      </w:tr>
      <w:tr>
        <w:trPr>
          <w:trHeight w:val="198"/>
        </w:trPr>
        <w:tc>
          <w:tcPr>
            <w:tcW w:w="3220" w:type="dxa"/>
            <w:vAlign w:val="bottom"/>
            <w:tcBorders>
              <w:left w:val="single" w:sz="8" w:color="08335E"/>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Liquid Credit</w:t>
            </w:r>
          </w:p>
        </w:tc>
        <w:tc>
          <w:tcPr>
            <w:tcW w:w="300" w:type="dxa"/>
            <w:vAlign w:val="bottom"/>
            <w:tcBorders>
              <w:bottom w:val="single" w:sz="8" w:color="EAEAEA"/>
            </w:tcBorders>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EAEAEA"/>
              <w:right w:val="single" w:sz="8" w:color="08335E"/>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50.0</w:t>
            </w:r>
          </w:p>
        </w:tc>
      </w:tr>
      <w:tr>
        <w:trPr>
          <w:trHeight w:val="188"/>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U.S. CLOs</w:t>
            </w:r>
          </w:p>
        </w:tc>
        <w:tc>
          <w:tcPr>
            <w:tcW w:w="300" w:type="dxa"/>
            <w:vAlign w:val="bottom"/>
          </w:tcPr>
          <w:p>
            <w:pPr>
              <w:spacing w:after="0"/>
              <w:rPr>
                <w:sz w:val="16"/>
                <w:szCs w:val="16"/>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36.6</w:t>
            </w:r>
          </w:p>
        </w:tc>
      </w:tr>
      <w:tr>
        <w:trPr>
          <w:trHeight w:val="192"/>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Europe CLOs</w:t>
            </w:r>
          </w:p>
        </w:tc>
        <w:tc>
          <w:tcPr>
            <w:tcW w:w="300" w:type="dxa"/>
            <w:vAlign w:val="bottom"/>
          </w:tcPr>
          <w:p>
            <w:pPr>
              <w:spacing w:after="0"/>
              <w:rPr>
                <w:sz w:val="16"/>
                <w:szCs w:val="16"/>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CLO Investment Products</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Revolving Credit</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r>
      <w:tr>
        <w:trPr>
          <w:trHeight w:val="28"/>
        </w:trPr>
        <w:tc>
          <w:tcPr>
            <w:tcW w:w="3220" w:type="dxa"/>
            <w:vAlign w:val="bottom"/>
            <w:tcBorders>
              <w:left w:val="single" w:sz="8" w:color="08335E"/>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right w:val="single" w:sz="8" w:color="08335E"/>
            </w:tcBorders>
          </w:tcPr>
          <w:p>
            <w:pPr>
              <w:spacing w:after="0"/>
              <w:rPr>
                <w:sz w:val="2"/>
                <w:szCs w:val="2"/>
                <w:color w:val="auto"/>
              </w:rPr>
            </w:pPr>
          </w:p>
        </w:tc>
      </w:tr>
      <w:tr>
        <w:trPr>
          <w:trHeight w:val="204"/>
        </w:trPr>
        <w:tc>
          <w:tcPr>
            <w:tcW w:w="3220" w:type="dxa"/>
            <w:vAlign w:val="bottom"/>
            <w:tcBorders>
              <w:left w:val="single" w:sz="8" w:color="08335E"/>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Private Credit</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08335E"/>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65.5</w:t>
            </w:r>
          </w:p>
        </w:tc>
      </w:tr>
      <w:tr>
        <w:trPr>
          <w:trHeight w:val="188"/>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Opportunistic Credit (CCOF / CSP)</w:t>
            </w:r>
          </w:p>
        </w:tc>
        <w:tc>
          <w:tcPr>
            <w:tcW w:w="300" w:type="dxa"/>
            <w:vAlign w:val="bottom"/>
          </w:tcPr>
          <w:p>
            <w:pPr>
              <w:spacing w:after="0"/>
              <w:rPr>
                <w:sz w:val="16"/>
                <w:szCs w:val="16"/>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r>
      <w:tr>
        <w:trPr>
          <w:trHeight w:val="192"/>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Aviation (SASOF / CALF)</w:t>
            </w:r>
          </w:p>
        </w:tc>
        <w:tc>
          <w:tcPr>
            <w:tcW w:w="300" w:type="dxa"/>
            <w:vAlign w:val="bottom"/>
          </w:tcPr>
          <w:p>
            <w:pPr>
              <w:spacing w:after="0"/>
              <w:rPr>
                <w:sz w:val="16"/>
                <w:szCs w:val="16"/>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12.6</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 xml:space="preserve">Direct Lending </w:t>
            </w:r>
            <w:r>
              <w:rPr>
                <w:rFonts w:ascii="Times New Roman" w:cs="Times New Roman" w:eastAsia="Times New Roman" w:hAnsi="Times New Roman"/>
                <w:sz w:val="9"/>
                <w:szCs w:val="9"/>
                <w:color w:val="auto"/>
              </w:rPr>
              <w:t>5</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10.9</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Platform Initiatives (incl. CTAC)</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Asset-Backed Finance</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Infrastructure (CICF)</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r>
      <w:tr>
        <w:trPr>
          <w:trHeight w:val="204"/>
        </w:trPr>
        <w:tc>
          <w:tcPr>
            <w:tcW w:w="3220" w:type="dxa"/>
            <w:vAlign w:val="bottom"/>
            <w:tcBorders>
              <w:left w:val="single" w:sz="8" w:color="08335E"/>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6</w:t>
            </w:r>
          </w:p>
        </w:tc>
        <w:tc>
          <w:tcPr>
            <w:tcW w:w="300" w:type="dxa"/>
            <w:vAlign w:val="bottom"/>
          </w:tcPr>
          <w:p>
            <w:pPr>
              <w:spacing w:after="0"/>
              <w:rPr>
                <w:sz w:val="17"/>
                <w:szCs w:val="17"/>
                <w:color w:val="auto"/>
              </w:rPr>
            </w:pPr>
          </w:p>
        </w:tc>
        <w:tc>
          <w:tcPr>
            <w:tcW w:w="660" w:type="dxa"/>
            <w:vAlign w:val="bottom"/>
            <w:tcBorders>
              <w:right w:val="single" w:sz="8" w:color="08335E"/>
            </w:tcBorders>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r>
      <w:tr>
        <w:trPr>
          <w:trHeight w:val="28"/>
        </w:trPr>
        <w:tc>
          <w:tcPr>
            <w:tcW w:w="3220" w:type="dxa"/>
            <w:vAlign w:val="bottom"/>
            <w:tcBorders>
              <w:left w:val="single" w:sz="8" w:color="08335E"/>
              <w:bottom w:val="single" w:sz="8" w:color="08335E"/>
            </w:tcBorders>
          </w:tcPr>
          <w:p>
            <w:pPr>
              <w:spacing w:after="0"/>
              <w:rPr>
                <w:sz w:val="2"/>
                <w:szCs w:val="2"/>
                <w:color w:val="auto"/>
              </w:rPr>
            </w:pPr>
          </w:p>
        </w:tc>
        <w:tc>
          <w:tcPr>
            <w:tcW w:w="300" w:type="dxa"/>
            <w:vAlign w:val="bottom"/>
            <w:tcBorders>
              <w:bottom w:val="single" w:sz="8" w:color="08335E"/>
            </w:tcBorders>
          </w:tcPr>
          <w:p>
            <w:pPr>
              <w:spacing w:after="0"/>
              <w:rPr>
                <w:sz w:val="2"/>
                <w:szCs w:val="2"/>
                <w:color w:val="auto"/>
              </w:rPr>
            </w:pPr>
          </w:p>
        </w:tc>
        <w:tc>
          <w:tcPr>
            <w:tcW w:w="660" w:type="dxa"/>
            <w:vAlign w:val="bottom"/>
            <w:tcBorders>
              <w:bottom w:val="single" w:sz="8" w:color="08335E"/>
              <w:right w:val="single" w:sz="8" w:color="08335E"/>
            </w:tcBorders>
          </w:tcPr>
          <w:p>
            <w:pPr>
              <w:spacing w:after="0"/>
              <w:rPr>
                <w:sz w:val="2"/>
                <w:szCs w:val="2"/>
                <w:color w:val="auto"/>
              </w:rPr>
            </w:pPr>
          </w:p>
        </w:tc>
      </w:tr>
      <w:tr>
        <w:trPr>
          <w:trHeight w:val="184"/>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4"/>
        </w:trPr>
        <w:tc>
          <w:tcPr>
            <w:tcW w:w="3220" w:type="dxa"/>
            <w:vAlign w:val="bottom"/>
            <w:tcBorders>
              <w:left w:val="single" w:sz="8" w:color="61A1E0"/>
            </w:tcBorders>
            <w:shd w:val="clear" w:color="auto" w:fill="61A1E0"/>
          </w:tcPr>
          <w:p>
            <w:pPr>
              <w:ind w:left="20"/>
              <w:spacing w:after="0"/>
              <w:rPr>
                <w:sz w:val="20"/>
                <w:szCs w:val="20"/>
                <w:color w:val="auto"/>
              </w:rPr>
            </w:pPr>
            <w:r>
              <w:rPr>
                <w:rFonts w:ascii="Times New Roman" w:cs="Times New Roman" w:eastAsia="Times New Roman" w:hAnsi="Times New Roman"/>
                <w:sz w:val="14"/>
                <w:szCs w:val="14"/>
                <w:b w:val="1"/>
                <w:bCs w:val="1"/>
                <w:color w:val="FFFFFF"/>
              </w:rPr>
              <w:t>Global Investment Solutions</w:t>
            </w:r>
          </w:p>
        </w:tc>
        <w:tc>
          <w:tcPr>
            <w:tcW w:w="300" w:type="dxa"/>
            <w:vAlign w:val="bottom"/>
            <w:shd w:val="clear" w:color="auto" w:fill="61A1E0"/>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w:t>
            </w:r>
          </w:p>
        </w:tc>
        <w:tc>
          <w:tcPr>
            <w:tcW w:w="660" w:type="dxa"/>
            <w:vAlign w:val="bottom"/>
            <w:tcBorders>
              <w:right w:val="single" w:sz="8" w:color="61A1E0"/>
            </w:tcBorders>
            <w:shd w:val="clear" w:color="auto" w:fill="61A1E0"/>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85.1</w:t>
            </w:r>
          </w:p>
        </w:tc>
      </w:tr>
      <w:tr>
        <w:trPr>
          <w:trHeight w:val="190"/>
        </w:trPr>
        <w:tc>
          <w:tcPr>
            <w:tcW w:w="3220" w:type="dxa"/>
            <w:vAlign w:val="bottom"/>
            <w:tcBorders>
              <w:left w:val="single" w:sz="8" w:color="61A1E0"/>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Secondaries and Portfolio Finance (ASF / ASPF)</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61A1E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37.1</w:t>
            </w:r>
          </w:p>
        </w:tc>
      </w:tr>
      <w:tr>
        <w:trPr>
          <w:trHeight w:val="190"/>
        </w:trPr>
        <w:tc>
          <w:tcPr>
            <w:tcW w:w="3220" w:type="dxa"/>
            <w:vAlign w:val="bottom"/>
            <w:tcBorders>
              <w:left w:val="single" w:sz="8" w:color="61A1E0"/>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Co-Investments (ACF)</w:t>
            </w:r>
          </w:p>
        </w:tc>
        <w:tc>
          <w:tcPr>
            <w:tcW w:w="300" w:type="dxa"/>
            <w:vAlign w:val="bottom"/>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61A1E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22.2</w:t>
            </w:r>
          </w:p>
        </w:tc>
      </w:tr>
      <w:tr>
        <w:trPr>
          <w:trHeight w:val="211"/>
        </w:trPr>
        <w:tc>
          <w:tcPr>
            <w:tcW w:w="3220" w:type="dxa"/>
            <w:vAlign w:val="bottom"/>
            <w:tcBorders>
              <w:left w:val="single" w:sz="8" w:color="61A1E0"/>
              <w:bottom w:val="single" w:sz="8" w:color="EAEAEA"/>
            </w:tcBorders>
            <w:shd w:val="clear" w:color="auto" w:fill="EAEAEA"/>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Primary Investments &amp; Other </w:t>
            </w:r>
            <w:r>
              <w:rPr>
                <w:rFonts w:ascii="Times New Roman" w:cs="Times New Roman" w:eastAsia="Times New Roman" w:hAnsi="Times New Roman"/>
                <w:sz w:val="9"/>
                <w:szCs w:val="9"/>
                <w:b w:val="1"/>
                <w:bCs w:val="1"/>
                <w:color w:val="auto"/>
              </w:rPr>
              <w:t>7</w:t>
            </w:r>
          </w:p>
        </w:tc>
        <w:tc>
          <w:tcPr>
            <w:tcW w:w="300" w:type="dxa"/>
            <w:vAlign w:val="bottom"/>
            <w:tcBorders>
              <w:bottom w:val="single" w:sz="8" w:color="EAEAEA"/>
            </w:tcBorders>
            <w:shd w:val="clear" w:color="auto" w:fill="EAEAEA"/>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EAEAEA"/>
              <w:right w:val="single" w:sz="8" w:color="61A1E0"/>
            </w:tcBorders>
            <w:shd w:val="clear" w:color="auto" w:fill="EAEAEA"/>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25.8</w:t>
            </w:r>
          </w:p>
        </w:tc>
      </w:tr>
      <w:tr>
        <w:trPr>
          <w:trHeight w:val="20"/>
        </w:trPr>
        <w:tc>
          <w:tcPr>
            <w:tcW w:w="3220" w:type="dxa"/>
            <w:vAlign w:val="bottom"/>
            <w:tcBorders>
              <w:left w:val="single" w:sz="8" w:color="61A1E0"/>
            </w:tcBorders>
            <w:shd w:val="clear" w:color="auto" w:fill="61A1E0"/>
          </w:tcPr>
          <w:p>
            <w:pPr>
              <w:spacing w:after="0" w:line="20" w:lineRule="exact"/>
              <w:rPr>
                <w:sz w:val="1"/>
                <w:szCs w:val="1"/>
                <w:color w:val="auto"/>
              </w:rPr>
            </w:pPr>
          </w:p>
        </w:tc>
        <w:tc>
          <w:tcPr>
            <w:tcW w:w="300" w:type="dxa"/>
            <w:vAlign w:val="bottom"/>
            <w:shd w:val="clear" w:color="auto" w:fill="61A1E0"/>
          </w:tcPr>
          <w:p>
            <w:pPr>
              <w:spacing w:after="0" w:line="20" w:lineRule="exact"/>
              <w:rPr>
                <w:sz w:val="1"/>
                <w:szCs w:val="1"/>
                <w:color w:val="auto"/>
              </w:rPr>
            </w:pPr>
          </w:p>
        </w:tc>
        <w:tc>
          <w:tcPr>
            <w:tcW w:w="660" w:type="dxa"/>
            <w:vAlign w:val="bottom"/>
            <w:tcBorders>
              <w:right w:val="single" w:sz="8" w:color="61A1E0"/>
            </w:tcBorders>
            <w:shd w:val="clear" w:color="auto" w:fill="61A1E0"/>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2">
            <w:col w:w="4100" w:space="20"/>
            <w:col w:w="5280"/>
          </w:cols>
          <w:pgMar w:left="1060" w:top="557" w:right="1440" w:bottom="539" w:gutter="0" w:footer="0" w:header="0"/>
          <w:type w:val="continuous"/>
        </w:sectPr>
      </w:pPr>
    </w:p>
    <w:p>
      <w:pPr>
        <w:spacing w:after="0" w:line="64" w:lineRule="exact"/>
        <w:rPr>
          <w:sz w:val="20"/>
          <w:szCs w:val="20"/>
          <w:color w:val="auto"/>
        </w:rPr>
      </w:pPr>
    </w:p>
    <w:p>
      <w:pPr>
        <w:ind w:right="1560"/>
        <w:spacing w:after="0" w:line="236" w:lineRule="auto"/>
        <w:rPr>
          <w:sz w:val="20"/>
          <w:szCs w:val="20"/>
          <w:color w:val="auto"/>
        </w:rPr>
      </w:pPr>
      <w:r>
        <w:rPr>
          <w:rFonts w:ascii="Times New Roman" w:cs="Times New Roman" w:eastAsia="Times New Roman" w:hAnsi="Times New Roman"/>
          <w:sz w:val="14"/>
          <w:szCs w:val="14"/>
          <w:color w:val="auto"/>
        </w:rPr>
        <w:t>Note: All amounts shown represent total assets under management as of December 31, 2024, and totals may not sum due to rounding. In addition, certain carry funds included herein may not be included in fund performance if they have not made an initial capital call or commenced investment activity.</w:t>
      </w:r>
    </w:p>
    <w:p>
      <w:pPr>
        <w:sectPr>
          <w:pgSz w:w="11900" w:h="16840" w:orient="portrait"/>
          <w:cols w:equalWidth="0" w:num="1">
            <w:col w:w="9400"/>
          </w:cols>
          <w:pgMar w:left="1060" w:top="557" w:right="1440" w:bottom="539"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w:t>
      </w:r>
    </w:p>
    <w:p>
      <w:pPr>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right="1420"/>
        <w:spacing w:after="0" w:line="214" w:lineRule="auto"/>
        <w:rPr>
          <w:sz w:val="20"/>
          <w:szCs w:val="20"/>
          <w:color w:val="auto"/>
        </w:rPr>
      </w:pPr>
      <w:r>
        <w:rPr>
          <w:rFonts w:ascii="Times New Roman" w:cs="Times New Roman" w:eastAsia="Times New Roman" w:hAnsi="Times New Roman"/>
          <w:sz w:val="14"/>
          <w:szCs w:val="14"/>
          <w:color w:val="auto"/>
        </w:rPr>
        <w:t>(1)Includes our Financial Services (CGFSP), Sub- Saharan Africa Buyout (CSSAF), South America Buyout (CSABF), Peru Buyout (CPF), MENA Buyout and Ireland Buyout (CICF) funds, as well as platform accounts which invest across Corporate Private Equity strategies.</w:t>
      </w:r>
    </w:p>
    <w:p>
      <w:pPr>
        <w:spacing w:after="0" w:line="1" w:lineRule="exact"/>
        <w:rPr>
          <w:sz w:val="20"/>
          <w:szCs w:val="20"/>
          <w:color w:val="auto"/>
        </w:rPr>
      </w:pPr>
    </w:p>
    <w:p>
      <w:pPr>
        <w:ind w:right="1280"/>
        <w:spacing w:after="0" w:line="214" w:lineRule="auto"/>
        <w:rPr>
          <w:sz w:val="20"/>
          <w:szCs w:val="20"/>
          <w:color w:val="auto"/>
        </w:rPr>
      </w:pPr>
      <w:r>
        <w:rPr>
          <w:rFonts w:ascii="Times New Roman" w:cs="Times New Roman" w:eastAsia="Times New Roman" w:hAnsi="Times New Roman"/>
          <w:sz w:val="14"/>
          <w:szCs w:val="14"/>
          <w:color w:val="auto"/>
        </w:rPr>
        <w:t>(2) NGP Energy funds are advised by NGP Energy Capital Management, LLC, a separately registered investment adviser. We do not serve as an investment adviser to those funds.</w:t>
      </w:r>
    </w:p>
    <w:p>
      <w:pPr>
        <w:spacing w:after="0" w:line="216" w:lineRule="auto"/>
        <w:rPr>
          <w:sz w:val="20"/>
          <w:szCs w:val="20"/>
          <w:color w:val="auto"/>
        </w:rPr>
      </w:pPr>
      <w:r>
        <w:rPr>
          <w:rFonts w:ascii="Times New Roman" w:cs="Times New Roman" w:eastAsia="Times New Roman" w:hAnsi="Times New Roman"/>
          <w:sz w:val="14"/>
          <w:szCs w:val="14"/>
          <w:color w:val="auto"/>
        </w:rPr>
        <w:t>(3)Includes our Infrastructure (CGIOF), Renewable Energy (CRSEF) and Power funds (CPP / CPOCP).</w:t>
      </w:r>
    </w:p>
    <w:p>
      <w:pPr>
        <w:ind w:right="1340"/>
        <w:spacing w:after="0" w:line="214" w:lineRule="auto"/>
        <w:rPr>
          <w:sz w:val="20"/>
          <w:szCs w:val="20"/>
          <w:color w:val="auto"/>
        </w:rPr>
      </w:pPr>
      <w:r>
        <w:rPr>
          <w:rFonts w:ascii="Times New Roman" w:cs="Times New Roman" w:eastAsia="Times New Roman" w:hAnsi="Times New Roman"/>
          <w:sz w:val="14"/>
          <w:szCs w:val="14"/>
          <w:color w:val="auto"/>
        </w:rPr>
        <w:t>(4)Includes Carlyle FRL, capital raised from strategic third-party investors which directly invest in Fortitude alongside Carlyle FRL, as well as the fair value of the general account assets covered by the strategic advisory services agreement with Fortitude.</w:t>
      </w:r>
    </w:p>
    <w:p>
      <w:pPr>
        <w:spacing w:after="0" w:line="216" w:lineRule="auto"/>
        <w:rPr>
          <w:sz w:val="20"/>
          <w:szCs w:val="20"/>
          <w:color w:val="auto"/>
        </w:rPr>
      </w:pPr>
      <w:r>
        <w:rPr>
          <w:rFonts w:ascii="Times New Roman" w:cs="Times New Roman" w:eastAsia="Times New Roman" w:hAnsi="Times New Roman"/>
          <w:sz w:val="14"/>
          <w:szCs w:val="14"/>
          <w:color w:val="auto"/>
        </w:rPr>
        <w:t>(5)Includes our business development companies (CSL / CARS) and our evergreen fund (CDLF).</w:t>
      </w:r>
    </w:p>
    <w:p>
      <w:pPr>
        <w:spacing w:after="0" w:line="214" w:lineRule="auto"/>
        <w:rPr>
          <w:sz w:val="20"/>
          <w:szCs w:val="20"/>
          <w:color w:val="auto"/>
        </w:rPr>
      </w:pPr>
      <w:r>
        <w:rPr>
          <w:rFonts w:ascii="Times New Roman" w:cs="Times New Roman" w:eastAsia="Times New Roman" w:hAnsi="Times New Roman"/>
          <w:sz w:val="14"/>
          <w:szCs w:val="14"/>
          <w:color w:val="auto"/>
        </w:rPr>
        <w:t>(6)Includes our Energy Credit (CEMOF) and Real Estate Credit (CNLI) funds.</w:t>
      </w:r>
    </w:p>
    <w:p>
      <w:pPr>
        <w:spacing w:after="0" w:line="217" w:lineRule="auto"/>
        <w:rPr>
          <w:sz w:val="20"/>
          <w:szCs w:val="20"/>
          <w:color w:val="auto"/>
        </w:rPr>
      </w:pPr>
      <w:r>
        <w:rPr>
          <w:rFonts w:ascii="Times New Roman" w:cs="Times New Roman" w:eastAsia="Times New Roman" w:hAnsi="Times New Roman"/>
          <w:sz w:val="14"/>
          <w:szCs w:val="14"/>
          <w:color w:val="auto"/>
        </w:rPr>
        <w:t>(7)Includes Mezzanine and Carlyle AlpInvest Private Markets (CAPM) funds.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Organizational Structure</w:t>
      </w:r>
    </w:p>
    <w:p>
      <w:pPr>
        <w:ind w:right="1400" w:firstLine="576"/>
        <w:spacing w:after="0" w:line="203" w:lineRule="auto"/>
        <w:rPr>
          <w:sz w:val="20"/>
          <w:szCs w:val="20"/>
          <w:color w:val="auto"/>
        </w:rPr>
      </w:pPr>
      <w:r>
        <w:rPr>
          <w:rFonts w:ascii="Times New Roman" w:cs="Times New Roman" w:eastAsia="Times New Roman" w:hAnsi="Times New Roman"/>
          <w:sz w:val="16"/>
          <w:szCs w:val="16"/>
          <w:color w:val="auto"/>
        </w:rPr>
        <w:t>On January 1, 2020, we completed our conversion from a Delaware limited partnership named The Carlyle Group L.P. into a Delaware corporation named The Carlyle Group Inc. Our common stockholders are entitled to one vote per share and to vote on all matters on which stockholders of a corporation are generally entitled to vote on under Delaware General Corporation Law (“DGCL”), including the election of our Board of Directors.</w:t>
      </w:r>
    </w:p>
    <w:p>
      <w:pPr>
        <w:spacing w:after="0" w:line="205" w:lineRule="auto"/>
        <w:rPr>
          <w:sz w:val="20"/>
          <w:szCs w:val="20"/>
          <w:color w:val="auto"/>
        </w:rPr>
      </w:pPr>
      <w:r>
        <w:rPr>
          <w:rFonts w:ascii="Times New Roman" w:cs="Times New Roman" w:eastAsia="Times New Roman" w:hAnsi="Times New Roman"/>
          <w:sz w:val="16"/>
          <w:szCs w:val="16"/>
          <w:color w:val="auto"/>
        </w:rPr>
        <w:t>In connection with the Conversion, senior Carlyle professionals and certain of the other former limited partners of</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Carlyle Holdings who became holders of shares of common stock in connection with the Conversion were generally required to grant an irrevocable proxy to Carlyle Group Management L.L.C., which is wholly owned by our founders and other senior Carlyle professionals. See Item 1A “Risk Factors—Risks Related to Our Common Stock—Carlyle Group Management L.L.C. has significant influence over us and its interests may conflict with ours or yours.”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Our diverse and sophisticated investor base includes more than 3,100 active carry fund investors located in 87 countries. Included among our many longstanding fund investors are pension funds, sovereign wealth funds, insurance companies and high net worth individuals in the United States, Asia, Europe, the Middle East, and South America. We have a dedicated investor relations team that strives to cultivate long-term, strategic partnerships with our limited partners. Our team combines strong segment sales with firm-level strategy and coordination to bring the best of Carlyle to our limited partners. In addition, our team consists of a combination of geographically focused professionals and dedicated product specialists who collaborate to deliver on investor needs. Investor relations also is supported by a central team responsible for data analytics and additional fulfillment responsibilities. Moreover, our Global Wealth team is dedicated to fundraising in the private wealth channel globally and is organized regionally within each of its three constituent segments: Registered Investment Advisors, Wirehouse and Independent Broker Dealers, and Strategic Accounts. Global Wealth also includes dedicated marketing, product development, and support professionals who help drive fundraising efforts. We manage over $9 billion in AUM in Global Wealth products as of December 31, 2024.</w:t>
      </w:r>
    </w:p>
    <w:p>
      <w:pPr>
        <w:spacing w:after="0" w:line="5"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Our investor relations professionals are in regular dialogue with our fund investors, enabling us to monitor investor preferences and tailor future fund offerings to meet investor demand. We seek to secure a first-mover advantage with key investors, often by establishing a local presence and providing a broad and diverse range of investment opportunities. In addition, we endeavor to expand our partnerships by sharing our insights and perspectives on the market and investment environment, as well as discussing how we can help investors achieve their objectives. We also continue to use technology to augment our fund transparency and communication around insights, as well as facilitate consistent dialogue through both virtual and in -person meetings and events. This partnership approach to fundraising has been critical in raising $108 billion over the past three years, including nearly $41 billion in 2024.</w:t>
      </w:r>
    </w:p>
    <w:p>
      <w:pPr>
        <w:spacing w:after="0" w:line="207" w:lineRule="auto"/>
        <w:rPr>
          <w:sz w:val="20"/>
          <w:szCs w:val="20"/>
          <w:color w:val="auto"/>
        </w:rPr>
      </w:pPr>
      <w:r>
        <w:rPr>
          <w:rFonts w:ascii="Times New Roman" w:cs="Times New Roman" w:eastAsia="Times New Roman" w:hAnsi="Times New Roman"/>
          <w:sz w:val="16"/>
          <w:szCs w:val="16"/>
          <w:color w:val="auto"/>
        </w:rPr>
        <w:t>As of December 31, 2024, approximately 93% of commitments (by dollar amount) were from investors who are</w:t>
      </w:r>
    </w:p>
    <w:p>
      <w:pPr>
        <w:spacing w:after="0" w:line="1" w:lineRule="exact"/>
        <w:rPr>
          <w:sz w:val="20"/>
          <w:szCs w:val="20"/>
          <w:color w:val="auto"/>
        </w:rPr>
      </w:pPr>
    </w:p>
    <w:p>
      <w:pPr>
        <w:jc w:val="both"/>
        <w:ind w:right="1520"/>
        <w:spacing w:after="0" w:line="232" w:lineRule="auto"/>
        <w:rPr>
          <w:sz w:val="20"/>
          <w:szCs w:val="20"/>
          <w:color w:val="auto"/>
        </w:rPr>
      </w:pPr>
      <w:r>
        <w:rPr>
          <w:rFonts w:ascii="Times New Roman" w:cs="Times New Roman" w:eastAsia="Times New Roman" w:hAnsi="Times New Roman"/>
          <w:sz w:val="14"/>
          <w:szCs w:val="14"/>
          <w:color w:val="auto"/>
        </w:rPr>
        <w:t>committed to more than one product and approximately 76% of commitments (by dollar amount) were from investors who are committed to more than five products. We believe the loyalty of our carry fund investor base, as evidenced by our substantial number of multi-fund relationships, enhances our ability to raise new funds and successor funds in existing strategies.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Investor Services</w:t>
      </w:r>
    </w:p>
    <w:p>
      <w:pPr>
        <w:ind w:right="1560" w:firstLine="576"/>
        <w:spacing w:after="0" w:line="250" w:lineRule="auto"/>
        <w:rPr>
          <w:sz w:val="20"/>
          <w:szCs w:val="20"/>
          <w:color w:val="auto"/>
        </w:rPr>
      </w:pPr>
      <w:r>
        <w:rPr>
          <w:rFonts w:ascii="Times New Roman" w:cs="Times New Roman" w:eastAsia="Times New Roman" w:hAnsi="Times New Roman"/>
          <w:sz w:val="14"/>
          <w:szCs w:val="14"/>
          <w:color w:val="auto"/>
        </w:rPr>
        <w:t>We have a team of more than 900 investor services professionals worldwide. The investor services group performs a range of functions to support our investment teams, investor relations group, and the corporate infrastructure of Carlyle. Our investor services professionals provide an important control function, ensuring that transactions are structured pursuant to</w:t>
      </w:r>
    </w:p>
    <w:p>
      <w:pPr>
        <w:sectPr>
          <w:pgSz w:w="11900" w:h="16840" w:orient="portrait"/>
          <w:cols w:equalWidth="0" w:num="1">
            <w:col w:w="9400"/>
          </w:cols>
          <w:pgMar w:left="106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16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60"/>
        <w:spacing w:after="0" w:line="203" w:lineRule="auto"/>
        <w:rPr>
          <w:sz w:val="20"/>
          <w:szCs w:val="20"/>
          <w:color w:val="auto"/>
        </w:rPr>
      </w:pPr>
      <w:r>
        <w:rPr>
          <w:rFonts w:ascii="Times New Roman" w:cs="Times New Roman" w:eastAsia="Times New Roman" w:hAnsi="Times New Roman"/>
          <w:sz w:val="16"/>
          <w:szCs w:val="16"/>
          <w:color w:val="auto"/>
        </w:rPr>
        <w:t>partnership agreements, assisting in global regulatory compliance requirements, and investor reporting to enable investors to easily monitor the performance of their investments. We have devoted substantial resources to creating comprehensive and timely investor reports, which are increasingly important to our investor base. The investor services group also works closely with the investment teams throughout each fund’s lifecycle, from fund formation and investments to portfolio monitoring and fund liquidation.</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Structure and Operation of Our Investment Funds</w:t>
      </w: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We conduct the sponsorship and management of our carry funds and other investment vehicles primarily through limited partnerships, which are organized by us, to accept commitments and/or funds for investment from institutional investors and high net worth individuals. In general, each investment fund that is a limited partnership, or “partnership” fund, has a general partner that is responsible for the management and operation of the fund’s affairs and makes all policy and investment decisions relating to the conduct of the investment fund’s business. Generally, the limited partners of such funds take no part in the conduct or control of the business of such funds, have no right or authority to act for or bind such funds, and have no influence over the voting or disposition of the securities or other assets held by such funds, although such limited partners may vote on certain partnership matters, including the removal of the general partner or early liquidation of the partnership by majority vote, as discussed below. Most of our commingled funds also have an investor advisory committee, comprising representatives of certain limited partners, which may consider and/or waive conflicts of interest or otherwise consult with the general partner on certain partnership matters. In the case of certain separately managed accounts advised by us, the investor, rather than us, may control the asset or the investment decisions related thereto or certain investment vehicles or entities that hold or have custody of such assets.</w:t>
      </w:r>
    </w:p>
    <w:p>
      <w:pPr>
        <w:spacing w:after="0" w:line="5" w:lineRule="exact"/>
        <w:rPr>
          <w:sz w:val="20"/>
          <w:szCs w:val="20"/>
          <w:color w:val="auto"/>
        </w:rPr>
      </w:pPr>
    </w:p>
    <w:p>
      <w:pPr>
        <w:ind w:right="1560" w:firstLine="576"/>
        <w:spacing w:after="0" w:line="203" w:lineRule="auto"/>
        <w:rPr>
          <w:sz w:val="20"/>
          <w:szCs w:val="20"/>
          <w:color w:val="auto"/>
        </w:rPr>
      </w:pPr>
      <w:r>
        <w:rPr>
          <w:rFonts w:ascii="Times New Roman" w:cs="Times New Roman" w:eastAsia="Times New Roman" w:hAnsi="Times New Roman"/>
          <w:sz w:val="16"/>
          <w:szCs w:val="16"/>
          <w:color w:val="auto"/>
        </w:rPr>
        <w:t>Each investment fund and, in the case of our separately managed accounts, the client, engages an investment adviser that is registered under the Investment Advisers Act of 1940, as amended (the “Advisers Act”). Our investment advisers generally are entitled to a management fee from each investment fund or account for which they serve as investment advisers. For a discussion of the management fees to which our investment advisers are entitled across our various types of investment funds, see “Incentive Arrangements / Fee Structure” below.</w:t>
      </w:r>
    </w:p>
    <w:p>
      <w:pPr>
        <w:spacing w:after="0" w:line="2"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Private investment funds themselves typically do not register as investment companies under the Investment Company Act of 1940, as amended (the “1940 Act” or the “Investment Company Act”), in reliance on Section 3(c) or Section 7(d) thereof. Section 3(c)(7) of the 1940 Act exempts from the 1940 Act’s registration requirements investment funds whose securities, at the time of acquisition of such securities, are owned by “qualified purchasers” as defined under the 1940 Act who purchase their interests in a private placement. Section 3(c)(1) of the 1940 Act exempts from the 1940 Act’s registration requirements privately placed investment funds whose securities are beneficially owned by not more than 100 persons and who purchase their interests in a private placement. In addition, under certain current interpretations of the U.S. Securities and Exchange Commission (the “SEC”), Section 7(d) of the 1940 Act exempts from registration any non- U.S. investment fund all of whose outstanding securities are beneficially owned either by non-U.S. residents or by U.S. residents that are qualified purchasers and purchase their interests in a private placement. Certain of our investment funds, however, rely on other exemptions from the 1940 Act or register as investment companies under the 1940 Act or elect to be regulated as BDCs under the 1940 Act.</w:t>
      </w:r>
    </w:p>
    <w:p>
      <w:pPr>
        <w:spacing w:after="0" w:line="5"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The governing agreements of the vast majority of our investment funds, other than our AlpInvest funds as discussed further below, provide that, subject to certain conditions, a majority in interest (based on capital commitments) of third-party investors in those funds have the right to remove the general partner of the fund for cause and/or to accelerate the liquidation date of the investment fund without cause. In addition, the governing agreements of many of our investment funds generally require investors in those funds to affirmatively vote to continue the commitment period in the event that certain “key persons” in our investment funds do not provide the specified time commitment to the fund or our firm ceases to control the general partner (or similar managing entity) or the investment adviser or ceases to hold a specified percentage of the economic interests in the general partner (any such events, a “Key Person Event”).</w:t>
      </w:r>
    </w:p>
    <w:p>
      <w:pPr>
        <w:spacing w:after="0" w:line="3" w:lineRule="exact"/>
        <w:rPr>
          <w:sz w:val="20"/>
          <w:szCs w:val="20"/>
          <w:color w:val="auto"/>
        </w:rPr>
      </w:pPr>
    </w:p>
    <w:p>
      <w:pPr>
        <w:ind w:right="1560" w:firstLine="576"/>
        <w:spacing w:after="0" w:line="209" w:lineRule="auto"/>
        <w:rPr>
          <w:sz w:val="20"/>
          <w:szCs w:val="20"/>
          <w:color w:val="auto"/>
        </w:rPr>
      </w:pPr>
      <w:r>
        <w:rPr>
          <w:rFonts w:ascii="Times New Roman" w:cs="Times New Roman" w:eastAsia="Times New Roman" w:hAnsi="Times New Roman"/>
          <w:sz w:val="16"/>
          <w:szCs w:val="16"/>
          <w:color w:val="auto"/>
        </w:rPr>
        <w:t>With limited exceptions, our carry funds, BDCs, NGP predecessor funds, and certain other investment vehicles, are closed-end funds. In a closed-end fund structure, once an investor makes an investment, the investor generally is not able to withdraw or redeem its interest, except in very limited circumstances. Moreover, the governing agreement of each investment vehicle contains restrictions on an investor’s ability to transfer its interest in the fund. In the funds we advise that offer redemption rights, investors’ interests are usually locked up for a period of time after which investors may generally redeem their interests on a quarterly basis, to the extent that sufficient cash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firstLine="576"/>
        <w:spacing w:after="0"/>
        <w:rPr>
          <w:sz w:val="20"/>
          <w:szCs w:val="20"/>
          <w:color w:val="auto"/>
        </w:rPr>
      </w:pPr>
      <w:r>
        <w:rPr>
          <w:rFonts w:ascii="Times New Roman" w:cs="Times New Roman" w:eastAsia="Times New Roman" w:hAnsi="Times New Roman"/>
          <w:sz w:val="14"/>
          <w:szCs w:val="14"/>
          <w:color w:val="auto"/>
        </w:rPr>
        <w:t>With respect to our closed-end Global Private Equity and Global Credit carry funds, investors generally agree to fund their commitment over a period of time. For such carry funds, the commitment period generally runs until the earliest of (i) the sixth anniversary of either the effective date (as defined in the applicable limited partnership agreement), or the initial closing date; (ii) the fifth anniversary of the final closing date of the fund; (iii) the date the general partner cancels the investors’ obligation to fund capital contributions due to changes in applicable laws, business conditions or when at least a significant portion (which may range between 75% and 90%) of the capital commitments to the fund have been invested, committed or reserved for investments; (iv) the date a supermajority in interest (based on capital commitments) of investors vote to terminate the commitment period; or (v) the occurrence of a Key Person Event, unless upon any of these events the investors vote to continue the commitment period. Following the termination of the commitment period, an investor generally will be released from any further obligation with respect to its undrawn capital commitment except to the extent necessary to pay partnership expenses and management fees, fund outstanding borrowings and guarantees, complete investments with respect to transactions committed to prior to the end of the commitment period and make follow-on investments in existing investments (collectively,</w:t>
      </w:r>
    </w:p>
    <w:p>
      <w:pPr>
        <w:sectPr>
          <w:pgSz w:w="11900" w:h="16840" w:orient="portrait"/>
          <w:cols w:equalWidth="0" w:num="1">
            <w:col w:w="9400"/>
          </w:cols>
          <w:pgMar w:left="1060" w:top="1159" w:right="1440" w:bottom="210" w:gutter="0" w:footer="0" w:header="0"/>
        </w:sectPr>
      </w:pPr>
    </w:p>
    <w:bookmarkStart w:id="14" w:name="page15"/>
    <w:bookmarkEnd w:id="14"/>
    <w:p>
      <w:pPr>
        <w:ind w:left="10" w:right="1540"/>
        <w:spacing w:after="0" w:line="209" w:lineRule="auto"/>
        <w:rPr>
          <w:sz w:val="20"/>
          <w:szCs w:val="20"/>
          <w:color w:val="auto"/>
        </w:rPr>
      </w:pPr>
      <w:r>
        <w:rPr>
          <w:rFonts w:ascii="Times New Roman" w:cs="Times New Roman" w:eastAsia="Times New Roman" w:hAnsi="Times New Roman"/>
          <w:sz w:val="16"/>
          <w:szCs w:val="16"/>
          <w:color w:val="auto"/>
        </w:rPr>
        <w:t>the “post-termination obligations”). Generally, an investor’s obligation to fund follow-on investments continues following the end of the commitment period, although certain funds have a limit on when and how much the fund is permitted to fund for such follow-on investments. In those funds where such limitations exist, they generally range from 15% to 20% of the fund’s aggregate capital commitment.</w:t>
      </w:r>
    </w:p>
    <w:p>
      <w:pPr>
        <w:spacing w:after="0" w:line="1" w:lineRule="exact"/>
        <w:rPr>
          <w:sz w:val="20"/>
          <w:szCs w:val="20"/>
          <w:color w:val="auto"/>
        </w:rPr>
      </w:pPr>
    </w:p>
    <w:p>
      <w:pPr>
        <w:ind w:left="10" w:right="1480" w:firstLine="576"/>
        <w:spacing w:after="0" w:line="203" w:lineRule="auto"/>
        <w:rPr>
          <w:sz w:val="20"/>
          <w:szCs w:val="20"/>
          <w:color w:val="auto"/>
        </w:rPr>
      </w:pPr>
      <w:r>
        <w:rPr>
          <w:rFonts w:ascii="Times New Roman" w:cs="Times New Roman" w:eastAsia="Times New Roman" w:hAnsi="Times New Roman"/>
          <w:sz w:val="16"/>
          <w:szCs w:val="16"/>
          <w:color w:val="auto"/>
        </w:rPr>
        <w:t>For the latest generation of our closed -end real estate funds, the length of the commitment period varies from fund to fund, typically running for a period of between four and five years from the final closing date, provided that the general partner may unilaterally extend such expiration date for one year and may extend it for another year with the consent of a majority of the limited partners for that fund. Investors in the latest generation of our closed-end real estate funds also are obligated to continue to make capital contributions with respect to follow-on investments and to repay indebtedness for a period of time after the original expiration date of the commitment period, as well as to fund partnership expenses and any applicable management fees during the life of the fund.</w:t>
      </w:r>
    </w:p>
    <w:p>
      <w:pPr>
        <w:spacing w:after="0" w:line="3" w:lineRule="exact"/>
        <w:rPr>
          <w:sz w:val="20"/>
          <w:szCs w:val="20"/>
          <w:color w:val="auto"/>
        </w:rPr>
      </w:pPr>
    </w:p>
    <w:p>
      <w:pPr>
        <w:ind w:left="10" w:right="1640" w:firstLine="576"/>
        <w:spacing w:after="0" w:line="232" w:lineRule="auto"/>
        <w:rPr>
          <w:sz w:val="20"/>
          <w:szCs w:val="20"/>
          <w:color w:val="auto"/>
        </w:rPr>
      </w:pPr>
      <w:r>
        <w:rPr>
          <w:rFonts w:ascii="Times New Roman" w:cs="Times New Roman" w:eastAsia="Times New Roman" w:hAnsi="Times New Roman"/>
          <w:sz w:val="14"/>
          <w:szCs w:val="14"/>
          <w:color w:val="auto"/>
        </w:rPr>
        <w:t>The term of each of the closed -end Global Private Equity and Global Credit carry funds generally will end 10 years from the initial closing date or, in some cases, from the final closing date, but such termination date may be earlier in certain circumstances (e.g., six years, in the case of certain Carlyle Aviation Partners funds and seven years, in the case of certain Global Credit funds) or later if extended by the general partner (in many instances with the consent of a majority in interest (based on capital commitments) of the investors or the investment advisory committee) for successive one-year periods, typically up to a maximum of two years. Certain of such investment funds may have a longer initial termination date (such funds, “longer-dated funds”), such as 15 years from the final closing date, or may be open-ended.</w:t>
      </w:r>
    </w:p>
    <w:p>
      <w:pPr>
        <w:spacing w:after="0" w:line="3" w:lineRule="exact"/>
        <w:rPr>
          <w:sz w:val="20"/>
          <w:szCs w:val="20"/>
          <w:color w:val="auto"/>
        </w:rPr>
      </w:pPr>
    </w:p>
    <w:p>
      <w:pPr>
        <w:ind w:left="10" w:right="1420" w:firstLine="576"/>
        <w:spacing w:after="0" w:line="232" w:lineRule="auto"/>
        <w:rPr>
          <w:sz w:val="20"/>
          <w:szCs w:val="20"/>
          <w:color w:val="auto"/>
        </w:rPr>
      </w:pPr>
      <w:r>
        <w:rPr>
          <w:rFonts w:ascii="Times New Roman" w:cs="Times New Roman" w:eastAsia="Times New Roman" w:hAnsi="Times New Roman"/>
          <w:sz w:val="14"/>
          <w:szCs w:val="14"/>
          <w:color w:val="auto"/>
        </w:rPr>
        <w:t>With respect to our Global Investment Solutions vehicles and separately managed accounts, other than certain evergreen products such as our CAPM funds, the commitment period generally runs for a period of one to five years after the initial closing date of the vehicle and the term of each of the funds generally will end 8 to 12 years from the initial closing date. In some cases, the termination date may be later if extended by the general partner (in many instances with the consent of a majority in interest (based on capital commitments) of the investors or the investor advisory committee) for an additional period of up to three years, or until such time as is reasonably necessary for the general partner to be able to liquidate the fund’s assets.</w:t>
      </w:r>
    </w:p>
    <w:p>
      <w:pPr>
        <w:ind w:left="10"/>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Incentive Arrangements / Fee Structure</w:t>
      </w:r>
    </w:p>
    <w:p>
      <w:pPr>
        <w:spacing w:after="0" w:line="1" w:lineRule="exact"/>
        <w:rPr>
          <w:sz w:val="20"/>
          <w:szCs w:val="20"/>
          <w:color w:val="auto"/>
        </w:rPr>
      </w:pPr>
    </w:p>
    <w:p>
      <w:pPr>
        <w:ind w:left="10" w:right="140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Fund Management Fees. </w:t>
      </w:r>
      <w:r>
        <w:rPr>
          <w:rFonts w:ascii="Times New Roman" w:cs="Times New Roman" w:eastAsia="Times New Roman" w:hAnsi="Times New Roman"/>
          <w:sz w:val="16"/>
          <w:szCs w:val="16"/>
          <w:color w:val="auto"/>
        </w:rPr>
        <w:t>We provide management services to funds in which we hold a general partner interest or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we have an investment advisory agreement. For closed-end carry funds in the Global Private Equity segment, management fees generally range from 1.0% to 2.0% of limited partners’ capital commitments during the fund’s commitment period and thereafter, management fees generally are based on the lower of cost or fair value of invested capital. For closed-end carry funds in the Global Credit segment, management fees generally range from 1.0% to 2.0% of limited partners’ invested capital. Following the expiration or termination of the commitment period, the management fee rate may be reduced. These terms may vary for separately managed accounts, open-end funds, and longer -dated carry funds and other closed end funds. The investment adviser will receive management fees during a specified period of time, which generally is ten years from the initial closing date or, in some instances, from the final closing date, but such termination date may be earlier in certain limited circumstances or later (e.g., if extended for successive one-year periods, typically up to a maximum of two years, or until the disposition of the last investment). The terms of the investment advisory agreement and related agreements specify the frequency of when management fees are called (e.g., quarterly or semi-annually) and whether they are called in advance or in arrears.</w:t>
      </w:r>
    </w:p>
    <w:p>
      <w:pPr>
        <w:spacing w:after="0" w:line="5" w:lineRule="exact"/>
        <w:rPr>
          <w:sz w:val="20"/>
          <w:szCs w:val="20"/>
          <w:color w:val="auto"/>
        </w:rPr>
      </w:pPr>
    </w:p>
    <w:p>
      <w:pPr>
        <w:ind w:left="10" w:right="1680" w:firstLine="576"/>
        <w:spacing w:after="0" w:line="268" w:lineRule="auto"/>
        <w:rPr>
          <w:sz w:val="20"/>
          <w:szCs w:val="20"/>
          <w:color w:val="auto"/>
        </w:rPr>
      </w:pPr>
      <w:r>
        <w:rPr>
          <w:rFonts w:ascii="Times New Roman" w:cs="Times New Roman" w:eastAsia="Times New Roman" w:hAnsi="Times New Roman"/>
          <w:sz w:val="14"/>
          <w:szCs w:val="14"/>
          <w:color w:val="auto"/>
        </w:rPr>
        <w:t>Within the Global Credit segment, for CLOs and other structured products, management fees generally range from 0.4% to 0.5% based on the total par amount of assets or the aggregate principal amount of notes in the CLO and are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20"/>
        <w:spacing w:after="0"/>
        <w:rPr>
          <w:sz w:val="20"/>
          <w:szCs w:val="20"/>
          <w:color w:val="auto"/>
        </w:rPr>
      </w:pPr>
      <w:r>
        <w:rPr>
          <w:rFonts w:ascii="Times New Roman" w:cs="Times New Roman" w:eastAsia="Times New Roman" w:hAnsi="Times New Roman"/>
          <w:sz w:val="14"/>
          <w:szCs w:val="14"/>
          <w:color w:val="auto"/>
        </w:rPr>
        <w:t>quarterly. Management fees for the CLOs and other structured products are governed by indentures and collateral management agreements. The investment advisers will receive management fees for the CLOs until redemption of the securities issued by the CLOs. Management fees for the BDCs are due quarterly in arrears at annual rates that range from 1.0% of net asset value (as adjusted for capital called, dividends reinvested, distributions paid, and issuer share repurchases made) to 1.5% of gross assets (excluding cash and cash equivalents). Management fees for CTAC are due monthly in arrears at the annual rate of 1.0% of the month-end value of CTAC’s managed assets. Management fees for Carlyle Capital Income Fund (“CCIF”) are due monthly in arrears at the annual rate of 1.75% of the month-end value of CCIF’s managed assets. Carlyle Aviation Partners’ funds have varying management fee arrangements depending on the strategy of the particular fund. Under the strategic advisory services agreement with Fortitude, the Company earns a recurring management fee based on Fortitude’s general account assets, which adjusts within an agreed range based on Fortitude’s overall profitability and which is due quarterly in arrears. Management fees for certain of our perpetual capital strategies and separately managed accounts in Global Credit have annual rates that generally range from 0.10% to 0.75%, which are charged based on invested capital or the fair value of the underlying assets, though management fee arrangements vary depending on the strategy of the particular account.</w:t>
      </w:r>
    </w:p>
    <w:p>
      <w:pPr>
        <w:spacing w:after="0" w:line="97" w:lineRule="exact"/>
        <w:rPr>
          <w:sz w:val="20"/>
          <w:szCs w:val="20"/>
          <w:color w:val="auto"/>
        </w:rPr>
      </w:pPr>
    </w:p>
    <w:p>
      <w:pPr>
        <w:ind w:left="10" w:right="1420" w:firstLine="576"/>
        <w:spacing w:after="0" w:line="232" w:lineRule="auto"/>
        <w:rPr>
          <w:sz w:val="20"/>
          <w:szCs w:val="20"/>
          <w:color w:val="auto"/>
        </w:rPr>
      </w:pPr>
      <w:r>
        <w:rPr>
          <w:rFonts w:ascii="Times New Roman" w:cs="Times New Roman" w:eastAsia="Times New Roman" w:hAnsi="Times New Roman"/>
          <w:sz w:val="14"/>
          <w:szCs w:val="14"/>
          <w:color w:val="auto"/>
        </w:rPr>
        <w:t>The investment advisers of our Global Investment Solutions carry funds generally receive an annual management fee that ranges from 0.25% to 1.5% of the fund’s capital commitments or its committed capital to investments during the commitment fee period of the relevant fund. Following the expiration of the commitment fee period, the management fees generally range from 0.25% to 1.5% on (i) net invested capital, (ii) the lower of cost or net asset value of the capital invested, or</w:t>
      </w:r>
    </w:p>
    <w:p>
      <w:pPr>
        <w:spacing w:after="0" w:line="2" w:lineRule="exact"/>
        <w:rPr>
          <w:sz w:val="20"/>
          <w:szCs w:val="20"/>
          <w:color w:val="auto"/>
        </w:rPr>
      </w:pPr>
    </w:p>
    <w:p>
      <w:pPr>
        <w:ind w:left="10" w:right="1420" w:hanging="10"/>
        <w:spacing w:after="0" w:line="232" w:lineRule="auto"/>
        <w:tabs>
          <w:tab w:leader="none" w:pos="28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asset value for unrealized investments. Management fees are charged for the entire duration of the applicable Global Investment Solutions carry funds based on (i) net invested capital of, (ii) net asset value of, plus unfunded commitments to, or</w:t>
      </w:r>
    </w:p>
    <w:p>
      <w:pPr>
        <w:ind w:left="10" w:right="1480" w:hanging="10"/>
        <w:spacing w:after="0" w:line="203"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invested capital of, plus unfunded commitments to, the underlying investments. The management fees we receive from our Global Investment Solutions carry fund vehicles typically are payable quarterly in advance. The investment adviser to the CAPM funds generally is entitled to receive a management fee equal to 1.25% on an annualized basis of the respective fund’s net asset value, which is payable at least quarterly.</w:t>
      </w:r>
    </w:p>
    <w:p>
      <w:pPr>
        <w:spacing w:after="0" w:line="1" w:lineRule="exact"/>
        <w:rPr>
          <w:rFonts w:ascii="Times New Roman" w:cs="Times New Roman" w:eastAsia="Times New Roman" w:hAnsi="Times New Roman"/>
          <w:sz w:val="16"/>
          <w:szCs w:val="16"/>
          <w:color w:val="auto"/>
        </w:rPr>
      </w:pPr>
    </w:p>
    <w:p>
      <w:pPr>
        <w:ind w:left="10" w:right="1440" w:firstLine="576"/>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equity interest in NGP entitles us to an allocation of income equal to 55% of the management fee related revenues of the NGP entities that serve as advisors to the NGP Energy Funds.</w:t>
      </w:r>
    </w:p>
    <w:p>
      <w:pPr>
        <w:ind w:left="10" w:right="1460" w:firstLine="576"/>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general partners or investment advisers of certain of our Global Private Equity carry funds from time to time receive customary transaction fees upon consummation of many of the fund’s acquisition transactions, receive monitoring fees from many of the fund’s portfolio companies following acquisition, and may receive other fees in connection with the fund’s activities. The ongoing monitoring fees that they receive generally are calculated either as a fixed amount or as a percentage of a specified financial metric of a particular portfolio company. The transaction fees that they receive generally are calculated either as a fixed amount or as a percentage (that generally ranges up to 1%, but may exceed 1% in certain circumstances) of the</w:t>
      </w:r>
    </w:p>
    <w:p>
      <w:pPr>
        <w:sectPr>
          <w:pgSz w:w="11900" w:h="16840" w:orient="portrait"/>
          <w:cols w:equalWidth="0" w:num="1">
            <w:col w:w="9410"/>
          </w:cols>
          <w:pgMar w:left="1050" w:top="557" w:right="1440" w:bottom="23" w:gutter="0" w:footer="0" w:header="0"/>
        </w:sectPr>
      </w:pPr>
    </w:p>
    <w:bookmarkStart w:id="15" w:name="page16"/>
    <w:bookmarkEnd w:id="15"/>
    <w:p>
      <w:pPr>
        <w:jc w:val="both"/>
        <w:ind w:right="1420"/>
        <w:spacing w:after="0" w:line="209" w:lineRule="auto"/>
        <w:rPr>
          <w:sz w:val="20"/>
          <w:szCs w:val="20"/>
          <w:color w:val="auto"/>
        </w:rPr>
      </w:pPr>
      <w:r>
        <w:rPr>
          <w:rFonts w:ascii="Times New Roman" w:cs="Times New Roman" w:eastAsia="Times New Roman" w:hAnsi="Times New Roman"/>
          <w:sz w:val="16"/>
          <w:szCs w:val="16"/>
          <w:color w:val="auto"/>
        </w:rPr>
        <w:t>total enterprise value or capitalization of the investment. The management fees charged to investors in our carry funds generally are 100% of such funds’ allocable portions of such transaction fees, monitoring fees, and certain other fees that are received by the general partners and their affiliates. For our most recent vintages, management fees generally are not offset by fees received by GCM in connection with capital markets activities.</w:t>
      </w:r>
    </w:p>
    <w:p>
      <w:pPr>
        <w:spacing w:after="0" w:line="1" w:lineRule="exact"/>
        <w:rPr>
          <w:sz w:val="20"/>
          <w:szCs w:val="20"/>
          <w:color w:val="auto"/>
        </w:rPr>
      </w:pPr>
    </w:p>
    <w:p>
      <w:pPr>
        <w:ind w:right="1540" w:firstLine="576"/>
        <w:spacing w:after="0" w:line="203" w:lineRule="auto"/>
        <w:rPr>
          <w:sz w:val="20"/>
          <w:szCs w:val="20"/>
          <w:color w:val="auto"/>
        </w:rPr>
      </w:pPr>
      <w:r>
        <w:rPr>
          <w:rFonts w:ascii="Times New Roman" w:cs="Times New Roman" w:eastAsia="Times New Roman" w:hAnsi="Times New Roman"/>
          <w:sz w:val="16"/>
          <w:szCs w:val="16"/>
          <w:color w:val="auto"/>
        </w:rPr>
        <w:t>In addition, Carlyle Aviation Partners may receive servicing fees in connection with asset-backed financing transactions for certain Carlyle Aviation Partners funds, generally in the range of 2% of rents, incentive fees up to 5% of rents in the aggregate, and 3% of sales proceeds earned from such assets. To the extent the financing instruments are held by the funds, these fees are generally offset against management fees of the funds.</w:t>
      </w:r>
    </w:p>
    <w:p>
      <w:pPr>
        <w:spacing w:after="0" w:line="2" w:lineRule="exact"/>
        <w:rPr>
          <w:sz w:val="20"/>
          <w:szCs w:val="20"/>
          <w:color w:val="auto"/>
        </w:rPr>
      </w:pPr>
    </w:p>
    <w:p>
      <w:pPr>
        <w:ind w:right="1520" w:firstLine="576"/>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Performance Allocations. </w:t>
      </w:r>
      <w:r>
        <w:rPr>
          <w:rFonts w:ascii="Times New Roman" w:cs="Times New Roman" w:eastAsia="Times New Roman" w:hAnsi="Times New Roman"/>
          <w:sz w:val="16"/>
          <w:szCs w:val="16"/>
          <w:color w:val="auto"/>
        </w:rPr>
        <w:t>The general partner of each of our carry funds also receives carried interest from the carry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funds. Carried interest entitles the general partner to a special residual allocation of profit on third-party capital. In the case of our closed-end carry funds, carried interest generally is calculated on a “realized gain” basis, and each general partner is generally entitled to a carried interest equal to 20% allocation (or approximately 2% to 12.5% in the case of most of our more mature Global Investment Solutions carry funds) of the net realized profit (generally taking into account unrealized losses) generated by third-party capital invested in such fund. Net realized profit or loss is not netted between or among funds. Our senior Carlyle professionals and other personnel who work in these operations also own interests in the general partners of our carry funds in order to better align their interests with our own and with those of the investors in the funds, and such certain other personnel participate in a commingled carried interest pool program. Historically, we allocated a range of generally 45% to 50% of any carried interest that we earned to those individuals and our carried interest pool program. Beginning on December 31, 2023, we expect to allocate approximately 60% to 70% of performance allocations and incentive fees to our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For most carry funds, the carried interest is subject to an annual preferred return of 7% to 9% and return of certain fund</w:t>
      </w:r>
    </w:p>
    <w:p>
      <w:pPr>
        <w:ind w:right="1460"/>
        <w:spacing w:after="0" w:line="203" w:lineRule="auto"/>
        <w:rPr>
          <w:sz w:val="20"/>
          <w:szCs w:val="20"/>
          <w:color w:val="auto"/>
        </w:rPr>
      </w:pPr>
      <w:r>
        <w:rPr>
          <w:rFonts w:ascii="Times New Roman" w:cs="Times New Roman" w:eastAsia="Times New Roman" w:hAnsi="Times New Roman"/>
          <w:sz w:val="16"/>
          <w:szCs w:val="16"/>
          <w:color w:val="auto"/>
        </w:rPr>
        <w:t>costs (generally subject to catch-up provisions as set forth in the fund limited partnership agreement). These terms may vary on longer-dated funds, certain credit funds, and our external co- investment vehicles. If, as a result of diminished performance of investments later in the life of a closed- end fund, the fund does not achieve investment returns that (in most cases) exceed the preferred return threshold or (in almost all cases) the general partner receives in excess of the allocated carried interest, we will be obligated to repay the amount by which the carried interest that previously was distributed to us exceeds amounts to which we are ultimately entitled. This obligation, which is known as a “giveback” obligation, operates with respect to a given carry fund’s own net investment performance only and typically is capped at the after-tax amount of carried interest received by the general partner. Each recipient of carried interest distributions is individually responsible for his or her proportionate share of any “giveback” obligation, and we have historically withheld a portion of the cash from carried interest distributions to individuals as security for potential “giveback” obligations. However, we may guarantee the full amount of such “giveback” obligation in respect of amounts received by Carlyle and certain other amounts. With respect to the portion of any carried interest allocated to the firm, we expect to fund any “giveback” obligation from available cash. Our ability to generate carried interest is an important element of our business and carried interest has historically accounted for a significant portion of our income.</w:t>
      </w:r>
    </w:p>
    <w:p>
      <w:pPr>
        <w:spacing w:after="0" w:line="6"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The receipt of carried interest in respect of investments of our carry funds is dictated by the terms of the partnership agreements that govern such funds, which generally allow for carried interest distributions in respect of an investment upon a realization event after satisfaction of obligations relating to the return of capital from all realized investments, any realized losses, allocable fees and expenses, and the applicable annual preferred return. Carried interest ultimately is realized and distributed when: (i) an underlying investment is profitably disposed of, (ii) certain costs borne by the investors have been reimbursed, (iii) the investment fund’s cumulative realized returns are in excess of the preferred return, and (iv) we have decided to collect carry rather than return additional capital to investors. Distributions to eligible senior Carlyle professionals in respect of such carried interest generally are made shortly thereafter. Our decision to collect carry considers such factors as the level of embedded valuation gains, the portion of the fund invested, the portion of the fund returned to investors, and the length of time the fund has been in carry, as well as other qualitative measures. In substantially all cases, our Global Investment Solutions funds are not eligible for carried interest distributions until all capital contributions for investments and expenses and the preferred return hurdle have been returned. Although Carlyle has seldom been obligated to pay a giveback obligation, such obligation, if any, in respect of previously realized carried interest, is determined and due upon the winding up or liquidation of a carry fund pursuant to the terms of the fund’s partnership agreement and in many cases the giveback also is calculated at prior intervals.</w:t>
      </w:r>
    </w:p>
    <w:p>
      <w:pPr>
        <w:spacing w:after="0" w:line="6" w:lineRule="exact"/>
        <w:rPr>
          <w:sz w:val="20"/>
          <w:szCs w:val="20"/>
          <w:color w:val="auto"/>
        </w:rPr>
      </w:pPr>
    </w:p>
    <w:p>
      <w:pPr>
        <w:ind w:right="1460" w:firstLine="576"/>
        <w:spacing w:after="0" w:line="232" w:lineRule="auto"/>
        <w:rPr>
          <w:sz w:val="20"/>
          <w:szCs w:val="20"/>
          <w:color w:val="auto"/>
        </w:rPr>
      </w:pPr>
      <w:r>
        <w:rPr>
          <w:rFonts w:ascii="Times New Roman" w:cs="Times New Roman" w:eastAsia="Times New Roman" w:hAnsi="Times New Roman"/>
          <w:sz w:val="14"/>
          <w:szCs w:val="14"/>
          <w:color w:val="auto"/>
        </w:rPr>
        <w:t>With respect to our separately managed accounts, BDCs, CCIF, our CAPM funds, and CTAC, carried interest generally is referred to as an “Incentive Fee.” Incentive Fees consist of performance - based incentive arrangements pursuant to management contracts when the return on AUM exceeds certain benchmark returns or other performance targets, and in certain cases are subject to any recovered losses. Incentive Fees are recognized when the performance benchmark has been achieved.</w:t>
      </w:r>
    </w:p>
    <w:p>
      <w:pPr>
        <w:spacing w:after="0" w:line="2" w:lineRule="exact"/>
        <w:rPr>
          <w:sz w:val="20"/>
          <w:szCs w:val="20"/>
          <w:color w:val="auto"/>
        </w:rPr>
      </w:pPr>
    </w:p>
    <w:p>
      <w:pPr>
        <w:jc w:val="both"/>
        <w:ind w:right="1880" w:firstLine="576"/>
        <w:spacing w:after="0" w:line="203" w:lineRule="auto"/>
        <w:rPr>
          <w:sz w:val="20"/>
          <w:szCs w:val="20"/>
          <w:color w:val="auto"/>
        </w:rPr>
      </w:pPr>
      <w:r>
        <w:rPr>
          <w:rFonts w:ascii="Times New Roman" w:cs="Times New Roman" w:eastAsia="Times New Roman" w:hAnsi="Times New Roman"/>
          <w:sz w:val="16"/>
          <w:szCs w:val="16"/>
          <w:color w:val="auto"/>
        </w:rPr>
        <w:t>Under our arrangements with the historical owners of Carlyle Aviation Partners, we are entitled to 100% of the management fee related revenues and advisory fee related revenues of Carlyle Aviation Partners that serve as advisers or service providers of the Carlyle Aviation Partners funds and portfolios of investments.</w:t>
      </w:r>
    </w:p>
    <w:p>
      <w:pPr>
        <w:spacing w:after="0" w:line="1" w:lineRule="exact"/>
        <w:rPr>
          <w:sz w:val="20"/>
          <w:szCs w:val="20"/>
          <w:color w:val="auto"/>
        </w:rPr>
      </w:pPr>
    </w:p>
    <w:p>
      <w:pPr>
        <w:ind w:right="1460" w:firstLine="576"/>
        <w:spacing w:after="0" w:line="232" w:lineRule="auto"/>
        <w:rPr>
          <w:sz w:val="20"/>
          <w:szCs w:val="20"/>
          <w:color w:val="auto"/>
        </w:rPr>
      </w:pPr>
      <w:r>
        <w:rPr>
          <w:rFonts w:ascii="Times New Roman" w:cs="Times New Roman" w:eastAsia="Times New Roman" w:hAnsi="Times New Roman"/>
          <w:sz w:val="14"/>
          <w:szCs w:val="14"/>
          <w:color w:val="auto"/>
        </w:rPr>
        <w:t>With respect to our historical arrangements with NGP, we are entitled to an allocation of income equal to 47.5% (40.0% or 42.75% in the case of certain funds) of the carried interest received by the general partners of certain current and future NGP Carry Funds. Pursuant to the updated employee compensation program, effective December 31, 2023, we expect to allocate approximately 60% to 70% of performance allocations received under these arrangements to our employees.</w:t>
      </w:r>
    </w:p>
    <w:p>
      <w:pPr>
        <w:spacing w:after="0" w:line="2"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Under our arrangements with the historical owners and management team of AlpInvest, we generally do not retain any carried interest in respect of the historical investments and commitments to our fund of funds vehicles that existed as of July 1, 2011 (including any options to increase any such commitments exercised after such date). In some instances, we are entitled to 15% of the carried interest in respect of commitments from the historical owners of AlpInvest for the period between 2011 and 2020. In certain instances, carried interest associated with the AlpInvest fund vehicles is subject to entity level income taxes in the Netherlands. In addition, in connection with the acquisition of Abingworth, we are entitled to 15% of carried interest generated from certain Abingworth funds.</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noted above, in connection with raising new funds or securing additional investments in existing funds, we</w:t>
      </w:r>
    </w:p>
    <w:p>
      <w:pPr>
        <w:sectPr>
          <w:pgSz w:w="11900" w:h="16840" w:orient="portrait"/>
          <w:cols w:equalWidth="0" w:num="1">
            <w:col w:w="9400"/>
          </w:cols>
          <w:pgMar w:left="1060" w:top="557" w:right="1440" w:bottom="116" w:gutter="0" w:footer="0" w:header="0"/>
        </w:sectPr>
      </w:pPr>
    </w:p>
    <w:bookmarkStart w:id="16" w:name="page17"/>
    <w:bookmarkEnd w:id="16"/>
    <w:p>
      <w:pPr>
        <w:ind w:right="1420"/>
        <w:spacing w:after="0" w:line="263" w:lineRule="auto"/>
        <w:rPr>
          <w:sz w:val="20"/>
          <w:szCs w:val="20"/>
          <w:color w:val="auto"/>
        </w:rPr>
      </w:pPr>
      <w:r>
        <w:rPr>
          <w:rFonts w:ascii="Times New Roman" w:cs="Times New Roman" w:eastAsia="Times New Roman" w:hAnsi="Times New Roman"/>
          <w:sz w:val="14"/>
          <w:szCs w:val="14"/>
          <w:color w:val="auto"/>
        </w:rPr>
        <w:t>negotiate terms for such funds and investments with existing and potential investors. The outcome of such negotiations could result in our agreement to terms that are materially less favorable to us than for prior funds we have advised or funds advised by our competitors. See Item 1A “Risk Factors—Risks Related to Our Business Operations—Risks Related to the Assets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40"/>
        <w:spacing w:after="0" w:line="203" w:lineRule="auto"/>
        <w:rPr>
          <w:sz w:val="20"/>
          <w:szCs w:val="20"/>
          <w:color w:val="auto"/>
        </w:rPr>
      </w:pPr>
      <w:r>
        <w:rPr>
          <w:rFonts w:ascii="Times New Roman" w:cs="Times New Roman" w:eastAsia="Times New Roman" w:hAnsi="Times New Roman"/>
          <w:sz w:val="16"/>
          <w:szCs w:val="16"/>
          <w:color w:val="auto"/>
        </w:rPr>
        <w:t>Manage—Our investors may negotiate to pay us lower management fees and the economic terms of our future funds may be less favorable to us than those of our existing funds, which could adversely affect our revenues.”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Capital Invested in and Alongside Our Investment Funds</w:t>
      </w:r>
    </w:p>
    <w:p>
      <w:pPr>
        <w:spacing w:after="0" w:line="1"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To further align our interests with those of investors in our investment funds, generally 3% – 5% of all capital commitments to our funds are made by Carlyle, our senior Carlyle professionals, advisors, and other professionals. Carlyle will generally commit up to 1% of capital commitments to our Global Private Equity and Global Credit carry funds, although we may elect to invest additional amounts in funds focused on new investment areas. We also intend to make investments in our Global Investment Solutions carry funds, our open-end funds, our BDCs and other 1940 Act regulated vehicles, and our CLO vehicles. In addition, certain qualified Carlyle professionals and other qualified individuals (including certain individuals who may not be employees of the firm but who have pre- existing business relationships with Carlyle or industry expertise in the sector in which a particular investment fund may be investing) are permitted, subject to certain restrictions, to invest alongside the investment funds we sponsor and advise. Fees assessed or profit allocations on such investments by such persons may be eliminated or substantially reduced.</w:t>
      </w:r>
    </w:p>
    <w:p>
      <w:pPr>
        <w:spacing w:after="0" w:line="4"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Minimum general partner capital commitments to our investment funds are determined separately with respect to each investment fund. We may, from time to time, exercise our right to purchase additional interests in our investment funds that become available in the ordinary course of their operations. See Part II, Item 7 “Management’s Discussion and Analysis of Financial Condition and Results of Operations—Liquidity and Capital Resources” for more information regarding our minimum general partner capital commitments to our funds. Our general partner capital commitments are funded with cash and not with carried interest or through a management fee waiver program.</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Employees</w:t>
      </w:r>
    </w:p>
    <w:p>
      <w:pPr>
        <w:spacing w:after="0" w:line="1" w:lineRule="exact"/>
        <w:rPr>
          <w:sz w:val="20"/>
          <w:szCs w:val="20"/>
          <w:color w:val="auto"/>
        </w:rPr>
      </w:pPr>
    </w:p>
    <w:p>
      <w:pPr>
        <w:ind w:right="1540" w:firstLine="576"/>
        <w:spacing w:after="0" w:line="203" w:lineRule="auto"/>
        <w:rPr>
          <w:sz w:val="20"/>
          <w:szCs w:val="20"/>
          <w:color w:val="auto"/>
        </w:rPr>
      </w:pPr>
      <w:r>
        <w:rPr>
          <w:rFonts w:ascii="Times New Roman" w:cs="Times New Roman" w:eastAsia="Times New Roman" w:hAnsi="Times New Roman"/>
          <w:sz w:val="16"/>
          <w:szCs w:val="16"/>
          <w:color w:val="auto"/>
        </w:rPr>
        <w:t>We believe that one of the strengths and principal reasons for our success is the quality and dedication of our people. As of December 31, 2024, we employed more than 2,300 individuals, including more than 725 investment professionals, located in 29 offices across four continents.</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Our Culture</w:t>
      </w:r>
    </w:p>
    <w:p>
      <w:pPr>
        <w:spacing w:after="0" w:line="203" w:lineRule="auto"/>
        <w:rPr>
          <w:sz w:val="20"/>
          <w:szCs w:val="20"/>
          <w:color w:val="auto"/>
        </w:rPr>
      </w:pPr>
      <w:r>
        <w:rPr>
          <w:rFonts w:ascii="Times New Roman" w:cs="Times New Roman" w:eastAsia="Times New Roman" w:hAnsi="Times New Roman"/>
          <w:sz w:val="16"/>
          <w:szCs w:val="16"/>
          <w:color w:val="auto"/>
        </w:rPr>
        <w:t>Our employees around the globe are united by our culture, which is driven by our mission to invest wisely and create</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value. We seek to achieve our mission and deliver value to our shareholders and other stakeholders by creating a culture where employees strive to excel, deliver for the firm, challenge the status quo, and leverage diverse perspectives. In addition, we encourage our employees to leave their comfort zone and seek out a leading edge while working with passion, creativity, and a relentless determination to deliver for our shareholders and other stakeholders. We also seek to foster lateral working relationships across and beyond Carlyle while working as one team to drive long-term value creation. Moreover, we strive to lead by example in driving and embracing change.</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Our People</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At Carlyle, our success hinges on leveraging every opportunity to stay competitive in a complex, global investment landscape and to be responsive to the needs of our clients. We are committed to growing and cultivating our top talent and creating an environment that fosters and values the varied perspectives, backgrounds, experiences, and geographies of all our employees and other stakeholders.</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Inclusive Leadership</w:t>
      </w:r>
      <w:r>
        <w:rPr>
          <w:rFonts w:ascii="Times New Roman" w:cs="Times New Roman" w:eastAsia="Times New Roman" w:hAnsi="Times New Roman"/>
          <w:sz w:val="16"/>
          <w:szCs w:val="16"/>
          <w:color w:val="auto"/>
        </w:rPr>
        <w:t>. We seek to foster a culture where all of our employees feel that they belong and everyone can</w:t>
      </w:r>
    </w:p>
    <w:p>
      <w:pPr>
        <w:spacing w:after="0" w:line="1" w:lineRule="exact"/>
        <w:rPr>
          <w:sz w:val="20"/>
          <w:szCs w:val="20"/>
          <w:color w:val="auto"/>
        </w:rPr>
      </w:pPr>
    </w:p>
    <w:p>
      <w:pPr>
        <w:ind w:right="1420"/>
        <w:spacing w:after="0" w:line="232" w:lineRule="auto"/>
        <w:rPr>
          <w:sz w:val="20"/>
          <w:szCs w:val="20"/>
          <w:color w:val="auto"/>
        </w:rPr>
      </w:pPr>
      <w:r>
        <w:rPr>
          <w:rFonts w:ascii="Times New Roman" w:cs="Times New Roman" w:eastAsia="Times New Roman" w:hAnsi="Times New Roman"/>
          <w:sz w:val="14"/>
          <w:szCs w:val="14"/>
          <w:color w:val="auto"/>
        </w:rPr>
        <w:t xml:space="preserve">excel. Inclusive leadership is one of our core leadership competencies, and all employees nominated for promotion to Managing Director and Partner in 2024 were evaluated on their inclusive leadership and management skills. We also facilitate a global mentorship program designed to foster professional growth by pairing less experienced employees with seasoned mentors. </w:t>
      </w:r>
      <w:r>
        <w:rPr>
          <w:rFonts w:ascii="Times New Roman" w:cs="Times New Roman" w:eastAsia="Times New Roman" w:hAnsi="Times New Roman"/>
          <w:sz w:val="14"/>
          <w:szCs w:val="14"/>
          <w:i w:val="1"/>
          <w:iCs w:val="1"/>
          <w:color w:val="auto"/>
        </w:rPr>
        <w:t xml:space="preserve">Leadership Programs </w:t>
      </w:r>
      <w:r>
        <w:rPr>
          <w:rFonts w:ascii="Times New Roman" w:cs="Times New Roman" w:eastAsia="Times New Roman" w:hAnsi="Times New Roman"/>
          <w:sz w:val="14"/>
          <w:szCs w:val="14"/>
          <w:color w:val="auto"/>
        </w:rPr>
        <w:t>. Our tailored leadership development programs focus on strengthening the communication,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decision-making, and strategic thinking skills of our leaders to drive positive change and grow our competitive advantage. </w:t>
      </w:r>
      <w:r>
        <w:rPr>
          <w:rFonts w:ascii="Times New Roman" w:cs="Times New Roman" w:eastAsia="Times New Roman" w:hAnsi="Times New Roman"/>
          <w:sz w:val="14"/>
          <w:szCs w:val="14"/>
          <w:i w:val="1"/>
          <w:iCs w:val="1"/>
          <w:color w:val="auto"/>
        </w:rPr>
        <w:t>Employee Resource Groups</w:t>
      </w:r>
      <w:r>
        <w:rPr>
          <w:rFonts w:ascii="Times New Roman" w:cs="Times New Roman" w:eastAsia="Times New Roman" w:hAnsi="Times New Roman"/>
          <w:sz w:val="14"/>
          <w:szCs w:val="14"/>
          <w:color w:val="auto"/>
        </w:rPr>
        <w:t>. Our employee resource groups are open to employees globally and are an integral part of</w:t>
      </w:r>
    </w:p>
    <w:p>
      <w:pPr>
        <w:spacing w:after="0" w:line="3" w:lineRule="exact"/>
        <w:rPr>
          <w:sz w:val="20"/>
          <w:szCs w:val="20"/>
          <w:color w:val="auto"/>
        </w:rPr>
      </w:pPr>
    </w:p>
    <w:p>
      <w:pPr>
        <w:ind w:right="1500"/>
        <w:spacing w:after="0" w:line="222" w:lineRule="auto"/>
        <w:rPr>
          <w:sz w:val="20"/>
          <w:szCs w:val="20"/>
          <w:color w:val="auto"/>
        </w:rPr>
      </w:pPr>
      <w:r>
        <w:rPr>
          <w:rFonts w:ascii="Times New Roman" w:cs="Times New Roman" w:eastAsia="Times New Roman" w:hAnsi="Times New Roman"/>
          <w:sz w:val="16"/>
          <w:szCs w:val="16"/>
          <w:color w:val="auto"/>
        </w:rPr>
        <w:t>our culture, providing members with opportunities to expand their awareness, share ideas, build connections, and participate in professional development.</w:t>
      </w:r>
    </w:p>
    <w:p>
      <w:pPr>
        <w:sectPr>
          <w:pgSz w:w="11900" w:h="16840" w:orient="portrait"/>
          <w:cols w:equalWidth="0" w:num="1">
            <w:col w:w="9400"/>
          </w:cols>
          <w:pgMar w:left="1060" w:top="557" w:right="1440"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780"/>
        <w:spacing w:after="0" w:line="232" w:lineRule="auto"/>
        <w:rPr>
          <w:sz w:val="20"/>
          <w:szCs w:val="20"/>
          <w:color w:val="auto"/>
        </w:rPr>
      </w:pPr>
      <w:r>
        <w:rPr>
          <w:rFonts w:ascii="Times New Roman" w:cs="Times New Roman" w:eastAsia="Times New Roman" w:hAnsi="Times New Roman"/>
          <w:sz w:val="14"/>
          <w:szCs w:val="14"/>
          <w:i w:val="1"/>
          <w:iCs w:val="1"/>
          <w:color w:val="auto"/>
        </w:rPr>
        <w:t>Community and Industry Engagement</w:t>
      </w:r>
      <w:r>
        <w:rPr>
          <w:rFonts w:ascii="Times New Roman" w:cs="Times New Roman" w:eastAsia="Times New Roman" w:hAnsi="Times New Roman"/>
          <w:sz w:val="14"/>
          <w:szCs w:val="14"/>
          <w:color w:val="auto"/>
        </w:rPr>
        <w:t>. We seek to drive positive change in the communities in which we operate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 including by supporting several organizations around the world that expand opportunity and access to our industry.</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Compensation and Benefits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We believe that competitive compensation and incentive programs are critical to hiring and retaining highly qualified people. We seek to provide a pay and benefits package that is competitive within the local marketplace for our industry to reward and retain our employees and attract and retain talent. Compensation comprises a base salary for salaried employees and compensation per hour for hourly employees in connection with satisfying the daily expectations of their roles. Our annual, discretionary performance -based bonus program is a significant component of our compensation program and rewards employees based on firm, segment, investment fund, department, and individual performance to directly align our employees with our financial performance and strategic goals. To further align the interests of our employees with our shareholders and to cultivate a strong sense of ownership and commitment to our firm, certain employees also are eligible to receive awards of restricted stock units and/or participate in our other long-term incentive programs. In order to further drive the alignment of the interests of our personnel with our shareholders and to improve retention of our personnel, a portion of the performance-based bonuses for 2024 was paid to Carlyle professionals receiving bonuses over a certain threshold in the form of a grant of restricted stock units that vests in installments over a period of three years. This was a significant expansion of the initial implementation of the bonus deferral program in 2023, which applied only to certain senior Carlyle professionals. In addition, in February 2024, we awarded restricted stock units with performance -based vesting conditions to a select number of senior Carlyle professionals that have the accountability to help us achieve our growth objectives. These units are highly aligned with our shareholders as they only vest with share price appreciation.</w:t>
      </w:r>
    </w:p>
    <w:p>
      <w:pPr>
        <w:spacing w:after="0" w:line="212" w:lineRule="auto"/>
        <w:rPr>
          <w:sz w:val="20"/>
          <w:szCs w:val="20"/>
          <w:color w:val="auto"/>
        </w:rPr>
      </w:pPr>
      <w:r>
        <w:rPr>
          <w:rFonts w:ascii="Times New Roman" w:cs="Times New Roman" w:eastAsia="Times New Roman" w:hAnsi="Times New Roman"/>
          <w:sz w:val="16"/>
          <w:szCs w:val="16"/>
          <w:color w:val="auto"/>
        </w:rPr>
        <w:t>The success of our business is fundamentally connected to the well-being of our people. We are committed to their</w:t>
      </w:r>
    </w:p>
    <w:p>
      <w:pPr>
        <w:ind w:right="1640"/>
        <w:spacing w:after="0" w:line="232" w:lineRule="auto"/>
        <w:rPr>
          <w:sz w:val="20"/>
          <w:szCs w:val="20"/>
          <w:color w:val="auto"/>
        </w:rPr>
      </w:pPr>
      <w:r>
        <w:rPr>
          <w:rFonts w:ascii="Times New Roman" w:cs="Times New Roman" w:eastAsia="Times New Roman" w:hAnsi="Times New Roman"/>
          <w:sz w:val="14"/>
          <w:szCs w:val="14"/>
          <w:color w:val="auto"/>
        </w:rPr>
        <w:t>health, safety, and wellness and seek to provide benefits that are locally relevant for our global employees. For example, our U.S. benefits programs include health and welfare benefits (including healthcare, dental benefits, and vision benefits, among others), retirement offerings (including employer matching contributions, subject to eligibility requirements), an Employee Assistance Program, family and caregiver -oriented benefits, and commuting benefits, among other benefits. In addition, we have various time-off policies for eligible employees for sick leave, vacation leave, personal days, paid holidays, and paid parental leave. We also seek to provide strong benefits programs globally in line with local market practices.</w:t>
      </w:r>
    </w:p>
    <w:p>
      <w:pPr>
        <w:spacing w:after="0" w:line="3"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Consistent with our guiding principle that building better businesses means investing responsibly and engaging in the communities where we work and invest, we encourage our employees to get involved where they live, work, and invest through our volunteer and wealth sharing programs. In 2024, more than 290 Carlyle employees gave over 490 philanthropic gifts, which we matched. These gifts supported over 220 nonprofit organizations globally. Carlyle employees also put their time and expertise to work through volunteer activities across our offices.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Sustainability</w:t>
      </w:r>
    </w:p>
    <w:p>
      <w:pPr>
        <w:ind w:right="1560"/>
        <w:spacing w:after="0" w:line="203" w:lineRule="auto"/>
        <w:rPr>
          <w:sz w:val="20"/>
          <w:szCs w:val="20"/>
          <w:color w:val="auto"/>
        </w:rPr>
      </w:pPr>
      <w:r>
        <w:rPr>
          <w:rFonts w:ascii="Times New Roman" w:cs="Times New Roman" w:eastAsia="Times New Roman" w:hAnsi="Times New Roman"/>
          <w:sz w:val="16"/>
          <w:szCs w:val="16"/>
          <w:color w:val="auto"/>
        </w:rPr>
        <w:t>As a responsible global organization dedicated to driving value, Carlyle has invested in a framework and the necessary resources for understanding, monitoring, and managing material environmental, social, and governance (“ESG”) risks and opportunities across our portfolio. We believe ESG integration provides an additional lens to help us assess and mitigate risks and identify and capitalize on potential opportunities. Our ESG Policy outlines our approach to ESG integration and our resourcing, scope, and investment application.</w:t>
      </w:r>
    </w:p>
    <w:p>
      <w:pPr>
        <w:spacing w:after="0" w:line="2"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We prioritize governance, reporting, and transparency on material sustainability and ESG-related matters. We publish an annual ESG report, Task Force on Climate-related Financial Disclosures (TCFD) report, and corporate sustainability disclosures, which utilize Global Reporting Initiative (GRI) Standards and provide an internationally recognized framework to communicate sustainability and ESG matters to our various stakeholders.</w:t>
      </w:r>
    </w:p>
    <w:p>
      <w:pPr>
        <w:spacing w:after="0" w:line="205" w:lineRule="auto"/>
        <w:rPr>
          <w:sz w:val="20"/>
          <w:szCs w:val="20"/>
          <w:color w:val="auto"/>
        </w:rPr>
      </w:pPr>
      <w:r>
        <w:rPr>
          <w:rFonts w:ascii="Times New Roman" w:cs="Times New Roman" w:eastAsia="Times New Roman" w:hAnsi="Times New Roman"/>
          <w:sz w:val="16"/>
          <w:szCs w:val="16"/>
          <w:color w:val="auto"/>
        </w:rPr>
        <w:t>With respect to our investments, we may track certain ESG key performance indicators (KPIs) that we consider</w:t>
      </w:r>
    </w:p>
    <w:p>
      <w:pPr>
        <w:spacing w:after="0" w:line="1" w:lineRule="exact"/>
        <w:rPr>
          <w:sz w:val="20"/>
          <w:szCs w:val="20"/>
          <w:color w:val="auto"/>
        </w:rPr>
      </w:pPr>
    </w:p>
    <w:p>
      <w:pPr>
        <w:ind w:right="1620"/>
        <w:spacing w:after="0" w:line="203" w:lineRule="auto"/>
        <w:rPr>
          <w:sz w:val="20"/>
          <w:szCs w:val="20"/>
          <w:color w:val="auto"/>
        </w:rPr>
      </w:pPr>
      <w:r>
        <w:rPr>
          <w:rFonts w:ascii="Times New Roman" w:cs="Times New Roman" w:eastAsia="Times New Roman" w:hAnsi="Times New Roman"/>
          <w:sz w:val="16"/>
          <w:szCs w:val="16"/>
          <w:color w:val="auto"/>
        </w:rPr>
        <w:t>potentially relevant as drivers of risk mitigation and/or value creation across diverse geographies and assets for our corporate private equity and natural resources investments, including climate-related metrics.</w:t>
      </w:r>
    </w:p>
    <w:p>
      <w:pPr>
        <w:spacing w:after="0" w:line="204" w:lineRule="auto"/>
        <w:rPr>
          <w:sz w:val="20"/>
          <w:szCs w:val="20"/>
          <w:color w:val="auto"/>
        </w:rPr>
      </w:pPr>
      <w:r>
        <w:rPr>
          <w:rFonts w:ascii="Times New Roman" w:cs="Times New Roman" w:eastAsia="Times New Roman" w:hAnsi="Times New Roman"/>
          <w:sz w:val="16"/>
          <w:szCs w:val="16"/>
          <w:color w:val="auto"/>
        </w:rPr>
        <w:t>Carlyle has an internal, dedicated Sustainability team with a breadth of experience to help identify critical ESG matters</w:t>
      </w:r>
    </w:p>
    <w:p>
      <w:pPr>
        <w:spacing w:after="0" w:line="1" w:lineRule="exact"/>
        <w:rPr>
          <w:sz w:val="20"/>
          <w:szCs w:val="20"/>
          <w:color w:val="auto"/>
        </w:rPr>
      </w:pPr>
    </w:p>
    <w:p>
      <w:pPr>
        <w:ind w:right="1440"/>
        <w:spacing w:after="0" w:line="213" w:lineRule="auto"/>
        <w:rPr>
          <w:sz w:val="20"/>
          <w:szCs w:val="20"/>
          <w:color w:val="auto"/>
        </w:rPr>
      </w:pPr>
      <w:r>
        <w:rPr>
          <w:rFonts w:ascii="Times New Roman" w:cs="Times New Roman" w:eastAsia="Times New Roman" w:hAnsi="Times New Roman"/>
          <w:sz w:val="16"/>
          <w:szCs w:val="16"/>
          <w:color w:val="auto"/>
        </w:rPr>
        <w:t>in our investment processes, as well as a network of outside experts to support our investment teams to selectively go deeper on important sustainability and ESG factors and identify potential growth opportunities for a given investment over our projected investment periods. We believe our approach to sustainability may strengthen corporate strategy, bring new ideas for operational efficiency, and help unlock financial value for certain portfolio companies.</w:t>
      </w:r>
    </w:p>
    <w:p>
      <w:pPr>
        <w:sectPr>
          <w:pgSz w:w="11900" w:h="16840" w:orient="portrait"/>
          <w:cols w:equalWidth="0" w:num="1">
            <w:col w:w="9400"/>
          </w:cols>
          <w:pgMar w:left="10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Our Board of Directors oversees our firm’s approach to sustainability. The Board receives regular updates on our</w:t>
      </w:r>
    </w:p>
    <w:p>
      <w:pPr>
        <w:ind w:right="1420"/>
        <w:spacing w:after="0" w:line="244" w:lineRule="auto"/>
        <w:rPr>
          <w:sz w:val="20"/>
          <w:szCs w:val="20"/>
          <w:color w:val="auto"/>
        </w:rPr>
      </w:pPr>
      <w:r>
        <w:rPr>
          <w:rFonts w:ascii="Times New Roman" w:cs="Times New Roman" w:eastAsia="Times New Roman" w:hAnsi="Times New Roman"/>
          <w:sz w:val="14"/>
          <w:szCs w:val="14"/>
          <w:color w:val="auto"/>
        </w:rPr>
        <w:t>sustainability strategy and certain investment implications, and receives information on thematic topics, such as our approach to climate risk and opportunity. The Nominating and Corporate Governance Committee of the Board, which takes a leadership role in shaping our corporate governance, including our sustainability strategy, has appointed a member of the Board to serve as the Sustainability Lead, responsible for oversight of the firm’s work in this area. In addition, Carlyle’s Co- Heads of</w:t>
      </w:r>
    </w:p>
    <w:p>
      <w:pPr>
        <w:sectPr>
          <w:pgSz w:w="11900" w:h="16840" w:orient="portrait"/>
          <w:cols w:equalWidth="0" w:num="1">
            <w:col w:w="9400"/>
          </w:cols>
          <w:pgMar w:left="1060" w:top="1440" w:right="1440" w:bottom="0" w:gutter="0" w:footer="0" w:header="0"/>
          <w:type w:val="continuous"/>
        </w:sectPr>
      </w:pPr>
    </w:p>
    <w:bookmarkStart w:id="18" w:name="page19"/>
    <w:bookmarkEnd w:id="18"/>
    <w:p>
      <w:pPr>
        <w:ind w:right="1480"/>
        <w:spacing w:after="0" w:line="215" w:lineRule="auto"/>
        <w:rPr>
          <w:sz w:val="20"/>
          <w:szCs w:val="20"/>
          <w:color w:val="auto"/>
        </w:rPr>
      </w:pPr>
      <w:r>
        <w:rPr>
          <w:rFonts w:ascii="Times New Roman" w:cs="Times New Roman" w:eastAsia="Times New Roman" w:hAnsi="Times New Roman"/>
          <w:sz w:val="16"/>
          <w:szCs w:val="16"/>
          <w:color w:val="auto"/>
        </w:rPr>
        <w:t xml:space="preserve">Sustainability are directly responsible for our climate strategy, with ultimate oversight from the firm’s Chief Operating Officer. </w:t>
      </w:r>
      <w:r>
        <w:rPr>
          <w:rFonts w:ascii="Times New Roman" w:cs="Times New Roman" w:eastAsia="Times New Roman" w:hAnsi="Times New Roman"/>
          <w:sz w:val="16"/>
          <w:szCs w:val="16"/>
          <w:b w:val="1"/>
          <w:bCs w:val="1"/>
          <w:color w:val="auto"/>
        </w:rPr>
        <w:t>Global Technology &amp; Solutions</w:t>
      </w:r>
    </w:p>
    <w:p>
      <w:pPr>
        <w:ind w:right="1560" w:firstLine="576"/>
        <w:spacing w:after="0" w:line="203" w:lineRule="auto"/>
        <w:rPr>
          <w:sz w:val="20"/>
          <w:szCs w:val="20"/>
          <w:color w:val="auto"/>
        </w:rPr>
      </w:pPr>
      <w:r>
        <w:rPr>
          <w:rFonts w:ascii="Times New Roman" w:cs="Times New Roman" w:eastAsia="Times New Roman" w:hAnsi="Times New Roman"/>
          <w:sz w:val="16"/>
          <w:szCs w:val="16"/>
          <w:color w:val="auto"/>
        </w:rPr>
        <w:t>Global Technology &amp; Solutions, which we refer to as GTS, is essential for Carlyle to conduct investment activities, manage internal administration activities, and connect our global enterprise. As part of our GTS strategy and governance processes, we develop and routinely refine our technology architecture and solutions to deliver value to our investors. Our systems, data, network, and infrastructure are monitored and administered by formal controls and risk management processes that help protect the data and privacy of our employees, investors, and other stakeholders. In addition, our business continuity plans are designed to allow critical business functions to continue in an orderly manner in the event of a system outage. Our GTS team works closely with our business segment teams to maintain operational resilience through business continuity planning and annual IT disaster recovery and incident response plan testing, which collectively support the goal of mitigating risk were an emergency to occur.</w:t>
      </w:r>
    </w:p>
    <w:p>
      <w:pPr>
        <w:spacing w:after="0" w:line="208" w:lineRule="auto"/>
        <w:rPr>
          <w:sz w:val="20"/>
          <w:szCs w:val="20"/>
          <w:color w:val="auto"/>
        </w:rPr>
      </w:pPr>
      <w:r>
        <w:rPr>
          <w:rFonts w:ascii="Times New Roman" w:cs="Times New Roman" w:eastAsia="Times New Roman" w:hAnsi="Times New Roman"/>
          <w:sz w:val="16"/>
          <w:szCs w:val="16"/>
          <w:color w:val="auto"/>
        </w:rPr>
        <w:t>Our Board of Directors oversees our enterprise risk management strategy, including our strategy on cybersecurity</w:t>
      </w:r>
    </w:p>
    <w:p>
      <w:pPr>
        <w:ind w:right="1420"/>
        <w:spacing w:after="0" w:line="203" w:lineRule="auto"/>
        <w:rPr>
          <w:sz w:val="20"/>
          <w:szCs w:val="20"/>
          <w:color w:val="auto"/>
        </w:rPr>
      </w:pPr>
      <w:r>
        <w:rPr>
          <w:rFonts w:ascii="Times New Roman" w:cs="Times New Roman" w:eastAsia="Times New Roman" w:hAnsi="Times New Roman"/>
          <w:sz w:val="16"/>
          <w:szCs w:val="16"/>
          <w:color w:val="auto"/>
        </w:rPr>
        <w:t>risks, directly and through its committees. In this respect, the Audit Committee of the Board of Directors oversees our risk management program, which focuses on the most significant risks we face in the short-, intermediate-, and long-term timeframe. Our Information Security Steering Committee (“ISSC”), which is chaired by our Chief Information Security Officer and composed of senior representatives from our business, compliance, and risk management departments, monitors threats and prioritizes the initiatives of our information security program. In addition, we seek to educate our employees on how to safeguard Carlyle’s information assets through security awareness training focused on cyber risks, as well as simulated phishing exercises that provide insight into the effectiveness of our security training. Employees serve an integral role in protecting Carlyle’s data and attest to complying with various requirements both during onboarding and on an annual basis. See Item 1C “Cybersecurity.”</w:t>
      </w:r>
    </w:p>
    <w:p>
      <w:pPr>
        <w:spacing w:after="0" w:line="208" w:lineRule="auto"/>
        <w:rPr>
          <w:sz w:val="20"/>
          <w:szCs w:val="20"/>
          <w:color w:val="auto"/>
        </w:rPr>
      </w:pPr>
      <w:r>
        <w:rPr>
          <w:rFonts w:ascii="Times New Roman" w:cs="Times New Roman" w:eastAsia="Times New Roman" w:hAnsi="Times New Roman"/>
          <w:sz w:val="16"/>
          <w:szCs w:val="16"/>
          <w:b w:val="1"/>
          <w:bCs w:val="1"/>
          <w:color w:val="auto"/>
        </w:rPr>
        <w:t>Competition</w:t>
      </w:r>
    </w:p>
    <w:p>
      <w:pPr>
        <w:ind w:right="1420" w:firstLine="576"/>
        <w:spacing w:after="0"/>
        <w:rPr>
          <w:sz w:val="20"/>
          <w:szCs w:val="20"/>
          <w:color w:val="auto"/>
        </w:rPr>
      </w:pPr>
      <w:r>
        <w:rPr>
          <w:rFonts w:ascii="Times New Roman" w:cs="Times New Roman" w:eastAsia="Times New Roman" w:hAnsi="Times New Roman"/>
          <w:sz w:val="14"/>
          <w:szCs w:val="14"/>
          <w:color w:val="auto"/>
        </w:rPr>
        <w:t>As a global investment firm, we compete with a broad array of regional and global investment firms, as well as global banking institutions and other types of financial institutions and markets, for employees, investors, and investment opportunities. Generally, our competition varies across business lines, geographies, distribution channels, and financial markets. We believe that our competition for investors is based primarily on investment performance, business relationships, the quality of services provided to investors, reputation and brand recognition, pricing, market sentiment, and the relative attractiveness of the particular opportunity in which a particular fund intends to invest. To stay competitive, we believe it also is important to be able to offer fund investors a customized suite of investment products that enable them to tailor their investments across the product offerings in our three global business segments. As we continue to target high net worth investors, we also face competition for these investors from mutual funds and investment firms that have competing retail products. We believe that competition for investment opportunities varies across business lines, but is generally based on industry expertise and potential for value-add, pricing, terms, and the structure of a proposed investment and certainty of execution.</w:t>
      </w:r>
    </w:p>
    <w:p>
      <w:pPr>
        <w:spacing w:after="0" w:line="107"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We generally compete with sponsors of public and private investment funds across all of our segments. In addition to these traditional competitors, we increasingly have faced competition from local and regional firms, insurance and reinsurance companies, sovereign wealth funds, family offices, and agencies and instrumentalities of governments in the various countries in which we invest. This trend has been especially apparent in emerging markets, where local firms tend to have more established relationships with the companies in which we are attempting to invest. Large institutional investors and sovereign wealth funds increasingly have begun to develop their own in -house investment capabilities and may compete against us for investment opportunities and greater reliance on advisory firms or in -house investment management may reduce fund of funds’ appeal to large institutional investors.</w:t>
      </w:r>
    </w:p>
    <w:p>
      <w:pPr>
        <w:spacing w:after="0" w:line="207" w:lineRule="auto"/>
        <w:rPr>
          <w:sz w:val="20"/>
          <w:szCs w:val="20"/>
          <w:color w:val="auto"/>
        </w:rPr>
      </w:pPr>
      <w:r>
        <w:rPr>
          <w:rFonts w:ascii="Times New Roman" w:cs="Times New Roman" w:eastAsia="Times New Roman" w:hAnsi="Times New Roman"/>
          <w:sz w:val="16"/>
          <w:szCs w:val="16"/>
          <w:color w:val="auto"/>
        </w:rPr>
        <w:t>Within our GPE segment, our main competitors for investment opportunities are generally other private equity</w:t>
      </w:r>
    </w:p>
    <w:p>
      <w:pPr>
        <w:spacing w:after="0" w:line="1" w:lineRule="exact"/>
        <w:rPr>
          <w:sz w:val="20"/>
          <w:szCs w:val="20"/>
          <w:color w:val="auto"/>
        </w:rPr>
      </w:pPr>
    </w:p>
    <w:p>
      <w:pPr>
        <w:ind w:right="1540"/>
        <w:spacing w:after="0" w:line="244" w:lineRule="auto"/>
        <w:rPr>
          <w:sz w:val="20"/>
          <w:szCs w:val="20"/>
          <w:color w:val="auto"/>
        </w:rPr>
      </w:pPr>
      <w:r>
        <w:rPr>
          <w:rFonts w:ascii="Times New Roman" w:cs="Times New Roman" w:eastAsia="Times New Roman" w:hAnsi="Times New Roman"/>
          <w:sz w:val="14"/>
          <w:szCs w:val="14"/>
          <w:color w:val="auto"/>
        </w:rPr>
        <w:t>sponsors, sovereign wealth funds, and operating companies acting as strategic acquirers, as well as real estate development companies and other infrastructure investment business. In our Global Credit segment, our main competitors are private credit strategies, business development companies, distressed debt funds, mezzanine funds, lessors of commercial aircraft, infrastructure lenders, other CLO issuers, and asset-backed lenders. In our Global Investment Solutions segment, our 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color w:val="auto"/>
        </w:rPr>
        <w:t>competitors are other fund of funds managers and/or with advisers that are turning their business models towards discretionary investment advisory services. As larger sovereign wealth funds and pension funds pursue direct commitments and secondary transactions, our Global Investment Solutions funds may face increased competition for investments and co-investment opportunities.</w:t>
      </w:r>
    </w:p>
    <w:p>
      <w:pPr>
        <w:spacing w:after="0" w:line="2"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Some of the entities that we compete with are substantially larger and have greater financial, technical, marketing, and other resources and more personnel than we do. Many of our competitors also have recently raised, or are expected to raise, significant amounts of capital and many of them have investment objectives similar to ours, which may create additional competition for investment opportunities and investor capital. Some of these competitors also may have a lower cost of capital and access to funding sources that are not available to us, which may create competitive disadvantages for us when sourcing investment opportunities. In addition, some of our competitors may have higher risk tolerances, different risk assessments, or lower return thresholds, which could allow them to consider a wider range of investments and to bid more aggressively than us for investments. Strategic buyers also may be able to achieve synergistic cost savings or revenue enhancements with respect to a targeted portfolio company, which we may not be able to achieve through our own portfolio, and this may provide them with a competitive advantage in bidding for such investments.</w:t>
      </w:r>
    </w:p>
    <w:p>
      <w:pPr>
        <w:spacing w:after="0" w:line="209" w:lineRule="auto"/>
        <w:rPr>
          <w:sz w:val="20"/>
          <w:szCs w:val="20"/>
          <w:color w:val="auto"/>
        </w:rPr>
      </w:pPr>
      <w:r>
        <w:rPr>
          <w:rFonts w:ascii="Times New Roman" w:cs="Times New Roman" w:eastAsia="Times New Roman" w:hAnsi="Times New Roman"/>
          <w:sz w:val="16"/>
          <w:szCs w:val="16"/>
          <w:b w:val="1"/>
          <w:bCs w:val="1"/>
          <w:color w:val="auto"/>
        </w:rPr>
        <w:t>Regulatory and Compliance Matters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United States</w:t>
      </w:r>
    </w:p>
    <w:p>
      <w:pPr>
        <w:ind w:right="1420" w:firstLine="576"/>
        <w:spacing w:after="0" w:line="232" w:lineRule="auto"/>
        <w:rPr>
          <w:sz w:val="20"/>
          <w:szCs w:val="20"/>
          <w:color w:val="auto"/>
        </w:rPr>
      </w:pPr>
      <w:r>
        <w:rPr>
          <w:rFonts w:ascii="Times New Roman" w:cs="Times New Roman" w:eastAsia="Times New Roman" w:hAnsi="Times New Roman"/>
          <w:sz w:val="14"/>
          <w:szCs w:val="14"/>
          <w:color w:val="auto"/>
        </w:rPr>
        <w:t>Our businesses, as well as the financial services industry generally, are subject to extensive regulation in the United States and elsewhere. In general, the SEC, Commodity Futures Trading Commission (the “CFTC”), and other regulators around the globe have in recent years significantly increased their regulatory activities with respect to global investment firms.</w:t>
      </w:r>
    </w:p>
    <w:p>
      <w:pPr>
        <w:spacing w:after="0" w:line="1" w:lineRule="exact"/>
        <w:rPr>
          <w:sz w:val="20"/>
          <w:szCs w:val="20"/>
          <w:color w:val="auto"/>
        </w:rPr>
      </w:pPr>
    </w:p>
    <w:p>
      <w:pPr>
        <w:ind w:right="1740" w:firstLine="576"/>
        <w:spacing w:after="0" w:line="244" w:lineRule="auto"/>
        <w:rPr>
          <w:sz w:val="20"/>
          <w:szCs w:val="20"/>
          <w:color w:val="auto"/>
        </w:rPr>
      </w:pPr>
      <w:r>
        <w:rPr>
          <w:rFonts w:ascii="Times New Roman" w:cs="Times New Roman" w:eastAsia="Times New Roman" w:hAnsi="Times New Roman"/>
          <w:sz w:val="14"/>
          <w:szCs w:val="14"/>
          <w:color w:val="auto"/>
        </w:rPr>
        <w:t>Certain of our subsidiaries are registered as investment advisers with the SEC. Registered investment advisers are subject to the requirements and regulations of the Advisers Act. Such requirements relate to, among other things, fiduciary duties to advisory clients, maintaining an effective compliance program, solicitation agreements, conflicts of interest, recordkeeping and reporting requirements, disclosure requirements, limitations on agency cross and principal transactions</w:t>
      </w:r>
    </w:p>
    <w:p>
      <w:pPr>
        <w:sectPr>
          <w:pgSz w:w="11900" w:h="16840" w:orient="portrait"/>
          <w:cols w:equalWidth="0" w:num="1">
            <w:col w:w="9400"/>
          </w:cols>
          <w:pgMar w:left="1060" w:top="557" w:right="1440" w:bottom="90" w:gutter="0" w:footer="0" w:header="0"/>
        </w:sectPr>
      </w:pPr>
    </w:p>
    <w:bookmarkStart w:id="19" w:name="page20"/>
    <w:bookmarkEnd w:id="19"/>
    <w:p>
      <w:pPr>
        <w:ind w:right="1420"/>
        <w:spacing w:after="0" w:line="207" w:lineRule="auto"/>
        <w:rPr>
          <w:sz w:val="20"/>
          <w:szCs w:val="20"/>
          <w:color w:val="auto"/>
        </w:rPr>
      </w:pPr>
      <w:r>
        <w:rPr>
          <w:rFonts w:ascii="Times New Roman" w:cs="Times New Roman" w:eastAsia="Times New Roman" w:hAnsi="Times New Roman"/>
          <w:sz w:val="16"/>
          <w:szCs w:val="16"/>
          <w:color w:val="auto"/>
        </w:rPr>
        <w:t>between an adviser and advisory clients, and general anti -fraud prohibitions. In addition, our registered investment advisers are subject to routine periodic and other examinations by the SEC staff. In accordance with our efforts to enhance our compliance program and in response to recommendations received from the SEC in the course of such examinations, certain additional policies and procedures have been put into place, but no material changes to our registered investment advisers’ operations have been made as a result of such examinations. Certain of our investment advisers also are subject to limited SEC disclosure requirements as “exempt reporting advisers.”</w:t>
      </w:r>
    </w:p>
    <w:p>
      <w:pPr>
        <w:spacing w:after="0" w:line="206" w:lineRule="auto"/>
        <w:rPr>
          <w:sz w:val="20"/>
          <w:szCs w:val="20"/>
          <w:color w:val="auto"/>
        </w:rPr>
      </w:pPr>
      <w:r>
        <w:rPr>
          <w:rFonts w:ascii="Times New Roman" w:cs="Times New Roman" w:eastAsia="Times New Roman" w:hAnsi="Times New Roman"/>
          <w:sz w:val="16"/>
          <w:szCs w:val="16"/>
          <w:color w:val="auto"/>
        </w:rPr>
        <w:t>TCG Capital Markets L.L.C. (“TCG Capital Markets”) is Carlyle’s affiliated U.S. broker-dealer entity. TCG Capital</w:t>
      </w:r>
    </w:p>
    <w:p>
      <w:pPr>
        <w:ind w:right="1420"/>
        <w:spacing w:after="0" w:line="203" w:lineRule="auto"/>
        <w:rPr>
          <w:sz w:val="20"/>
          <w:szCs w:val="20"/>
          <w:color w:val="auto"/>
        </w:rPr>
      </w:pPr>
      <w:r>
        <w:rPr>
          <w:rFonts w:ascii="Times New Roman" w:cs="Times New Roman" w:eastAsia="Times New Roman" w:hAnsi="Times New Roman"/>
          <w:sz w:val="16"/>
          <w:szCs w:val="16"/>
          <w:color w:val="auto"/>
        </w:rPr>
        <w:t>Markets is registered as a broker- dealer with the SEC and in 50 states, the District of Columbia, the Commonwealth of Puerto Rico, and the Virgin Islands, and is a member of the Financial Industry Regulatory Authority (“FINRA”). In addition, TCG Capital Markets operates under an international dealer exemption in the Canadian provinces of Alberta, British Columbia, Manitoba, New Brunswick, Newfoundland and Labrador, Nova Scotia, Ontario, Quebec, and Saskatchewan. TCG Capital Markets may act as an underwriter, syndicator, or placement agent in securities offerings and TCG Senior Funding L.L.C. may act as an underwriter, originator, syndicator, or placement agent for loan originations. TCG Capital Markets also conducts U.S.-based marketing and fundraising activities for our Global Private Equity, Global Credit, and Global Investment Solutions business lines, and houses our anti-money laundering compliance function.</w:t>
      </w:r>
    </w:p>
    <w:p>
      <w:pPr>
        <w:spacing w:after="0" w:line="3" w:lineRule="exact"/>
        <w:rPr>
          <w:sz w:val="20"/>
          <w:szCs w:val="20"/>
          <w:color w:val="auto"/>
        </w:rPr>
      </w:pPr>
    </w:p>
    <w:p>
      <w:pPr>
        <w:ind w:right="1600" w:firstLine="576"/>
        <w:spacing w:after="0" w:line="203" w:lineRule="auto"/>
        <w:rPr>
          <w:sz w:val="20"/>
          <w:szCs w:val="20"/>
          <w:color w:val="auto"/>
        </w:rPr>
      </w:pPr>
      <w:r>
        <w:rPr>
          <w:rFonts w:ascii="Times New Roman" w:cs="Times New Roman" w:eastAsia="Times New Roman" w:hAnsi="Times New Roman"/>
          <w:sz w:val="16"/>
          <w:szCs w:val="16"/>
          <w:color w:val="auto"/>
        </w:rPr>
        <w:t>Registered broker-dealers are subject to routine periodic and other examinations by the staff of FINRA. No material changes to our broker-dealer operations have been made as a result of such examinations.</w:t>
      </w:r>
    </w:p>
    <w:p>
      <w:pPr>
        <w:spacing w:after="0" w:line="1" w:lineRule="exact"/>
        <w:rPr>
          <w:sz w:val="20"/>
          <w:szCs w:val="20"/>
          <w:color w:val="auto"/>
        </w:rPr>
      </w:pPr>
    </w:p>
    <w:p>
      <w:pPr>
        <w:ind w:right="1440" w:firstLine="576"/>
        <w:spacing w:after="0"/>
        <w:rPr>
          <w:sz w:val="20"/>
          <w:szCs w:val="20"/>
          <w:color w:val="auto"/>
        </w:rPr>
      </w:pPr>
      <w:r>
        <w:rPr>
          <w:rFonts w:ascii="Times New Roman" w:cs="Times New Roman" w:eastAsia="Times New Roman" w:hAnsi="Times New Roman"/>
          <w:sz w:val="14"/>
          <w:szCs w:val="14"/>
          <w:color w:val="auto"/>
        </w:rPr>
        <w:t>Broker-dealers are subject to rules relating to transactions on a particular exchange and/or market, and rules relating to the internal operations of the firms and their dealings with customers including, but not limited to, the form or organization of the firm, qualifications of associated persons, officers and directors, net capital and customer protection rules, books and records, and financial statements and reporting. In particular, as a result of its registered status, TCG Capital Markets is subject to the SEC’s uniform net capital rule, Rule 15c3-1 under the Securities Exchange Act of 1934, as amended (the “Exchange Act”), which specifies both the minimum level of net capital a broker-dealer must maintain relative to the scope of its business activities and net capital liquidity parameters. The SEC and FINRA require compliance with key financial responsibility rules, including maintenance of adequate funds to meet expenses and contractual obligations, as well as early warning rules that compel notice to the regulators via accelerated financial reporting anytime a firm’s capital falls below the minimum required level. The uniform net capital rule limits the amount of qualifying subordinated debt that is treated as equity to a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percentage under the debt-to- equity ratio test, and further limits the withdrawal of equity capital, which is subject to specific notice provisions. Moreover, compliance with net capital rules may limit a firm’s ability to expand its operations, particularly to those activities that require the use of capital. Violation of the net capital rule may result in censures, fines, the issuance of cease -and-desist orders, revocation of licenses or registrations, the suspension or expulsion from the securities industry of the broker- dealer or its officers or employees, or other similar consequences by regulatory bodies. To date, TCG Capital Markets has not had any capital adequacy issues and is currently capitalized in excess of the minimum maintenance amount required by regulators.</w:t>
      </w:r>
    </w:p>
    <w:p>
      <w:pPr>
        <w:spacing w:after="0" w:line="3"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Carlyle Global Credit Investment Management L.L.C. (“CGCIM”) and CSL III Advisor, LLC, subsidiaries of Carlyle, serve as investment advisers to certain closed-end investment companies that have elected to be regulated as BDCs under the Investment Company Act (as well as to certain private funds and other clients). Accordingly, these BDCs are subject to all relevant provisions under the Investment Company Act as registered investment companies. In addition, CGCIM serves as the investment adviser to CTAC and CCIF, each of which is regulated as a registered investment company under the Investment Company Act. Moreover, AlpInvest Private Equity Investment Management, LLC, a subsidiary of Carlyle, serves as the investment adviser to CAPM, which is regulated as a registered investment company under the Investment Company Act. CGCIM also serves as a sub-adviser to CAPM.</w:t>
      </w:r>
    </w:p>
    <w:p>
      <w:pPr>
        <w:ind w:left="560"/>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United Kingdom and the European Union</w:t>
      </w:r>
    </w:p>
    <w:p>
      <w:pPr>
        <w:spacing w:after="0" w:line="1" w:lineRule="exact"/>
        <w:rPr>
          <w:sz w:val="20"/>
          <w:szCs w:val="20"/>
          <w:color w:val="auto"/>
        </w:rPr>
      </w:pPr>
    </w:p>
    <w:p>
      <w:pPr>
        <w:ind w:right="1400" w:firstLine="576"/>
        <w:spacing w:after="0" w:line="203" w:lineRule="auto"/>
        <w:rPr>
          <w:sz w:val="20"/>
          <w:szCs w:val="20"/>
          <w:color w:val="auto"/>
        </w:rPr>
      </w:pPr>
      <w:r>
        <w:rPr>
          <w:rFonts w:ascii="Times New Roman" w:cs="Times New Roman" w:eastAsia="Times New Roman" w:hAnsi="Times New Roman"/>
          <w:sz w:val="16"/>
          <w:szCs w:val="16"/>
          <w:color w:val="auto"/>
        </w:rPr>
        <w:t>Similar to the United States, jurisdictions outside the United States in which we operate, in particular Europe, have become subject to an expanding body of regulation, some of which is complex and prescriptive. Governmental regulators and other authorities in Europe have proposed or implemented a number of initiatives and additional rules and regulations that could adversely affect our business. These include rules and regulations in the United Kingdom (“UK”) that are applicable to our subsidiaries established in the UK, as well as, or in addition to, rules and regulations implemented under European Union (“EU”) directives or regulations, which generally have application throughout the European Economic Area (“EEA”) but may also have substantive differences among EU countries as they are implemented pursuant to each member state’s legislative process.</w:t>
      </w:r>
    </w:p>
    <w:p>
      <w:pPr>
        <w:spacing w:after="0" w:line="3"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In the UK, the principal legislation regulating financial services is the Financial Services and Markets Act 2000 (the “FSMA”) and the principal European pieces of legislation affecting the conduct of our business in the EU is implemented under the Markets in Financial Instruments Directive (“MiFID”) and the Alternative Investment Fund Managers Directive (“AIFMD”), although there are also a number of other pieces of legislation both in the UK and the EU that affect our business, such as the General Data Protection Regulation (and its UK equivalent) . The FSMA rules and EU laws that have either been adopted into UK law in connection with the UK’s withdrawal from the EU (e.g., the Markets in Financial Instruments Regulation) or already implemented in the UK through domestic legislation or regulatory rules prior to such withdrawal (e.g., MiFID and AIFMD), comprehensively regulate the provision of most aspects of our asset management and advisory business in the UK, including sales, research and trading practices, provision of investment advice, corporate finance, dealing, use and safekeeping of client funds and securities, record keeping, margin practices and procedures, anti-money laundering, periodic reporting, settlement procedures, securitization, derivative trading, prudential capital requirements, data protection, and interest rate benchmarks. Legislation not yet in effect and future legislative initiatives will impact our business. See Item 1A “Risk Factors—Risks Related to Regulation and Litigation—Regulatory initiatives in jurisdictions outside the United States could adversely affect our business.”</w:t>
      </w:r>
    </w:p>
    <w:p>
      <w:pPr>
        <w:spacing w:after="0" w:line="6" w:lineRule="exact"/>
        <w:rPr>
          <w:sz w:val="20"/>
          <w:szCs w:val="20"/>
          <w:color w:val="auto"/>
        </w:rPr>
      </w:pPr>
    </w:p>
    <w:p>
      <w:pPr>
        <w:ind w:right="1440" w:firstLine="576"/>
        <w:spacing w:after="0" w:line="213" w:lineRule="auto"/>
        <w:rPr>
          <w:sz w:val="20"/>
          <w:szCs w:val="20"/>
          <w:color w:val="auto"/>
        </w:rPr>
      </w:pPr>
      <w:r>
        <w:rPr>
          <w:rFonts w:ascii="Times New Roman" w:cs="Times New Roman" w:eastAsia="Times New Roman" w:hAnsi="Times New Roman"/>
          <w:sz w:val="16"/>
          <w:szCs w:val="16"/>
          <w:color w:val="auto"/>
        </w:rPr>
        <w:t>CECP Advisors LLP (“CECP”), one of our subsidiaries in the UK, is authorized under the FSMA and regulated by the Financial Conduct Authority (the “FCA”) . CECP has permission to undertake certain investment advisory and related activities in the UK—broadly these are advising on, and arranging deals in relation to certain types of, investments. CECP only is permitted to carry out these activities in relation to eligible counterparties and professional clients.</w:t>
      </w:r>
    </w:p>
    <w:p>
      <w:pPr>
        <w:sectPr>
          <w:pgSz w:w="11900" w:h="16840" w:orient="portrait"/>
          <w:cols w:equalWidth="0" w:num="1">
            <w:col w:w="9400"/>
          </w:cols>
          <w:pgMar w:left="1060" w:top="557" w:right="1440" w:bottom="31" w:gutter="0" w:footer="0" w:header="0"/>
        </w:sectPr>
      </w:pPr>
    </w:p>
    <w:bookmarkStart w:id="20" w:name="page21"/>
    <w:bookmarkEnd w:id="20"/>
    <w:p>
      <w:pPr>
        <w:ind w:right="1740" w:firstLine="576"/>
        <w:spacing w:after="0" w:line="208" w:lineRule="auto"/>
        <w:rPr>
          <w:sz w:val="20"/>
          <w:szCs w:val="20"/>
          <w:color w:val="auto"/>
        </w:rPr>
      </w:pPr>
      <w:r>
        <w:rPr>
          <w:rFonts w:ascii="Times New Roman" w:cs="Times New Roman" w:eastAsia="Times New Roman" w:hAnsi="Times New Roman"/>
          <w:sz w:val="16"/>
          <w:szCs w:val="16"/>
          <w:color w:val="auto"/>
        </w:rPr>
        <w:t>CELF Advisors LLP (“CELF”), another one of our subsidiaries in the UK, also is authorized and regulated by the FCA, but has permission to undertake a broader range of regulated activities than CECP, namely, arranging deals in investments, advising on investments, managing investments, dealing in investments as agent, and arranging for the safeguarding and administration of assets. CELF only is permitted to carry out these activities in relation to eligible counterparties and professional clients.</w:t>
      </w:r>
    </w:p>
    <w:p>
      <w:pPr>
        <w:spacing w:after="0" w:line="1" w:lineRule="exact"/>
        <w:rPr>
          <w:sz w:val="20"/>
          <w:szCs w:val="20"/>
          <w:color w:val="auto"/>
        </w:rPr>
      </w:pPr>
    </w:p>
    <w:p>
      <w:pPr>
        <w:ind w:right="1640"/>
        <w:spacing w:after="0" w:line="213" w:lineRule="auto"/>
        <w:rPr>
          <w:sz w:val="20"/>
          <w:szCs w:val="20"/>
          <w:color w:val="auto"/>
        </w:rPr>
      </w:pPr>
      <w:r>
        <w:rPr>
          <w:rFonts w:ascii="Times New Roman" w:cs="Times New Roman" w:eastAsia="Times New Roman" w:hAnsi="Times New Roman"/>
          <w:sz w:val="16"/>
          <w:szCs w:val="16"/>
          <w:color w:val="auto"/>
        </w:rPr>
        <w:t>In April 2024, the AlpInvest Partners LLP application for authorization was approved by the FCA. AlpInvest Partners LLP now is authorized and regulated by the FCA with permission to carry on investment advisory and related activities, including advising on and arranging deals in relation to certain types of investments in relation to eligible counterparties and professional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In 2022, we acquired Abingworth LLP (“Abingworth”), which is authorized and regulated by the FCA, with</w:t>
      </w:r>
    </w:p>
    <w:p>
      <w:pPr>
        <w:ind w:right="1420"/>
        <w:spacing w:after="0" w:line="203" w:lineRule="auto"/>
        <w:rPr>
          <w:sz w:val="20"/>
          <w:szCs w:val="20"/>
          <w:color w:val="auto"/>
        </w:rPr>
      </w:pPr>
      <w:r>
        <w:rPr>
          <w:rFonts w:ascii="Times New Roman" w:cs="Times New Roman" w:eastAsia="Times New Roman" w:hAnsi="Times New Roman"/>
          <w:sz w:val="16"/>
          <w:szCs w:val="16"/>
          <w:color w:val="auto"/>
        </w:rPr>
        <w:t>permissions for establishing, operating, or winding up a collective investment scheme, and managing an unauthorized AIF. Abingworth only is permitted to carry out these activities in relation to eligible counterparties and professional clients. Also in 2022, CECP appointed CIC Advisors LLP (“CIC”) as an appointed representative. Under the arrangement, CECP, as the principal of CIC, has accepted regulatory responsibility for CIC of carrying out the activities of advising on investments and arranging deals in investments. Under the appointed representative arrangement, CIC only is permitted to carry out these activities in relation to eligible counterparties and professional clients.</w:t>
      </w:r>
    </w:p>
    <w:p>
      <w:pPr>
        <w:spacing w:after="0" w:line="206" w:lineRule="auto"/>
        <w:rPr>
          <w:sz w:val="20"/>
          <w:szCs w:val="20"/>
          <w:color w:val="auto"/>
        </w:rPr>
      </w:pPr>
      <w:r>
        <w:rPr>
          <w:rFonts w:ascii="Times New Roman" w:cs="Times New Roman" w:eastAsia="Times New Roman" w:hAnsi="Times New Roman"/>
          <w:sz w:val="16"/>
          <w:szCs w:val="16"/>
          <w:color w:val="auto"/>
        </w:rPr>
        <w:t>Following the UK’s exit from the EU on January 31, 2020, and the end of the Brexit transition period on December 31,</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2020, EEA passporting rights (which previously entitled CECP and CELF to provide certain investment services in or into the EEA on a cross-border basis and Abingworth to market its funds in the EEA on a cross-border basis) are no longer available to CECP, CELF, and Abingworth. Certain EEA investor-facing activities previously carried on by those firms have been reorganized such that they are now performed by different, EEA-established, affiliates under alternative licensing arrangements, and this may continue to change in the future. These arrangements may subject us to additional regulatory obligations and may impede our ability to raise capital from EEA investors. The UK and the EU announced, on December 24, 2020, that they have reached agreement on a Trade and Cooperation Agreement (the “TCA”), which addresses the future relationship between the parties. The TCA was approved by the UK Parliament on December 30, 2020. The TCA was formally ratified by the European Parliament and has applied permanently since May 1, 2021. However, the TCA does not substantively address future cooperation in the financial services sector or reciprocal market access into the EU by UK-based firms under equivalence arrangements or otherwise. Nevertheless, the implications and operations of the TCA may be subject to change and/or develop on short notice. In addition, the Temporary Marketing Permission Regime (the “TMPR”) allowed EU AIFMs to continue to market in the UK those funds that were in existence on December 31, 2020, on broadly the same terms as previously applied. The TMPR expired on December 31, 2023, though funds registered for marketing under the regime have now been offered landing slots to register with the UK’s Overseas Fund Regime. Any marketing of a new fund coming into existence after</w:t>
      </w:r>
    </w:p>
    <w:p>
      <w:pPr>
        <w:spacing w:after="0" w:line="116" w:lineRule="exact"/>
        <w:rPr>
          <w:sz w:val="20"/>
          <w:szCs w:val="20"/>
          <w:color w:val="auto"/>
        </w:rPr>
      </w:pPr>
    </w:p>
    <w:p>
      <w:pPr>
        <w:ind w:right="1740"/>
        <w:spacing w:after="0" w:line="255" w:lineRule="auto"/>
        <w:rPr>
          <w:sz w:val="20"/>
          <w:szCs w:val="20"/>
          <w:color w:val="auto"/>
        </w:rPr>
      </w:pPr>
      <w:r>
        <w:rPr>
          <w:rFonts w:ascii="Times New Roman" w:cs="Times New Roman" w:eastAsia="Times New Roman" w:hAnsi="Times New Roman"/>
          <w:sz w:val="14"/>
          <w:szCs w:val="14"/>
          <w:color w:val="auto"/>
        </w:rPr>
        <w:t>December 31, 2020, must be under the UK’s national private placement regime or under the UK’s Overseas Fund Regime. Certain of our European subsidiaries are subject to compliance requirements in connection with AIFMD, which</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regulates alternative investment fund managers (“AIFMs”) established in the EEA that manage alternative investment funds (“AIFs”). In the UK, a retained version of the AIFMD exists. The AIFMD also regulates and imposes regulatory obligations in respect of the marketing in the EEA by AIFMs (whether established in the EEA or elsewhere) of AIFs (whether established in the EEA or elsewhere). The AIFMD generally became effective in countries across the EEA in 2014. Currently, Carlyle has three authorized AIFMs in the EEA: AlpInvest, CIM Europe S.a.r.l. (“CIM Europe”), and Carlyle Real Estate SGR S.p.A. In the UK, Abingworth is authorized under the UK retained version of AIFMD.</w:t>
      </w:r>
    </w:p>
    <w:p>
      <w:pPr>
        <w:spacing w:after="0" w:line="3"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The AIFMD imposes significant regulatory requirements on AIFMs. The AIFMD regulates fund managers by, among other things, prescribing authorization conditions for an AIFM, restricting the activities that can be undertaken by an AIFM, prescribing the organizational requirements, operating conditions, and regulatory standards relating to such things as initial capital, remuneration, conflicts, risk management, leverage, liquidity management, delegation of duties, transparency, and reporting requirements. The AIFMD has the potential to restrict Carlyle’s fund marketing strategy and places additional compliance obligations on its authorized AIFMs in the form of, among other things, remuneration policies, capital requirements, reporting requirements, leverage oversight, and liquidity management.</w:t>
      </w:r>
    </w:p>
    <w:p>
      <w:pPr>
        <w:spacing w:after="0" w:line="3" w:lineRule="exact"/>
        <w:rPr>
          <w:sz w:val="20"/>
          <w:szCs w:val="20"/>
          <w:color w:val="auto"/>
        </w:rPr>
      </w:pPr>
    </w:p>
    <w:p>
      <w:pPr>
        <w:ind w:right="1560" w:firstLine="576"/>
        <w:spacing w:after="0" w:line="203" w:lineRule="auto"/>
        <w:rPr>
          <w:sz w:val="20"/>
          <w:szCs w:val="20"/>
          <w:color w:val="auto"/>
        </w:rPr>
      </w:pPr>
      <w:r>
        <w:rPr>
          <w:rFonts w:ascii="Times New Roman" w:cs="Times New Roman" w:eastAsia="Times New Roman" w:hAnsi="Times New Roman"/>
          <w:sz w:val="16"/>
          <w:szCs w:val="16"/>
          <w:color w:val="auto"/>
        </w:rPr>
        <w:t>Authorized AIFMs are entitled to market their AIFs throughout the EEA under a marketing passport. Under the AIFMD, an AIFM may, in addition to its fund management activity, be authorized to provide certain investment services that would otherwise require authorization under MiFID. Authorization under the AIFMD is currently available only to EEA fund managers. AlpInvest obtained authorization as an AIFM from the Authority for Financial Markets in the Netherlands (the “AFM”) in 2015. AlpInvest also is licensed by the AFM to provide some of the additional investment services that are otherwise generally reserved to MiFID firms. CIM Europe obtained authorization as an AIFM in Luxembourg from the Commission de Surveillance du Secteur Financier (“CSSF”) in early 2018. CIM Europe also was licensed by the CSSF in October 2024 to provide additional MiFID investment services under its license. Carlyle Real Estate SGR S.p.A. registered at the Bank of Italy’s AIFM register under no.127 in 2017.</w:t>
      </w:r>
    </w:p>
    <w:p>
      <w:pPr>
        <w:spacing w:after="0" w:line="4" w:lineRule="exact"/>
        <w:rPr>
          <w:sz w:val="20"/>
          <w:szCs w:val="20"/>
          <w:color w:val="auto"/>
        </w:rPr>
      </w:pPr>
    </w:p>
    <w:p>
      <w:pPr>
        <w:ind w:right="1520" w:firstLine="576"/>
        <w:spacing w:after="0" w:line="241" w:lineRule="auto"/>
        <w:rPr>
          <w:sz w:val="20"/>
          <w:szCs w:val="20"/>
          <w:color w:val="auto"/>
        </w:rPr>
      </w:pPr>
      <w:r>
        <w:rPr>
          <w:rFonts w:ascii="Times New Roman" w:cs="Times New Roman" w:eastAsia="Times New Roman" w:hAnsi="Times New Roman"/>
          <w:sz w:val="14"/>
          <w:szCs w:val="14"/>
          <w:color w:val="auto"/>
        </w:rPr>
        <w:t>The AIFMD allows member states to permit marketing within their member state by non-EEA fund managers (under what are known as national private placement regimes), provided the local law imposes certain minimum requirements. Member states may impose more stringent requirements. At present, some EEA states have chosen not to operate a national private placement regime at all, some EEA states apply the minimum requirements, others require the minimum plus a few additional requirements (e.g., the appointment of a depository), and some require compliance with substantially all of the</w:t>
      </w:r>
    </w:p>
    <w:p>
      <w:pPr>
        <w:sectPr>
          <w:pgSz w:w="11900" w:h="16840" w:orient="portrait"/>
          <w:cols w:equalWidth="0" w:num="1">
            <w:col w:w="9400"/>
          </w:cols>
          <w:pgMar w:left="1060" w:top="557" w:right="1440"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760"/>
        <w:spacing w:after="0" w:line="203" w:lineRule="auto"/>
        <w:rPr>
          <w:sz w:val="20"/>
          <w:szCs w:val="20"/>
          <w:color w:val="auto"/>
        </w:rPr>
      </w:pPr>
      <w:r>
        <w:rPr>
          <w:rFonts w:ascii="Times New Roman" w:cs="Times New Roman" w:eastAsia="Times New Roman" w:hAnsi="Times New Roman"/>
          <w:sz w:val="16"/>
          <w:szCs w:val="16"/>
          <w:color w:val="auto"/>
        </w:rPr>
        <w:t>AIFMD. The UK also operates a national private placement regime under AIFMD, as onshored post-Brexit. Certain of Carlyle’s funds currently are offered in selected member states of the EEA and UK in accordance with the national private placement regimes of the relevant jurisdiction.</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On March 26, 2024, a directive amending the AIFMD, commonly referred to as “AIFMD II,” was published in the Official Journal. Most of the changes will come into effect in 2026, subject to some grandfathering periods for certain requirements. AIFMD II imposes a number of amendments to the AIFMD, including more onerous delegation transparency requirements, enhanced substance requirements, additional liquidity management provisions for AIFMs to the extent that they manage open- ended AIFs, and revised regulatory reporting and investor disclosures requirements. It also imposes significant new requirements relating to the activities of funds that originate loans (which may affect a number of our funds), including new restrictions on the structure that such funds may take and leverage limits for funds with material loan origination activities. In addition, AIFMD II introduces new conditions for non- EEA AIFMs, such as certain of our U.S. affiliates, to be able</w:t>
      </w:r>
    </w:p>
    <w:p>
      <w:pPr>
        <w:spacing w:after="0" w:line="3"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to make use of the national private placement regimes of EEA states, including a condition that the jurisdiction of neither of the AIFM and AIF have been identified as non-cooperative third countries for tax purposes nor deemed by the EU not to comply fully with the standards laid down in Article 26 of the OECD Model Tax Convention on Income and on Capital and thereby to ensure an effective exchange of information in tax matters. This gives rise to a risk that certain of our AIFs may not be able to take advantage of such regimes to raise capital from EEA investors, potentially with little notice. Given the significance of AIFMD II as well as its potential impact on the European fund industry framework, we continue to consider its potential impact on our business. Compliance with AIFMD II may, among other things, increase the cost and complexity of raising capital, may slow the pace of fundraising, limit operations, increase operational costs, and disadvantage our investment funds as bidders for and potential owners of private companies located in the EEA when compared to non -AIF/AIFM competitors. The changes in AIFMD II will not be replicated in the UK, but the FCA has indicated that there may be some targeted relaxation of the UK AIFMD requirements.</w:t>
      </w:r>
    </w:p>
    <w:p>
      <w:pPr>
        <w:spacing w:after="0" w:line="209" w:lineRule="auto"/>
        <w:rPr>
          <w:sz w:val="20"/>
          <w:szCs w:val="20"/>
          <w:color w:val="auto"/>
        </w:rPr>
      </w:pPr>
      <w:r>
        <w:rPr>
          <w:rFonts w:ascii="Times New Roman" w:cs="Times New Roman" w:eastAsia="Times New Roman" w:hAnsi="Times New Roman"/>
          <w:sz w:val="16"/>
          <w:szCs w:val="16"/>
          <w:color w:val="auto"/>
        </w:rPr>
        <w:t>In August 2021, Directive (EU) 2019/1160 and Regulation (EU) 2019/1156 (the “Cross-Border Marketing Rules”)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came into force in the European Union. The Cross-Border Marketing Rules were introduced to streamline certain aspects of marketing investment funds by harmonizing the ability for EU AIFMs to distribute AIFs across the EU, including by introducing a new regime for “pre-marketing.” These regulations also impose new restrictions and new obligations on fund managers that are pre-marketing their funds in the European Union. Moreover, some EU member states (but not all) also apply, or intend to apply, certain of the Cross -Border Marketing Rules to non-EU fund managers (including UK and U.S. fund managers) in relation to the process of marketing of their funds. Accordingly, our ability to market our funds in the European Union will vary from country to country notwithstanding this pan-EU regulation.</w:t>
      </w:r>
    </w:p>
    <w:p>
      <w:pPr>
        <w:spacing w:after="0" w:line="3"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As outlined above, certain of our European subsidiaries, notably CECP, CELF, and CIC in the United Kingdom, must comply with the regulatory framework established by MiFID (including as retained in the UK), which regulates the provision and conduct of investment services and activities throughout the EEA. Certain aspects of MiFID also apply to AlpInvest and CIM Europe by virtue of their MiFID “top-up” permissions as part of their AIFMD authorizations and to CIM France by virtue of being a “tied agent” of CIM Europe. MiFID prescribes detailed requirements governing the organization and business conduct of investment firms, regulated markets, and certain other entities such as credit institutions to the extent they perform investment services or activities.</w:t>
      </w:r>
    </w:p>
    <w:p>
      <w:pPr>
        <w:spacing w:after="0" w:line="207" w:lineRule="auto"/>
        <w:rPr>
          <w:sz w:val="20"/>
          <w:szCs w:val="20"/>
          <w:color w:val="auto"/>
        </w:rPr>
      </w:pPr>
      <w:r>
        <w:rPr>
          <w:rFonts w:ascii="Times New Roman" w:cs="Times New Roman" w:eastAsia="Times New Roman" w:hAnsi="Times New Roman"/>
          <w:sz w:val="16"/>
          <w:szCs w:val="16"/>
          <w:color w:val="auto"/>
        </w:rPr>
        <w:t>The latest iteration of MiFID, Directive 2014/65/EU (“MiFID II”) together with the accompanying Regulation (EU)</w:t>
      </w:r>
    </w:p>
    <w:p>
      <w:pPr>
        <w:ind w:right="1420"/>
        <w:spacing w:after="0"/>
        <w:rPr>
          <w:sz w:val="20"/>
          <w:szCs w:val="20"/>
          <w:color w:val="auto"/>
        </w:rPr>
      </w:pPr>
      <w:r>
        <w:rPr>
          <w:rFonts w:ascii="Times New Roman" w:cs="Times New Roman" w:eastAsia="Times New Roman" w:hAnsi="Times New Roman"/>
          <w:sz w:val="14"/>
          <w:szCs w:val="14"/>
          <w:color w:val="auto"/>
        </w:rPr>
        <w:t>No 600/2014 (the “Markets in Financial Instruments Regulation” or “MiFIR”), extended the MiFID requirements in a number of areas and require investment firms to comply with more prescriptive and onerous obligations in relation to such things as: costs and charges disclosure, product design and governance, the receipt and payment of inducements, the receipt of and payment for investment research, suitability and appropriateness assessments, conflicts of interest, record- keeping, best execution, transaction and trade reporting, remuneration, training and competence, and corporate governance. Failure to comply with MiFID II and its associated legislative acts could result in sanctions from national regulators, the loss of market access, and a number of other adverse consequences, which would have a detrimental impact on our business. Although the UK withdrew from the EU, its rules implementing MiFID continue to have effect and MiFIR has been adopted into UK law (subject to certain amendments to ensure it operates properly in a UK-specific context) in connection with this withdrawal. The EU has continued to introduce amendments to MiFID II. For example, in August 2022, EU MiFID firms who are providing financial advice and portfolio management had to carry out a mandatory assessment of the sustainability preferences of their clients. Broadly, sustainability preferences address taxonomy alignment, Sustainable Finance Disclosure Regulation (“SFDR”) sustainable investment alignment, and consideration of principal adverse impacts. EU MiFID firms must take these into account in the selection process of financial products. Further changes are expected to MiFID II.</w:t>
      </w:r>
    </w:p>
    <w:p>
      <w:pPr>
        <w:sectPr>
          <w:pgSz w:w="11900" w:h="16840" w:orient="portrait"/>
          <w:cols w:equalWidth="0" w:num="1">
            <w:col w:w="9400"/>
          </w:cols>
          <w:pgMar w:left="1060" w:top="144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27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The UK introduced a prudential regulatory framework for UK investment firms (the “Investment Firm Prudential</w:t>
      </w:r>
    </w:p>
    <w:p>
      <w:pPr>
        <w:ind w:right="1420"/>
        <w:spacing w:after="0" w:line="203" w:lineRule="auto"/>
        <w:rPr>
          <w:sz w:val="20"/>
          <w:szCs w:val="20"/>
          <w:color w:val="auto"/>
        </w:rPr>
      </w:pPr>
      <w:r>
        <w:rPr>
          <w:rFonts w:ascii="Times New Roman" w:cs="Times New Roman" w:eastAsia="Times New Roman" w:hAnsi="Times New Roman"/>
          <w:sz w:val="16"/>
          <w:szCs w:val="16"/>
          <w:color w:val="auto"/>
        </w:rPr>
        <w:t>Regime” or the “IFPR”), which is closely based on an equivalent regulatory framework introduced at the EU -level through the EU Investment Firm Regulation and Investment Firm Directive (together, “IFR/IFD”). The IFPR took effect from January 1, 2022, and applies to our subsidiaries that are UK investment firms under MiFID II, namely CECP, CELF, and AlpInvest Partners LLP. Under the IFPR, among other requirements, CECP, CELF, and AlpInvest Partners LLP, are required to maintain a more onerous policy on remuneration, set an appropriate ratio between the variable and fixed components of total remuneration, and meet requirements on the structure of variable remuneration. These requirements may make it more difficult for us to attract and retain staff in certain circumstances. Importantly, the broad discretion for UK firms that used to be available to disapply certain remuneration rules on the basis of “proportionality” does not apply in relation to IFPR. Under IFPR, CECP, CELF, and AlpInvest Partners LLP, are each required to also make public disclosures on their websites in relation to their (i) own funds, own funds requirements, and governance structures, (ii) risk management, and (iii) remuneration, including quantitative information on remuneration paid to staff. IFPR has resulted in increased regulatory capital and liquidity adequacy requirements for CECP, in particular, and may continue to increase the costs of doing business and may impede intra -group capital and cash flows.</w:t>
      </w:r>
    </w:p>
    <w:p>
      <w:pPr>
        <w:spacing w:after="0" w:line="210" w:lineRule="auto"/>
        <w:rPr>
          <w:sz w:val="20"/>
          <w:szCs w:val="20"/>
          <w:color w:val="auto"/>
        </w:rPr>
      </w:pPr>
      <w:r>
        <w:rPr>
          <w:rFonts w:ascii="Times New Roman" w:cs="Times New Roman" w:eastAsia="Times New Roman" w:hAnsi="Times New Roman"/>
          <w:sz w:val="16"/>
          <w:szCs w:val="16"/>
          <w:color w:val="auto"/>
        </w:rPr>
        <w:t>In the EU, IFR/IFD took effect from June 26, 2021, and represents a complete overhaul of “prudential” regulation in</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the EU and substantially increases regulatory capital requirements for certain investment firms and imposes more onerous remuneration rules, and revised and extended internal governance, disclosure, reporting, liquidity, and group “prudential” consolidation requirements, among other things. IFR/IFD affects AlpInvest, one of our subsidiaries, because it is an AIFM in the Netherlands with top-up permissions to provide investment services. In particular, as AlpInvest’s AUM attributable to separate accounts regulated by MiFID II increases so will AlpInvest’s regulatory capital and liquidity adequacy requirements, which may increase the costs of doing business and may impede intra- group capital and cash flows. It is possible that in the future, CIM Europe also may have to comply with IFR/IFD in relation to its MiFID top- up permissions; however, Luxembourg does not currently apply the regime to AIFMs with MiFID top -ups.</w:t>
      </w:r>
    </w:p>
    <w:p>
      <w:pPr>
        <w:spacing w:after="0" w:line="3"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The UK has introduced an important and substantial regime, the “Consumer Duty,” designed to improve outcomes for retail investors, which fully began to apply in July 2024 for both funds that still are open to investment and those that have already held their final close. Although Carlyle entities do not generally deal with consumers in the ordinary sense, the regime may apply to certain of our funds unless Carlyle can rely on an important exemption from the regime for products with certain minimum denomination. This exemption has been called into question by the FCA previously but continues to be available to asset managers of investment funds. If removed, this could make the impact of the Consumer Duty more significant and widespread and have important implications for Carlyle entities if they are unable to rely on another exemption. We intend to continue to work closely with external counsel and advisors to monitor any developments.</w:t>
      </w:r>
    </w:p>
    <w:p>
      <w:pPr>
        <w:ind w:left="560"/>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Other Jurisdictions</w:t>
      </w:r>
    </w:p>
    <w:p>
      <w:pPr>
        <w:spacing w:after="0" w:line="1"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Certain of our subsidiaries are subject to registration and compliance with laws and regulations of non-U.S. governments, their respective agencies, and/or various self-regulatory organizations or exchanges relating to, among other things, investment advisory services and the marketing of investment products, and any failure to comply with these regulations could expose us to liability and/or damage our reputation. Certain of our private funds also are required to comply with the trading and disclosure rules and regulations of non-U.S. securities regulators.</w:t>
      </w:r>
    </w:p>
    <w:p>
      <w:pPr>
        <w:spacing w:after="0" w:line="2" w:lineRule="exact"/>
        <w:rPr>
          <w:sz w:val="20"/>
          <w:szCs w:val="20"/>
          <w:color w:val="auto"/>
        </w:rPr>
      </w:pPr>
    </w:p>
    <w:p>
      <w:pPr>
        <w:ind w:right="1740" w:firstLine="576"/>
        <w:spacing w:after="0" w:line="203" w:lineRule="auto"/>
        <w:rPr>
          <w:sz w:val="20"/>
          <w:szCs w:val="20"/>
          <w:color w:val="auto"/>
        </w:rPr>
      </w:pPr>
      <w:r>
        <w:rPr>
          <w:rFonts w:ascii="Times New Roman" w:cs="Times New Roman" w:eastAsia="Times New Roman" w:hAnsi="Times New Roman"/>
          <w:sz w:val="16"/>
          <w:szCs w:val="16"/>
          <w:color w:val="auto"/>
        </w:rPr>
        <w:t>The Organization for Economic Cooperation and Development (the “OECD”) has developed Common Reporting Standard (“CRS”) rules for the automatic exchange of FATCA-like financial account information amongst OECD member states. Like FATCA, CRS imposes certain due diligence, documentation, and reporting requirements on various Carlyle entities. While CRS does not contain a potential withholding requirement, noncompliance could subject Carlyle to certain reputational harm and potential financial penalties.</w:t>
      </w:r>
    </w:p>
    <w:p>
      <w:pPr>
        <w:spacing w:after="0" w:line="2"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Carlyle Hong Kong Equity Management Limited is licensed by the Hong Kong Securities and Futures Commission to carry on Type 1 (dealing in securities) regulated activity in respect of professional investors.</w:t>
      </w:r>
    </w:p>
    <w:p>
      <w:pPr>
        <w:spacing w:after="0" w:line="1" w:lineRule="exact"/>
        <w:rPr>
          <w:sz w:val="20"/>
          <w:szCs w:val="20"/>
          <w:color w:val="auto"/>
        </w:rPr>
      </w:pPr>
    </w:p>
    <w:p>
      <w:pPr>
        <w:ind w:right="2060"/>
        <w:spacing w:after="0" w:line="203" w:lineRule="auto"/>
        <w:rPr>
          <w:sz w:val="20"/>
          <w:szCs w:val="20"/>
          <w:color w:val="auto"/>
        </w:rPr>
      </w:pPr>
      <w:r>
        <w:rPr>
          <w:rFonts w:ascii="Times New Roman" w:cs="Times New Roman" w:eastAsia="Times New Roman" w:hAnsi="Times New Roman"/>
          <w:sz w:val="16"/>
          <w:szCs w:val="16"/>
          <w:color w:val="auto"/>
        </w:rPr>
        <w:t>Carlyle Asia Limited is licensed by the Hong Kong Securities and Futures Commission to carry on Type 1 (dealing in securities) and Type 4 (advising on securities) regulated activities in respect of professional investors.</w:t>
      </w:r>
    </w:p>
    <w:p>
      <w:pPr>
        <w:spacing w:after="0" w:line="1" w:lineRule="exact"/>
        <w:rPr>
          <w:sz w:val="20"/>
          <w:szCs w:val="20"/>
          <w:color w:val="auto"/>
        </w:rPr>
      </w:pPr>
    </w:p>
    <w:p>
      <w:pPr>
        <w:ind w:right="2380"/>
        <w:spacing w:after="0" w:line="222" w:lineRule="auto"/>
        <w:rPr>
          <w:sz w:val="20"/>
          <w:szCs w:val="20"/>
          <w:color w:val="auto"/>
        </w:rPr>
      </w:pPr>
      <w:r>
        <w:rPr>
          <w:rFonts w:ascii="Times New Roman" w:cs="Times New Roman" w:eastAsia="Times New Roman" w:hAnsi="Times New Roman"/>
          <w:sz w:val="16"/>
          <w:szCs w:val="16"/>
          <w:color w:val="auto"/>
        </w:rPr>
        <w:t>AlpInvest Partners Limited is licensed by the Hong Kong Securities and Futures Commission to carry on Type 4 (advising on securities) regulated activity in respect of professional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firstLine="576"/>
        <w:spacing w:after="0" w:line="232" w:lineRule="auto"/>
        <w:rPr>
          <w:sz w:val="20"/>
          <w:szCs w:val="20"/>
          <w:color w:val="auto"/>
        </w:rPr>
      </w:pPr>
      <w:r>
        <w:rPr>
          <w:rFonts w:ascii="Times New Roman" w:cs="Times New Roman" w:eastAsia="Times New Roman" w:hAnsi="Times New Roman"/>
          <w:sz w:val="14"/>
          <w:szCs w:val="14"/>
          <w:color w:val="auto"/>
        </w:rPr>
        <w:t>Carlyle Mauritius Investment Advisor Limited and Carlyle Mauritius CIS Investment Management Limited are licensed providers of investment management services in the Republic of Mauritius and are subject to applicable Mauritian securities laws and the oversight of the Financial Services Commission. Carlyle Mauritius Investment Advisor Limited holds a “Foreign Institutional Investor” license from the Securities and Exchange Board of India, which entitles this entity to engage in limited activities in India. Carlyle Mauritius CIS Investment Management Limited holds a “Qualified Foreign Institutional Investor” license from the China Securities Regulatory Commission, which entitles this entity to invest in certain permitted financial instruments (including equity) and derivatives traded or listed on exchanges in the People’s Republic of China.</w:t>
      </w:r>
    </w:p>
    <w:p>
      <w:pPr>
        <w:spacing w:after="0" w:line="3" w:lineRule="exact"/>
        <w:rPr>
          <w:sz w:val="20"/>
          <w:szCs w:val="20"/>
          <w:color w:val="auto"/>
        </w:rPr>
      </w:pPr>
    </w:p>
    <w:p>
      <w:pPr>
        <w:ind w:right="1620" w:firstLine="576"/>
        <w:spacing w:after="0" w:line="203" w:lineRule="auto"/>
        <w:rPr>
          <w:sz w:val="20"/>
          <w:szCs w:val="20"/>
          <w:color w:val="auto"/>
        </w:rPr>
      </w:pPr>
      <w:r>
        <w:rPr>
          <w:rFonts w:ascii="Times New Roman" w:cs="Times New Roman" w:eastAsia="Times New Roman" w:hAnsi="Times New Roman"/>
          <w:sz w:val="16"/>
          <w:szCs w:val="16"/>
          <w:color w:val="auto"/>
        </w:rPr>
        <w:t>Carlyle Australia Equity Management Pty Limited is licensed by the Australian Securities and Investments Commission as an Australian financial services licensee and is authorized to carry on a financial services business to provide advice on and deal in financial products (managed investment schemes and securities) for wholesale clients.</w:t>
      </w:r>
    </w:p>
    <w:p>
      <w:pPr>
        <w:spacing w:after="0" w:line="1" w:lineRule="exact"/>
        <w:rPr>
          <w:sz w:val="20"/>
          <w:szCs w:val="20"/>
          <w:color w:val="auto"/>
        </w:rPr>
      </w:pPr>
    </w:p>
    <w:p>
      <w:pPr>
        <w:ind w:right="1480" w:firstLine="576"/>
        <w:spacing w:after="0" w:line="203" w:lineRule="auto"/>
        <w:rPr>
          <w:sz w:val="20"/>
          <w:szCs w:val="20"/>
          <w:color w:val="auto"/>
        </w:rPr>
      </w:pPr>
      <w:r>
        <w:rPr>
          <w:rFonts w:ascii="Times New Roman" w:cs="Times New Roman" w:eastAsia="Times New Roman" w:hAnsi="Times New Roman"/>
          <w:sz w:val="16"/>
          <w:szCs w:val="16"/>
          <w:color w:val="auto"/>
        </w:rPr>
        <w:t>Carlyle Japan Equity Management LLC (“CJEM”) is registered with the Financial Services Agency of Japan to carry out Type II Financial Instruments Business as a Financial Instruments Business Operator and it is also a member of the Type II Financial Instruments Firms Association, a self- regulatory organization in Japan. Pursuant to this registration, CJEM is permitted to perform marketing activities to and private placements for specified investors with respect to interests in a limited partnership.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Carlyle Japan, LLC (“CJLLC”) is registered with the Financial Services Agency of Japan to carry out Investment</w:t>
      </w:r>
    </w:p>
    <w:p>
      <w:pPr>
        <w:sectPr>
          <w:pgSz w:w="11900" w:h="16840" w:orient="portrait"/>
          <w:cols w:equalWidth="0" w:num="1">
            <w:col w:w="9400"/>
          </w:cols>
          <w:pgMar w:left="1060" w:top="547" w:right="1440" w:bottom="68" w:gutter="0" w:footer="0" w:header="0"/>
        </w:sectPr>
      </w:pPr>
    </w:p>
    <w:bookmarkStart w:id="23" w:name="page24"/>
    <w:bookmarkEnd w:id="23"/>
    <w:p>
      <w:pPr>
        <w:ind w:right="1740"/>
        <w:spacing w:after="0" w:line="239" w:lineRule="auto"/>
        <w:rPr>
          <w:sz w:val="20"/>
          <w:szCs w:val="20"/>
          <w:color w:val="auto"/>
        </w:rPr>
      </w:pPr>
      <w:r>
        <w:rPr>
          <w:rFonts w:ascii="Times New Roman" w:cs="Times New Roman" w:eastAsia="Times New Roman" w:hAnsi="Times New Roman"/>
          <w:sz w:val="14"/>
          <w:szCs w:val="14"/>
          <w:color w:val="auto"/>
        </w:rPr>
        <w:t>Advisory and Agency Business as a Financial Instruments Business Operator and it is also a member of Japan Investment Advisers Association, a self-regulatory organization in Japan. Pursuant to this registration, CJLLC is permitted to carry out investment advisory and agency business as defined by the Financial Instruments and Exchange Act of Japan. Carlyle MENA Investment Advisors Limited, a company limited by shares in the Dubai Financial Centre, holds a</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Category 3C license issued by the Dubai Financial Services Authority and is authorized to arrange credit or deal in investments, advise on financial products or credit, and manage collective investment funds.</w:t>
      </w:r>
    </w:p>
    <w:p>
      <w:pPr>
        <w:spacing w:after="0" w:line="204" w:lineRule="auto"/>
        <w:rPr>
          <w:sz w:val="20"/>
          <w:szCs w:val="20"/>
          <w:color w:val="auto"/>
        </w:rPr>
      </w:pPr>
      <w:r>
        <w:rPr>
          <w:rFonts w:ascii="Times New Roman" w:cs="Times New Roman" w:eastAsia="Times New Roman" w:hAnsi="Times New Roman"/>
          <w:sz w:val="16"/>
          <w:szCs w:val="16"/>
          <w:color w:val="auto"/>
        </w:rPr>
        <w:t>Carlyle MENA Advisors Limited, a company limited by shares in the Abu Dhabi Global Market, is authorized by the</w:t>
      </w:r>
    </w:p>
    <w:p>
      <w:pPr>
        <w:ind w:right="1460"/>
        <w:spacing w:after="0" w:line="203" w:lineRule="auto"/>
        <w:rPr>
          <w:sz w:val="20"/>
          <w:szCs w:val="20"/>
          <w:color w:val="auto"/>
        </w:rPr>
      </w:pPr>
      <w:r>
        <w:rPr>
          <w:rFonts w:ascii="Times New Roman" w:cs="Times New Roman" w:eastAsia="Times New Roman" w:hAnsi="Times New Roman"/>
          <w:sz w:val="16"/>
          <w:szCs w:val="16"/>
          <w:color w:val="auto"/>
        </w:rPr>
        <w:t>Abu Dhabi Financial Services Regulatory Authority and is authorized to arrange deals in investments, advise on investments or credit, and manage collective investment funds.</w:t>
      </w:r>
    </w:p>
    <w:p>
      <w:pPr>
        <w:spacing w:after="0" w:line="1"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Carlyle Singapore Investment Advisors Pte Limited holds a capital markets license and an exempt financial adviser status with the Monetary Authority of Singapore to carry on fund management and dealing in regulated capital market products activities in respect of institutional and accredited investors.</w:t>
      </w:r>
    </w:p>
    <w:p>
      <w:pPr>
        <w:spacing w:after="0" w:line="1" w:lineRule="exact"/>
        <w:rPr>
          <w:sz w:val="20"/>
          <w:szCs w:val="20"/>
          <w:color w:val="auto"/>
        </w:rPr>
      </w:pPr>
    </w:p>
    <w:p>
      <w:pPr>
        <w:ind w:right="2140"/>
        <w:spacing w:after="0" w:line="203" w:lineRule="auto"/>
        <w:rPr>
          <w:sz w:val="20"/>
          <w:szCs w:val="20"/>
          <w:color w:val="auto"/>
        </w:rPr>
      </w:pPr>
      <w:r>
        <w:rPr>
          <w:rFonts w:ascii="Times New Roman" w:cs="Times New Roman" w:eastAsia="Times New Roman" w:hAnsi="Times New Roman"/>
          <w:sz w:val="16"/>
          <w:szCs w:val="16"/>
          <w:color w:val="auto"/>
        </w:rPr>
        <w:t>AlpInvest Partners Pte Limited holds a capital markets license with the Monetary Authority of Singapore to carry on fund management activities in respect of institutional and accredited investors.</w:t>
      </w:r>
    </w:p>
    <w:p>
      <w:pPr>
        <w:spacing w:after="0" w:line="1" w:lineRule="exact"/>
        <w:rPr>
          <w:sz w:val="20"/>
          <w:szCs w:val="20"/>
          <w:color w:val="auto"/>
        </w:rPr>
      </w:pPr>
    </w:p>
    <w:p>
      <w:pPr>
        <w:ind w:right="1740" w:firstLine="576"/>
        <w:spacing w:after="0" w:line="203" w:lineRule="auto"/>
        <w:rPr>
          <w:sz w:val="20"/>
          <w:szCs w:val="20"/>
          <w:color w:val="auto"/>
        </w:rPr>
      </w:pPr>
      <w:r>
        <w:rPr>
          <w:rFonts w:ascii="Times New Roman" w:cs="Times New Roman" w:eastAsia="Times New Roman" w:hAnsi="Times New Roman"/>
          <w:sz w:val="16"/>
          <w:szCs w:val="16"/>
          <w:color w:val="auto"/>
        </w:rPr>
        <w:t>Carlyle Real Estate SGR S.p.A. holds an authorization from the Bank of Italy to carry on AIFMD-compliant fund management and real estate activities. It is registered at the Bank of Italy’s AIFM register under no.127.</w:t>
      </w:r>
    </w:p>
    <w:p>
      <w:pPr>
        <w:spacing w:after="0" w:line="1" w:lineRule="exact"/>
        <w:rPr>
          <w:sz w:val="20"/>
          <w:szCs w:val="20"/>
          <w:color w:val="auto"/>
        </w:rPr>
      </w:pPr>
    </w:p>
    <w:p>
      <w:pPr>
        <w:ind w:right="1720" w:firstLine="576"/>
        <w:spacing w:after="0" w:line="203" w:lineRule="auto"/>
        <w:rPr>
          <w:sz w:val="20"/>
          <w:szCs w:val="20"/>
          <w:color w:val="auto"/>
        </w:rPr>
      </w:pPr>
      <w:r>
        <w:rPr>
          <w:rFonts w:ascii="Times New Roman" w:cs="Times New Roman" w:eastAsia="Times New Roman" w:hAnsi="Times New Roman"/>
          <w:sz w:val="16"/>
          <w:szCs w:val="16"/>
          <w:color w:val="auto"/>
        </w:rPr>
        <w:t>Carlyle Investments (Canada) Corporation, formerly Diversified Global Asset Management Corporation, holds an exempt market dealer license with Ontario Securities Commission to facilitate certain Carlyle fund marketing activities in Canada.</w:t>
      </w:r>
    </w:p>
    <w:p>
      <w:pPr>
        <w:spacing w:after="0" w:line="1" w:lineRule="exact"/>
        <w:rPr>
          <w:sz w:val="20"/>
          <w:szCs w:val="20"/>
          <w:color w:val="auto"/>
        </w:rPr>
      </w:pPr>
    </w:p>
    <w:p>
      <w:pPr>
        <w:ind w:right="2140" w:firstLine="576"/>
        <w:spacing w:after="0" w:line="203" w:lineRule="auto"/>
        <w:rPr>
          <w:sz w:val="20"/>
          <w:szCs w:val="20"/>
          <w:color w:val="auto"/>
        </w:rPr>
      </w:pPr>
      <w:r>
        <w:rPr>
          <w:rFonts w:ascii="Times New Roman" w:cs="Times New Roman" w:eastAsia="Times New Roman" w:hAnsi="Times New Roman"/>
          <w:sz w:val="16"/>
          <w:szCs w:val="16"/>
          <w:color w:val="auto"/>
        </w:rPr>
        <w:t>AlpInvest is registered as a cross-border discretionary investment management company with the Financial Supervisory Service of South Korea.</w:t>
      </w:r>
    </w:p>
    <w:p>
      <w:pPr>
        <w:spacing w:after="0" w:line="1" w:lineRule="exact"/>
        <w:rPr>
          <w:sz w:val="20"/>
          <w:szCs w:val="20"/>
          <w:color w:val="auto"/>
        </w:rPr>
      </w:pPr>
    </w:p>
    <w:p>
      <w:pPr>
        <w:ind w:right="2180"/>
        <w:spacing w:after="0" w:line="203" w:lineRule="auto"/>
        <w:rPr>
          <w:sz w:val="20"/>
          <w:szCs w:val="20"/>
          <w:color w:val="auto"/>
        </w:rPr>
      </w:pPr>
      <w:r>
        <w:rPr>
          <w:rFonts w:ascii="Times New Roman" w:cs="Times New Roman" w:eastAsia="Times New Roman" w:hAnsi="Times New Roman"/>
          <w:sz w:val="16"/>
          <w:szCs w:val="16"/>
          <w:color w:val="auto"/>
        </w:rPr>
        <w:t>Carlyle CLO Management LLC is registered as a cross-border discretionary investment management company with the Financial Supervisory Service of South Korea.</w:t>
      </w:r>
    </w:p>
    <w:p>
      <w:pPr>
        <w:spacing w:after="0" w:line="1" w:lineRule="exact"/>
        <w:rPr>
          <w:sz w:val="20"/>
          <w:szCs w:val="20"/>
          <w:color w:val="auto"/>
        </w:rPr>
      </w:pPr>
    </w:p>
    <w:p>
      <w:pPr>
        <w:ind w:right="1440" w:firstLine="576"/>
        <w:spacing w:after="0" w:line="238" w:lineRule="auto"/>
        <w:rPr>
          <w:sz w:val="20"/>
          <w:szCs w:val="20"/>
          <w:color w:val="auto"/>
        </w:rPr>
      </w:pPr>
      <w:r>
        <w:rPr>
          <w:rFonts w:ascii="Times New Roman" w:cs="Times New Roman" w:eastAsia="Times New Roman" w:hAnsi="Times New Roman"/>
          <w:sz w:val="14"/>
          <w:szCs w:val="14"/>
          <w:color w:val="auto"/>
        </w:rPr>
        <w:t>An investment fund advised by us holds an indirect controlling interest in Fortitude Re and Fortitude International Reinsurance Ltd. (“Fortitude International Re”), Bermuda companies registered as a Class 4 and Class E insurers. Fortitude Re and Fortitude International Re are subject to regulation and supervision by the Bermuda Monetary Authority (the “BMA”) and compliance with all applicable Bermuda law and Bermuda insurance statutes and regulations, including but not limited to the Insurance Act of 1978 (Bermuda) and the rules and regulations promulgated thereunder (the “Bermuda Insurance Act”) . In addition, as a result of ownership of Fortitude by our investment fund, certain Carlyle affiliates that serve as general partner and investment advisor to the fund are subject to certain insurance laws and regulations in Bermuda as a “controller” of Fortitude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Re and Fortitude International Re under the Bermuda Insurance Act. These laws and regulations include certain notice requirements for any person that has become, or as a result of a disposition ceased to be, a shareholder controller of a registered insurer, and failure to comply with such requirements is an offense punishable by law.</w:t>
      </w:r>
    </w:p>
    <w:p>
      <w:pPr>
        <w:spacing w:after="0" w:line="1" w:lineRule="exact"/>
        <w:rPr>
          <w:sz w:val="20"/>
          <w:szCs w:val="20"/>
          <w:color w:val="auto"/>
        </w:rPr>
      </w:pPr>
    </w:p>
    <w:p>
      <w:pPr>
        <w:ind w:right="1480" w:firstLine="576"/>
        <w:spacing w:after="0" w:line="232" w:lineRule="auto"/>
        <w:rPr>
          <w:sz w:val="20"/>
          <w:szCs w:val="20"/>
          <w:color w:val="auto"/>
        </w:rPr>
      </w:pPr>
      <w:r>
        <w:rPr>
          <w:rFonts w:ascii="Times New Roman" w:cs="Times New Roman" w:eastAsia="Times New Roman" w:hAnsi="Times New Roman"/>
          <w:sz w:val="14"/>
          <w:szCs w:val="14"/>
          <w:color w:val="auto"/>
        </w:rPr>
        <w:t>In addition, we and/or our affiliates and subsidiaries may become subject to additional regulatory demands in the future to the extent we expand our investment advisory business in existing and new jurisdictions. There are also a number of pending or recently enacted legislative and regulatory initiatives in the United States and around the world that could significantly impact our business. See Item 1A “Risk Factors—Risks Related to Regulation and Litigation—Extensive regulation of our business affects our activities and creates the potential for significant liabilities and penalties, and could result in additional burdens on our business,” “Financial regulations and changes thereto in the United States could adversely affect our business and the possibility of increased regulatory focus could result in additional burdens and expenses on our business,” and “Regulatory initiatives in jurisdictions outside the United States could adversely affect our business.”</w:t>
      </w:r>
    </w:p>
    <w:p>
      <w:pPr>
        <w:spacing w:after="0" w:line="3"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Our businesses have operated for many years within a framework that requires our being able to monitor and comply with a broad range of legal and regulatory developments that affect our activities, and we take our obligation to comply with all such laws, regulations, and internal policies seriously. Our reputation depends on the integrity and business judgment of our employees, and we strive to maintain a culture of compliance throughout the firm. We have developed, and adhere to, compliance policies and procedures such as codes of conduct, compliance systems, education, and communication of compliance matters. These policies focus on matters such as insider trading, anti-corruption, document retention, conflicts of interest, anti-money laundering, and other matters. Our legal and compliance team monitors our compliance with all of the legal and regulatory requirements to which we are subject and manages our compliance policies and procedures. Our legal and compliance team also monitors the information barriers that we maintain to restrict the flow of confidential information, including material non-public information, across our business. Our enterprise risk management function analyzes our operations and investment strategies to identify key risks facing the firm and works closely with the legal and compliance team to address them. The firm also has an independent and objective Internal Audit department that employs a risk-based audit approach that focuses on Sarbanes -Oxley compliance, enterprise risk management functions, and other areas of perceived risk and aims to give management and our Board of Directors reasonable assurance that our risks are well-managed, and controls are appropriate and effective.</w:t>
      </w:r>
    </w:p>
    <w:p>
      <w:pPr>
        <w:spacing w:after="0" w:line="211" w:lineRule="auto"/>
        <w:rPr>
          <w:sz w:val="20"/>
          <w:szCs w:val="20"/>
          <w:color w:val="auto"/>
        </w:rPr>
      </w:pPr>
      <w:r>
        <w:rPr>
          <w:rFonts w:ascii="Times New Roman" w:cs="Times New Roman" w:eastAsia="Times New Roman" w:hAnsi="Times New Roman"/>
          <w:sz w:val="16"/>
          <w:szCs w:val="16"/>
          <w:b w:val="1"/>
          <w:bCs w:val="1"/>
          <w:color w:val="auto"/>
        </w:rPr>
        <w:t>Website, Social Media Disclosure, and Availability of SEC Filings</w:t>
      </w:r>
    </w:p>
    <w:p>
      <w:pPr>
        <w:spacing w:after="0" w:line="1"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color w:val="auto"/>
        </w:rPr>
        <w:t>Our website address is www.carlyle.com. We make available free of charge on our website or provide a link on our website to our Annual Report on Form 10 -K, Quarterly Reports on Form 10 -Q, and Current Reports on Form 8 - K, and any amendments to those reports filed or furnished pursuant to Section 13(a) or 15(d) of the Exchange Act, as soon as reasonably practicable after those reports are electronically filed with, or furnished to, the SEC. To access these filings, go to the “SEC Documents” portion of our “Shareholders” page on our website. You also may access the reports and other documents we file with the SEC at a website maintained by the SEC at www.sec.gov.</w:t>
      </w:r>
    </w:p>
    <w:p>
      <w:pPr>
        <w:spacing w:after="0" w:line="3" w:lineRule="exact"/>
        <w:rPr>
          <w:sz w:val="20"/>
          <w:szCs w:val="20"/>
          <w:color w:val="auto"/>
        </w:rPr>
      </w:pPr>
    </w:p>
    <w:p>
      <w:pPr>
        <w:ind w:right="2040"/>
        <w:spacing w:after="0" w:line="268" w:lineRule="auto"/>
        <w:rPr>
          <w:sz w:val="20"/>
          <w:szCs w:val="20"/>
          <w:color w:val="auto"/>
        </w:rPr>
      </w:pPr>
      <w:r>
        <w:rPr>
          <w:rFonts w:ascii="Times New Roman" w:cs="Times New Roman" w:eastAsia="Times New Roman" w:hAnsi="Times New Roman"/>
          <w:sz w:val="14"/>
          <w:szCs w:val="14"/>
          <w:color w:val="auto"/>
        </w:rPr>
        <w:t>We use our website (www.carlyle.com), our corporate Facebook page (www.facebook.com/onecarlyle), our corporate X account (@OneCarlyle or www.twitter.com/onecarlyle), our corporate Instagram account (@onecarlyle or</w:t>
      </w:r>
    </w:p>
    <w:p>
      <w:pPr>
        <w:sectPr>
          <w:pgSz w:w="11900" w:h="16840" w:orient="portrait"/>
          <w:cols w:equalWidth="0" w:num="1">
            <w:col w:w="9400"/>
          </w:cols>
          <w:pgMar w:left="1060" w:top="557" w:right="1440" w:bottom="0" w:gutter="0" w:footer="0" w:header="0"/>
        </w:sectPr>
      </w:pPr>
    </w:p>
    <w:bookmarkStart w:id="24" w:name="page25"/>
    <w:bookmarkEnd w:id="24"/>
    <w:p>
      <w:pPr>
        <w:ind w:right="1420"/>
        <w:spacing w:after="0"/>
        <w:rPr>
          <w:sz w:val="20"/>
          <w:szCs w:val="20"/>
          <w:color w:val="auto"/>
        </w:rPr>
      </w:pPr>
      <w:r>
        <w:rPr>
          <w:rFonts w:ascii="Times New Roman" w:cs="Times New Roman" w:eastAsia="Times New Roman" w:hAnsi="Times New Roman"/>
          <w:sz w:val="14"/>
          <w:szCs w:val="14"/>
          <w:color w:val="auto"/>
        </w:rPr>
        <w:t>www.instagram.com/onecarlyle), our corporate LinkedIn account (www.linkedin.com/company/the-carlyle-group), our corporate YouTube channel (www.youtube.com/user/onecarlyle), and our corporate WeChat account (ID: gh_3e34f090ec20) as channels of distribution of material company information. For example, financial and other material information regarding our company is routinely posted on and accessible at www.carlyle.com. Accordingly, investors should monitor these channels, in addition to following our press releases, SEC filings, and public conference calls and webcasts. In addition, you may automatically receive email alerts and other information about Carlyle when you enroll your email address by visiting the “Email Alerts” section at http://ir.carlyle.com/email-alerts. The contents of our website and social media channels are not, however, a part of this Annual Report on Form 10-K and are not incorporated by reference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Carlyle Group Inc. was formed in Delaware as a partnership on July 18, 2011, and converted to a corporation on</w:t>
      </w:r>
    </w:p>
    <w:p>
      <w:pPr>
        <w:spacing w:after="0"/>
        <w:rPr>
          <w:sz w:val="20"/>
          <w:szCs w:val="20"/>
          <w:color w:val="auto"/>
        </w:rPr>
      </w:pPr>
      <w:r>
        <w:rPr>
          <w:rFonts w:ascii="Times New Roman" w:cs="Times New Roman" w:eastAsia="Times New Roman" w:hAnsi="Times New Roman"/>
          <w:sz w:val="14"/>
          <w:szCs w:val="14"/>
          <w:color w:val="auto"/>
        </w:rPr>
        <w:t>January 1, 2020. Our principal executive offices are located at 1001 Pennsylvania Avenue, NW, Washington, D.C. 20004-2505.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33" w:lineRule="auto"/>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Risks Related to Our Company</w:t>
      </w:r>
    </w:p>
    <w:p>
      <w:pPr>
        <w:ind w:right="15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2"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Our business and the businesses of the companies in which we invest are materially affected by conditions in the global financial markets, and economic conditions or other events throughout the world that are outside of our control, including, but not limited to, changes in interest rates, availability and cost of credit, inflation rates, availability and cost of energy, economic uncertainty, slowdown in global growth, changes in laws (including laws relating to taxation and regulations on the financial industry), disease, pandemics or other severe public health events, trade barriers, tariffs, commodity prices, currency exchange rates and controls, national and international political circumstances (including government contract terminations or funding pauses, government agency closures, government shutdowns, wars, terrorist acts, or security operations), geopolitical tensions and instability, social unrest, supply chain pressures, and the effects of climate change. Over the last several years, markets have been affected by the COVID-19 pandemic, significant increases in U.S. interest rates, inflationary pressures, sharp currency moves, heightened geopolitical tensions (including those between the United States and China, Taiwan and China, Israel and Iran and the Axis of Resistance, and between Ukraine and Russia), the imposition of export controls, tariffs, and trade barriers, the imposition of economic and political sanctions (upon specific individuals or companies and country, industry, and sector-wide restrictions), ongoing trade negotiations with major U.S. trading partners, and changes in U.S. tax regulations. Moreover, our investment funds focused on Asia, and portfolio companies within non-Asia investment funds with significant operations or connectivity and reliance on Asia companies, and listed securities or debt instruments of companies or industries, could be impacted by any disruptions to the global supply chain that may result from escalating tensions, disputes, or potential conflicts in the region surrounding the Taiwan Strait. The resulting actions taken, the response of the international community, and other factors affecting trade with China or political or economic conditions in Taiwan could disrupt the manufacture of several business critical products or hardware components, including semiconductors, which may impact sectors and industries regardless of their business proximity to the Taiwan Strait.</w:t>
      </w:r>
    </w:p>
    <w:p>
      <w:pPr>
        <w:spacing w:after="0" w:line="223" w:lineRule="exact"/>
        <w:rPr>
          <w:sz w:val="20"/>
          <w:szCs w:val="20"/>
          <w:color w:val="auto"/>
        </w:rPr>
      </w:pPr>
    </w:p>
    <w:p>
      <w:pPr>
        <w:ind w:right="1400" w:firstLine="576"/>
        <w:spacing w:after="0" w:line="232" w:lineRule="auto"/>
        <w:rPr>
          <w:sz w:val="20"/>
          <w:szCs w:val="20"/>
          <w:color w:val="auto"/>
        </w:rPr>
      </w:pPr>
      <w:r>
        <w:rPr>
          <w:rFonts w:ascii="Times New Roman" w:cs="Times New Roman" w:eastAsia="Times New Roman" w:hAnsi="Times New Roman"/>
          <w:sz w:val="14"/>
          <w:szCs w:val="14"/>
          <w:color w:val="auto"/>
        </w:rPr>
        <w:t>Over the twelve months ending on December 31, 2024, the S&amp;P 500 rose by 23.0%, while the MSCI All Country World Index (MSCI) increased by 15.0%. This robust full- year performance masks interim volatility. Notably, a shift in Japanese monetary policy drove a sharp appreciation of the yen. This in turn disrupted long -standing carry trades whose funding leg rested on Japan’s low rates. The surge in the currency value triggered a selloff in Japanese equity markets. Liquidity pressures further exacerbated the selloff. For example, on August 5, 2024, the Nikkei 225 fell 12.4%, while the TOPIX fell</w:t>
      </w:r>
    </w:p>
    <w:p>
      <w:pPr>
        <w:spacing w:after="0" w:line="2"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12.2%, their largest respective single day declines since 1987. Global equity markets were impacted as well, albeit to a lesser extent. These series of events highlighted how seemingly innocuous and not wholly unexpected changes in policies or other market conditions may quickly cascade into more significant movements. Factors that impact global markets, including inflation, interest rates, trade barriers such as tariffs, regulatory, and political environments, can be unpredictable and investor sentiment could change quickly in the future, while market volatility could accelerate in the face of negative macro, monetary, or geopolitical developments. If global markets become unstable, it is possible sellers of assets may readjust their valuations and attractive investment opportunities may become available. On the other hand, the valuations of certain assets we planned to sell in the near future could be negatively impacted, as well as the valuations of our portfolio companies and, as a result, our accrued performance revenues.</w:t>
      </w:r>
    </w:p>
    <w:p>
      <w:pPr>
        <w:spacing w:after="0" w:line="4" w:lineRule="exact"/>
        <w:rPr>
          <w:sz w:val="20"/>
          <w:szCs w:val="20"/>
          <w:color w:val="auto"/>
        </w:rPr>
      </w:pPr>
    </w:p>
    <w:p>
      <w:pPr>
        <w:ind w:right="1400" w:firstLine="576"/>
        <w:spacing w:after="0"/>
        <w:rPr>
          <w:sz w:val="20"/>
          <w:szCs w:val="20"/>
          <w:color w:val="auto"/>
        </w:rPr>
      </w:pPr>
      <w:r>
        <w:rPr>
          <w:rFonts w:ascii="Times New Roman" w:cs="Times New Roman" w:eastAsia="Times New Roman" w:hAnsi="Times New Roman"/>
          <w:sz w:val="14"/>
          <w:szCs w:val="14"/>
          <w:color w:val="auto"/>
        </w:rPr>
        <w:t>Market volatility also could adversely affect our fundraising efforts in several ways. Investors often allocate to alternative asset classes (including private equity) based on a target percentage of their overall portfolio. If the value of an investor’s portfolio decreases as a whole, the amount available to allocate to alternative assets (including private equity) could decline. In addition, investors often evaluate the amount of distributions they have received from existing funds when considering commitments to new funds. Through the first half of 2024, liquidity shortfalls across all private market asset classes produced persistent and meaningful negative cash flows—more capital calls than distributions—for 14 consecutive quarters, a phenomenon not seen on such a scale since the aftermath of the Global Financial Crisis. Cumulatively, across private market asset classes, contributions have exceeded distributions by nearly $470 billion since 2020. This has restricted investor liquidity, which in turn has reduced commitments to private capital assets. Investors also may weigh the likely impact of geopolitical tensions, cross- border regulations, and other factors such as general market volatility and/or a reduction in distributions to investors when considering their allocations to new investment funds. A decrease in the amount an investor commits to our funds could have an impact on the ultimate size of our funds and amount of management fees we generate.</w:t>
      </w:r>
    </w:p>
    <w:p>
      <w:pPr>
        <w:sectPr>
          <w:pgSz w:w="11900" w:h="16840" w:orient="portrait"/>
          <w:cols w:equalWidth="0" w:num="1">
            <w:col w:w="9400"/>
          </w:cols>
          <w:pgMar w:left="1060" w:top="557" w:right="1440" w:bottom="39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The availability and cost of financing for significant acquisition and disposition transactions could be impacted if</w:t>
      </w:r>
    </w:p>
    <w:p>
      <w:pPr>
        <w:ind w:right="1400"/>
        <w:spacing w:after="0" w:line="203" w:lineRule="auto"/>
        <w:rPr>
          <w:sz w:val="20"/>
          <w:szCs w:val="20"/>
          <w:color w:val="auto"/>
        </w:rPr>
      </w:pPr>
      <w:r>
        <w:rPr>
          <w:rFonts w:ascii="Times New Roman" w:cs="Times New Roman" w:eastAsia="Times New Roman" w:hAnsi="Times New Roman"/>
          <w:sz w:val="16"/>
          <w:szCs w:val="16"/>
          <w:color w:val="auto"/>
        </w:rPr>
        <w:t>equity and credit markets experience heightened volatility. While base rates are elevated relative to recent historical norms, high yield credit spreads currently are very favorable and remain near historic lows; at 275 basis points, B-rated spreads sit just 40 basis points above the trough hit in the second quarter of 2007. Obtaining financings in both the high yield and leveraged loan markets currently is relatively easy. If credit markets weaken in the future, it is possible that we and our investment funds may not be able to consummate significant acquisition and disposition transactions on acceptable terms, or at all, if we or our funds are unable to finance these types of transactions on attractive terms or if the counterparty to the transaction is unable to secure suitable financing.</w:t>
      </w:r>
    </w:p>
    <w:p>
      <w:pPr>
        <w:spacing w:after="0" w:line="207" w:lineRule="auto"/>
        <w:rPr>
          <w:sz w:val="20"/>
          <w:szCs w:val="20"/>
          <w:color w:val="auto"/>
        </w:rPr>
      </w:pPr>
      <w:r>
        <w:rPr>
          <w:rFonts w:ascii="Times New Roman" w:cs="Times New Roman" w:eastAsia="Times New Roman" w:hAnsi="Times New Roman"/>
          <w:sz w:val="16"/>
          <w:szCs w:val="16"/>
          <w:color w:val="auto"/>
        </w:rPr>
        <w:t>Global merger and acquisition volume totaled $3.5 trillion in 2024, a 12% increase from 2023. While total M&amp;A</w:t>
      </w:r>
    </w:p>
    <w:p>
      <w:pPr>
        <w:ind w:right="1440"/>
        <w:spacing w:after="0" w:line="203" w:lineRule="auto"/>
        <w:rPr>
          <w:sz w:val="20"/>
          <w:szCs w:val="20"/>
          <w:color w:val="auto"/>
        </w:rPr>
      </w:pPr>
      <w:r>
        <w:rPr>
          <w:rFonts w:ascii="Times New Roman" w:cs="Times New Roman" w:eastAsia="Times New Roman" w:hAnsi="Times New Roman"/>
          <w:sz w:val="16"/>
          <w:szCs w:val="16"/>
          <w:color w:val="auto"/>
        </w:rPr>
        <w:t>activity appears to be normalizing, a retrenchment could cause a slowdown in our investment pace, which in turn could have an adverse impact on our ability to generate future performance revenues and to fully invest the available capital in our funds and reduce opportunities to exit and realize value from our fund investments. A slowdown in the deployment of our available capital could impact the management fees we earn on those carry funds and managed accounts that generate fees based on invested (and not committed) capital. A slowdown in the deployment of our available capital also could adversely affect our ability to raise and the timing of raising successor investment funds. In 2024, we invested nearly $22 billion through our carry funds.</w:t>
      </w:r>
    </w:p>
    <w:p>
      <w:pPr>
        <w:spacing w:after="0" w:line="207" w:lineRule="auto"/>
        <w:rPr>
          <w:sz w:val="20"/>
          <w:szCs w:val="20"/>
          <w:color w:val="auto"/>
        </w:rPr>
      </w:pPr>
      <w:r>
        <w:rPr>
          <w:rFonts w:ascii="Times New Roman" w:cs="Times New Roman" w:eastAsia="Times New Roman" w:hAnsi="Times New Roman"/>
          <w:sz w:val="16"/>
          <w:szCs w:val="16"/>
          <w:color w:val="auto"/>
        </w:rPr>
        <w:t>The current U.S. political environment and the resulting uncertainties regarding actual and potential shifts in U.S.</w:t>
      </w:r>
    </w:p>
    <w:p>
      <w:pPr>
        <w:ind w:right="1420"/>
        <w:spacing w:after="0"/>
        <w:rPr>
          <w:sz w:val="20"/>
          <w:szCs w:val="20"/>
          <w:color w:val="auto"/>
        </w:rPr>
      </w:pPr>
      <w:r>
        <w:rPr>
          <w:rFonts w:ascii="Times New Roman" w:cs="Times New Roman" w:eastAsia="Times New Roman" w:hAnsi="Times New Roman"/>
          <w:sz w:val="14"/>
          <w:szCs w:val="14"/>
          <w:color w:val="auto"/>
        </w:rPr>
        <w:t>foreign investment, trade, taxation, economic, environmental, and other policies under the new administration, as well as the impact of geopolitical tension, such as a deterioration in the bilateral relationship between the United States and China or a further escalation in conflicts in the Middle East and Eastern Europe, could lead to disruption, instability, and volatility in the global markets, which also may have an impact on our exit opportunities across negatively impacted sectors or geographies. The new administration has decided to impose and may decide to impose additional steep tariffs on goods, materials, inputs, and intermediate parts with origins across numerous geographies. Such changes could materially increase input costs for our funds’ portfolio companies and depress margins. The new administration also may seek to reduce subsidies and roll back favorable terms for investments in renewable energy projects, which could adversely impact the performance of those strategies in our portfolio. The consequences of previously enacted legislation also could impact our business operations in the future. For example, bipartisan legislation enacted in 2018 has significantly increased and may continue to significantly increase the number and types of investment transactions that are subject to the jurisdiction of the Committee on Foreign Investment in the United States (“CFIUS”) . Under the final regulations implementing the reform legislation, which became effective in 2020, CFIUS has the authority to review, and potentially recommend that the President unwind, block, or impose conditions on certain non -controlling foreign investments in U.S. businesses that deal in certain ways with “critical technology,” “critical infrastructure,” and/or “sensitive personal data” of U.S. citizens (as those terms are defined in the regulations). In addition, in September 2022, then- President Biden signed an Executive Order directing CFIUS to sharpen its scrutiny of foreign investment that could impact cybersecurity, quantum computing, biotechnology, and sensitive data. CFIUS’ expanded jurisdiction may reduce the number of potential buyers of and investors in U.S. companies and, accordingly, may limit the ability of our funds to realize value and/or exit from certain existing and future investments. Our flexibility in structuring or financing certain transactions may likewise be constrained and we are unable to predict whether and to what extent uncertainty surrounding economic and market conditions or adverse conditions or events in particular sectors may cause our performance to suffer. During periods of difficult market conditions or slowdowns (which may occur across one or more industries or geographies), our funds’ portfolio companies may experience adverse operating performance, decreased revenues, financial losses, credit rating downgrades, difficulty in obtaining access to financing, and increased funding costs. Negative financial results in our funds’ portfolio companies may result in less appreciation across the portfolio and lower returns in our funds. Because our investment funds will generally make a limited number of investments, and such investments generally involve a high degree of risk, negative financial results in a few of an investment fund’s portfolio companies could severely impact the fund’s total returns. This could materially and adversely affect our ability to raise new funds as well as our operating results and cash flow. During such periods of weakness, our funds’ portfolio companies also may have difficulty expanding their businesses and operations or meeting their debt service obligations or other expenses as they become due, including expenses payable to us. In addition, such negative market conditions could potentially result in a portfolio company entering bankruptcy proceedings or, in the case of certain real estate funds, the abandonment or foreclosure of investments, thereby potentially resulting in a complete loss of the fund’s investment in such portfolio company or real assets and a significant negative impact to the fund’s performance and consequently our operating results and cash flow, as well as to our reputation. Negative market conditions also could increase the risk of default with respect to investments held by our funds that have significant debt investments, such as our Global Credit funds. Moreover, as capital markets activity slows, we may experience a corresponding reduction in the capital markets fees we earn through GCM in connection with activities related to the underwriting, issuance, and placement of debt and equity securities.</w:t>
      </w:r>
    </w:p>
    <w:p>
      <w:pPr>
        <w:sectPr>
          <w:pgSz w:w="11900" w:h="16840" w:orient="portrait"/>
          <w:cols w:equalWidth="0" w:num="1">
            <w:col w:w="9400"/>
          </w:cols>
          <w:pgMar w:left="1060" w:top="1440" w:right="1440" w:bottom="1440" w:gutter="0" w:footer="0" w:header="0"/>
        </w:sectPr>
      </w:pPr>
    </w:p>
    <w:bookmarkStart w:id="26" w:name="page27"/>
    <w:bookmarkEnd w:id="26"/>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In addition, during periods of difficult market conditions or slowdowns, the valuations of the investments in our carry</w:t>
      </w:r>
    </w:p>
    <w:p>
      <w:pPr>
        <w:ind w:right="1440"/>
        <w:spacing w:after="0" w:line="203" w:lineRule="auto"/>
        <w:rPr>
          <w:sz w:val="20"/>
          <w:szCs w:val="20"/>
          <w:color w:val="auto"/>
        </w:rPr>
      </w:pPr>
      <w:r>
        <w:rPr>
          <w:rFonts w:ascii="Times New Roman" w:cs="Times New Roman" w:eastAsia="Times New Roman" w:hAnsi="Times New Roman"/>
          <w:sz w:val="16"/>
          <w:szCs w:val="16"/>
          <w:color w:val="auto"/>
        </w:rPr>
        <w:t>funds could suffer. If we were to realize investments at these lower values, we may not achieve investment returns in excess of return hurdles required to realize performance revenues or we may become obligated to repay performance revenues previously received by us. The payment of less or no performance revenues could cause our cash flow from operations to significantly decrease, which could materially and adversely affect our liquidity position and the amount of cash we have on hand to conduct our operations and to dividend to our stockholders. The generation of less performance revenues also could impact our leverage ratios and compliance with our term loan covenants. Having less cash on hand could in turn require us to rely on other sources of cash (such as the capital markets, which may not be available to us on acceptable terms or at all) to conduct our operations, which include, for example, funding significant general partner and co- investment commitments to our carry funds. In addition, during adverse economic and market conditions, we may not be able to renew or refinance all or part of our credit facility or find alternate financing on commercially reasonable terms. As a result, our uses of cash may exceed our sources of cash, thereby potentially affecting our liquidity position.</w:t>
      </w:r>
    </w:p>
    <w:p>
      <w:pPr>
        <w:spacing w:after="0" w:line="209" w:lineRule="auto"/>
        <w:rPr>
          <w:sz w:val="20"/>
          <w:szCs w:val="20"/>
          <w:color w:val="auto"/>
        </w:rPr>
      </w:pPr>
      <w:r>
        <w:rPr>
          <w:rFonts w:ascii="Times New Roman" w:cs="Times New Roman" w:eastAsia="Times New Roman" w:hAnsi="Times New Roman"/>
          <w:sz w:val="16"/>
          <w:szCs w:val="16"/>
          <w:b w:val="1"/>
          <w:bCs w:val="1"/>
          <w:i w:val="1"/>
          <w:iCs w:val="1"/>
          <w:color w:val="auto"/>
        </w:rPr>
        <w:t>Our use of leverage may expose us to substantial risks.</w:t>
      </w:r>
    </w:p>
    <w:p>
      <w:pPr>
        <w:ind w:right="1420"/>
        <w:spacing w:after="0"/>
        <w:rPr>
          <w:sz w:val="20"/>
          <w:szCs w:val="20"/>
          <w:color w:val="auto"/>
        </w:rPr>
      </w:pPr>
      <w:r>
        <w:rPr>
          <w:rFonts w:ascii="Times New Roman" w:cs="Times New Roman" w:eastAsia="Times New Roman" w:hAnsi="Times New Roman"/>
          <w:sz w:val="14"/>
          <w:szCs w:val="14"/>
          <w:color w:val="auto"/>
        </w:rPr>
        <w:t>We periodically use indebtedness as a means to finance our business operations, which exposes us to risks associated with using leverage. We are dependent on financial institutions extending credit to us on reasonable terms to finance our business. There is no guarantee that financial institutions will continue to extend credit to us or will renew the existing credit agreements we have with them on as favorable terms or at all, or that we will be able to refinance our outstanding notes or other obligations when they mature. In addition, the incurrence of additional debt in the future could result in downgrades of our existing corporate credit ratings, which could limit the availability of future financing and/or increase our cost of borrowing. As borrowings under our credit facility or any other indebtedness mature, we may be required to refinance them by entering into a new facility or issuing additional debt, which could result in higher borrowing costs, or to issue additional equity, which would dilute existing stockholders. We also could repay them by using cash on hand, cash provided by our continuing operations, or cash from the sale of our assets, which could reduce dividends to our stockholders. Moreover, we could have difficulty entering into new facilities or issuing debt or equity securities in the future on attractive terms, or at all.</w:t>
      </w:r>
    </w:p>
    <w:p>
      <w:pPr>
        <w:spacing w:after="0" w:line="107"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From time to time, we may access the capital markets by issuing debt securities. For example, in 2021, we issued $500 million aggregate principal amount of 4.625% subordinated notes due May 2061. We also have senior notes with an aggregate principal amount of $1,375.0 million as of December 31, 2024, as well as a credit agreement that provides a $1.0 billion revolving facility with a final maturity date of April 29, 2027 (see Note 6, Borrowings, to the consolidated financial statements in Part II, Item 8 of this Annual Report on Form 10- K for more information regarding our senior and subordinated notes and credit agreements) . The credit agreement contains financial and non -financial covenants with which we need to comply to maintain access to this source of liquidity. Noncompliance with any of the financial or non- financial covenants without cure or waiver would constitute an event of default, and an event of default resulting from a breach of certain financial or non-financial covenants could result, at the option of the lenders, in an acceleration of the principal and interest outstanding, and a termination of the credit agreement. In addition, to the extent we incur additional debt relative to our current level of earnings or experience a decrease in our level of earnings, our credit rating could be adversely impacted, which would increase our interest expense under our credit facility. Standard &amp; Poor’s and Fitch both affirmed our “A-” credit rating with a stable rating outlook in October 2024.</w:t>
      </w:r>
    </w:p>
    <w:p>
      <w:pPr>
        <w:spacing w:after="0" w:line="5" w:lineRule="exact"/>
        <w:rPr>
          <w:sz w:val="20"/>
          <w:szCs w:val="20"/>
          <w:color w:val="auto"/>
        </w:rPr>
      </w:pPr>
    </w:p>
    <w:p>
      <w:pPr>
        <w:ind w:right="17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revenue, earnings, net income, and cash flow can all vary materially, which may make it difficult for us to achieve steady earnings growth on a quarterly basis and may cause the price of our common stock to decline.</w:t>
      </w:r>
    </w:p>
    <w:p>
      <w:pPr>
        <w:spacing w:after="0" w:line="204" w:lineRule="auto"/>
        <w:rPr>
          <w:sz w:val="20"/>
          <w:szCs w:val="20"/>
          <w:color w:val="auto"/>
        </w:rPr>
      </w:pPr>
      <w:r>
        <w:rPr>
          <w:rFonts w:ascii="Times New Roman" w:cs="Times New Roman" w:eastAsia="Times New Roman" w:hAnsi="Times New Roman"/>
          <w:sz w:val="16"/>
          <w:szCs w:val="16"/>
          <w:color w:val="auto"/>
        </w:rPr>
        <w:t>Our revenue, earnings, net income, and cash flow can all vary materially due to our reliance on performance revenues.</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We may experience fluctuations in our results, including our revenue and net income, from quarter to quarter due to a number of other factors, including timing of realizations, changes in the valuations of our funds’ investments, changes in the amount of distributions, dividends, or interest paid in respect of investments, changes in our operating expenses, and the degree to which we encounter competition, each of which may be impacted by economic and market conditions. Achieving steady growth in net income and cash flow on a quarterly basis may be difficult, which could in turn lead to large adverse movements or general increased volatility in the price of our common stock. We generally do not provide guidance regarding our expected quarterly operating results. The lack of guidance may affect the expectations of public market analysts and could cause increased volatility in our common stock price.</w:t>
      </w:r>
    </w:p>
    <w:p>
      <w:pPr>
        <w:spacing w:after="0" w:line="207" w:lineRule="auto"/>
        <w:rPr>
          <w:sz w:val="20"/>
          <w:szCs w:val="20"/>
          <w:color w:val="auto"/>
        </w:rPr>
      </w:pPr>
      <w:r>
        <w:rPr>
          <w:rFonts w:ascii="Times New Roman" w:cs="Times New Roman" w:eastAsia="Times New Roman" w:hAnsi="Times New Roman"/>
          <w:sz w:val="16"/>
          <w:szCs w:val="16"/>
          <w:color w:val="auto"/>
        </w:rPr>
        <w:t>In addition, our cash flow may fluctuate significantly because we receive performance allocations from our carry funds</w:t>
      </w:r>
    </w:p>
    <w:p>
      <w:pPr>
        <w:spacing w:after="0" w:line="1" w:lineRule="exact"/>
        <w:rPr>
          <w:sz w:val="20"/>
          <w:szCs w:val="20"/>
          <w:color w:val="auto"/>
        </w:rPr>
      </w:pPr>
    </w:p>
    <w:p>
      <w:pPr>
        <w:jc w:val="both"/>
        <w:ind w:right="1460"/>
        <w:spacing w:after="0" w:line="250" w:lineRule="auto"/>
        <w:rPr>
          <w:sz w:val="20"/>
          <w:szCs w:val="20"/>
          <w:color w:val="auto"/>
        </w:rPr>
      </w:pPr>
      <w:r>
        <w:rPr>
          <w:rFonts w:ascii="Times New Roman" w:cs="Times New Roman" w:eastAsia="Times New Roman" w:hAnsi="Times New Roman"/>
          <w:sz w:val="14"/>
          <w:szCs w:val="14"/>
          <w:color w:val="auto"/>
        </w:rPr>
        <w:t>only when investments are realized and achieve a certain preferred return. Performance allocations depend on our carry funds’ performance and opportunities for realizing gains, which may be limited. It takes a substantial period of time to realize the cash value (or other proceeds) of an investment. Even if an investment proves to be profitable, it may be a number of years before</w:t>
      </w:r>
    </w:p>
    <w:p>
      <w:pPr>
        <w:sectPr>
          <w:pgSz w:w="11900" w:h="16840" w:orient="portrait"/>
          <w:cols w:equalWidth="0" w:num="1">
            <w:col w:w="9400"/>
          </w:cols>
          <w:pgMar w:left="1060" w:top="1440" w:right="1440"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any profits can be realized, particularly if market conditions were unaccommodating. We cannot predict when, or if, any realization of investments will occur. The valuations of, and realization opportunities for, investments made by our funds could also be subject to high volatility as a result of uncertainty or potential changes to governmental policy with respect to, among other things, tax, trade, immigration, healthcare, labor, infrastructure, and energy.</w:t>
      </w:r>
    </w:p>
    <w:p>
      <w:pPr>
        <w:spacing w:after="0" w:line="205" w:lineRule="auto"/>
        <w:rPr>
          <w:sz w:val="20"/>
          <w:szCs w:val="20"/>
          <w:color w:val="auto"/>
        </w:rPr>
      </w:pPr>
      <w:r>
        <w:rPr>
          <w:rFonts w:ascii="Times New Roman" w:cs="Times New Roman" w:eastAsia="Times New Roman" w:hAnsi="Times New Roman"/>
          <w:sz w:val="16"/>
          <w:szCs w:val="16"/>
          <w:color w:val="auto"/>
        </w:rPr>
        <w:t>Prior to our receiving any performance allocations in respect of realization of a profitable investment, 100% of the</w:t>
      </w:r>
    </w:p>
    <w:p>
      <w:pPr>
        <w:spacing w:after="0" w:line="1" w:lineRule="exact"/>
        <w:rPr>
          <w:sz w:val="20"/>
          <w:szCs w:val="20"/>
          <w:color w:val="auto"/>
        </w:rPr>
      </w:pPr>
    </w:p>
    <w:p>
      <w:pPr>
        <w:ind w:right="1480"/>
        <w:spacing w:after="0" w:line="250" w:lineRule="auto"/>
        <w:rPr>
          <w:sz w:val="20"/>
          <w:szCs w:val="20"/>
          <w:color w:val="auto"/>
        </w:rPr>
      </w:pPr>
      <w:r>
        <w:rPr>
          <w:rFonts w:ascii="Times New Roman" w:cs="Times New Roman" w:eastAsia="Times New Roman" w:hAnsi="Times New Roman"/>
          <w:sz w:val="14"/>
          <w:szCs w:val="14"/>
          <w:color w:val="auto"/>
        </w:rPr>
        <w:t>proceeds of that investment generally must be paid to the investors in that carry fund until they have recovered certain fees and expenses and achieved a certain return on all realized investments by that carry fund as well as a recovery of any unrealized losses. A particular realization event may have a significant impact on our results for that particular quarter that may not be</w:t>
      </w:r>
    </w:p>
    <w:p>
      <w:pPr>
        <w:sectPr>
          <w:pgSz w:w="11900" w:h="16840" w:orient="portrait"/>
          <w:cols w:equalWidth="0" w:num="1">
            <w:col w:w="9400"/>
          </w:cols>
          <w:pgMar w:left="1060" w:top="1440" w:right="1440" w:bottom="133" w:gutter="0" w:footer="0" w:header="0"/>
          <w:type w:val="continuous"/>
        </w:sectPr>
      </w:pPr>
    </w:p>
    <w:bookmarkStart w:id="27" w:name="page28"/>
    <w:bookmarkEnd w:id="27"/>
    <w:p>
      <w:pPr>
        <w:ind w:right="1420"/>
        <w:spacing w:after="0" w:line="206" w:lineRule="auto"/>
        <w:rPr>
          <w:sz w:val="20"/>
          <w:szCs w:val="20"/>
          <w:color w:val="auto"/>
        </w:rPr>
      </w:pPr>
      <w:r>
        <w:rPr>
          <w:rFonts w:ascii="Times New Roman" w:cs="Times New Roman" w:eastAsia="Times New Roman" w:hAnsi="Times New Roman"/>
          <w:sz w:val="16"/>
          <w:szCs w:val="16"/>
          <w:color w:val="auto"/>
        </w:rPr>
        <w:t>replicated in subsequent quarters. We recognize revenue on investments in our investment funds based on our allocable share of realized and unrealized gains (or losses) reported by such investment funds, and a decline in realized or unrealized gains, or an increase in realized or unrealized losses, would adversely affect our revenue and possibly cash flow, which could further increase the volatility of our quarterly results. Because our carry funds have preferred return thresholds to investors that need to be met prior to our receiving any performance allocations, substantial declines in the carrying value of the investment portfolios of a carry fund can significantly delay or eliminate any performance allocations paid to us in respect of that fund because the value of the assets in the fund would need to recover to their aggregate cost basis plus the preferred return over time before we would be entitled to receive any performance allocations from that fund.</w:t>
      </w:r>
    </w:p>
    <w:p>
      <w:pPr>
        <w:spacing w:after="0" w:line="3"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The timing and receipt of performance allocations also varies with the life cycle of our carry funds. During periods in which a relatively large portion of our assets under management is attributable to carry funds and investments in their “harvesting” period, our carry funds would make larger distributions than in the fundraising or investment periods that precede harvesting. During periods in which a significant portion of our AUM is attributable to carry funds that are not in their harvesting periods, we may receive substantially lower performance allocations.</w:t>
      </w:r>
    </w:p>
    <w:p>
      <w:pPr>
        <w:spacing w:after="0" w:line="2"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Given our focus on achieving superior investment performance and maintaining and strengthening investor relations, we may reduce our AUM, restrain its growth, reduce our fees, or otherwise alter the terms under which we do business when we deem it in the best interest of our investors—even in circumstances where such actions might be contrary to the near-term interests of our stockholders.</w:t>
      </w:r>
    </w:p>
    <w:p>
      <w:pPr>
        <w:spacing w:after="0" w:line="205" w:lineRule="auto"/>
        <w:rPr>
          <w:sz w:val="20"/>
          <w:szCs w:val="20"/>
          <w:color w:val="auto"/>
        </w:rPr>
      </w:pPr>
      <w:r>
        <w:rPr>
          <w:rFonts w:ascii="Times New Roman" w:cs="Times New Roman" w:eastAsia="Times New Roman" w:hAnsi="Times New Roman"/>
          <w:sz w:val="16"/>
          <w:szCs w:val="16"/>
          <w:color w:val="auto"/>
        </w:rPr>
        <w:t>From time to time if we decide it is in the best interests of our stakeholders, we may take actions that could reduce the</w:t>
      </w:r>
    </w:p>
    <w:p>
      <w:pPr>
        <w:spacing w:after="0" w:line="1" w:lineRule="exact"/>
        <w:rPr>
          <w:sz w:val="20"/>
          <w:szCs w:val="20"/>
          <w:color w:val="auto"/>
        </w:rPr>
      </w:pPr>
    </w:p>
    <w:p>
      <w:pPr>
        <w:ind w:right="1400"/>
        <w:spacing w:after="0"/>
        <w:rPr>
          <w:sz w:val="20"/>
          <w:szCs w:val="20"/>
          <w:color w:val="auto"/>
        </w:rPr>
      </w:pPr>
      <w:r>
        <w:rPr>
          <w:rFonts w:ascii="Times New Roman" w:cs="Times New Roman" w:eastAsia="Times New Roman" w:hAnsi="Times New Roman"/>
          <w:sz w:val="14"/>
          <w:szCs w:val="14"/>
          <w:color w:val="auto"/>
        </w:rPr>
        <w:t>profits we could otherwise realize in the short term. While we believe that our commitment to treating our investors fairly is in the long-term interest of us and our stockholders, our stockholders should understand we may take actions that could adversely impact our short-term profitability, and there is no guarantee that such actions will benefit us in the long term. The means by which we seek to achieve superior investment performance in each of our strategies could include limiting the AUM in our strategies to an amount that we believe can be invested appropriately in accordance with our investment philosophy and current or anticipated economic and market conditions. In addition, we may seek to exit or end unprofitable or subscale investments, which may reduce our AUM, including Fee-earning AUM, and/or management fees while generally improving our FRE margins. We also may voluntarily reduce management fee rates and terms for certain of our funds or strategies when we deem it appropriate, even when doing so may reduce our short- term revenue. For instance, in order to enhance our relationship with certain fund investors, we have reduced management fees or ceased charging management fees on certain funds in specific instances. In certain investment funds, we have agreed to charge management fees based on invested capital or net asset value as opposed to charging management fees based on committed capital. In certain cases, we have provided “fee holidays” during which we do not charge management fees for a certain period of time. We also may receive requests to reduce management fees on other funds in the future. See “Risks Related to Our Business Operations—Risks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82" w:lineRule="exact"/>
        <w:rPr>
          <w:sz w:val="20"/>
          <w:szCs w:val="20"/>
          <w:color w:val="auto"/>
        </w:rPr>
      </w:pPr>
    </w:p>
    <w:p>
      <w:pPr>
        <w:ind w:right="1440"/>
        <w:spacing w:after="0" w:line="206" w:lineRule="auto"/>
        <w:rPr>
          <w:sz w:val="20"/>
          <w:szCs w:val="20"/>
          <w:color w:val="auto"/>
        </w:rPr>
      </w:pPr>
      <w:r>
        <w:rPr>
          <w:rFonts w:ascii="Times New Roman" w:cs="Times New Roman" w:eastAsia="Times New Roman" w:hAnsi="Times New Roman"/>
          <w:sz w:val="16"/>
          <w:szCs w:val="16"/>
          <w:color w:val="auto"/>
        </w:rPr>
        <w:t>Many of our investment funds utilize subscription lines of credit to fund investments prior to the receipt of capital contributions from the fund’s investors. As capital calls made to a fund’s investors are delayed when using a subscription line of credit, the investment period of such investor capital is shortened, which may increase the net internal rate of return of an investment fund. However, because interest expense and other costs of borrowings under subscription lines of credit are an expense of the investment fund, the investment fund’s net multiple of invested capital will be reduced, as will the amount of carried interest generated by the fund. Any material reduction in the amount of carried interest generated by a fund will adversely affect our revenues.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We also may take other actions, including waiving management fees for a particular investment or fund, that could</w:t>
      </w:r>
    </w:p>
    <w:p>
      <w:pPr>
        <w:ind w:right="1500"/>
        <w:spacing w:after="0" w:line="203" w:lineRule="auto"/>
        <w:rPr>
          <w:sz w:val="20"/>
          <w:szCs w:val="20"/>
          <w:color w:val="auto"/>
        </w:rPr>
      </w:pPr>
      <w:r>
        <w:rPr>
          <w:rFonts w:ascii="Times New Roman" w:cs="Times New Roman" w:eastAsia="Times New Roman" w:hAnsi="Times New Roman"/>
          <w:sz w:val="16"/>
          <w:szCs w:val="16"/>
          <w:color w:val="auto"/>
        </w:rPr>
        <w:t>adversely impact our short-term results of operations when we deem such action appropriate. Moreover, we typically delay the realization of carried interest to which we are otherwise entitled if we determine (based on a variety of factors, including the stage of the fund’s life cycle and the extent of fund profits accrued to date) that there would be an unacceptably high risk of potential future giveback obligations. Any such delay could result in a deferral of realized carried interest to a subsequent period. See “Risks Related to Our Company—Our revenue, earnings, net income, and cash flow can all vary materially, which may make it difficult for us to achieve steady earnings growth on a quarterly basis and may cause the price of our common stock to decline.”</w:t>
      </w:r>
    </w:p>
    <w:p>
      <w:pPr>
        <w:spacing w:after="0" w:line="3" w:lineRule="exact"/>
        <w:rPr>
          <w:sz w:val="20"/>
          <w:szCs w:val="20"/>
          <w:color w:val="auto"/>
        </w:rPr>
      </w:pPr>
    </w:p>
    <w:p>
      <w:pPr>
        <w:jc w:val="both"/>
        <w:ind w:right="18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depend on our senior Carlyle professionals, including our Chief Executive Officer, and the loss of their services or investor confidence in such personnel could have a material adverse effect on our business, results of operations, and financial condition.</w:t>
      </w:r>
    </w:p>
    <w:p>
      <w:pPr>
        <w:spacing w:after="0" w:line="205" w:lineRule="auto"/>
        <w:rPr>
          <w:sz w:val="20"/>
          <w:szCs w:val="20"/>
          <w:color w:val="auto"/>
        </w:rPr>
      </w:pPr>
      <w:r>
        <w:rPr>
          <w:rFonts w:ascii="Times New Roman" w:cs="Times New Roman" w:eastAsia="Times New Roman" w:hAnsi="Times New Roman"/>
          <w:sz w:val="16"/>
          <w:szCs w:val="16"/>
          <w:color w:val="auto"/>
        </w:rPr>
        <w:t>We depend on the efforts, skill, reputations, and business contacts of our Chief Executive Officer, Harvey M.</w:t>
      </w:r>
    </w:p>
    <w:p>
      <w:pPr>
        <w:ind w:right="1440"/>
        <w:spacing w:after="0"/>
        <w:rPr>
          <w:sz w:val="20"/>
          <w:szCs w:val="20"/>
          <w:color w:val="auto"/>
        </w:rPr>
      </w:pPr>
      <w:r>
        <w:rPr>
          <w:rFonts w:ascii="Times New Roman" w:cs="Times New Roman" w:eastAsia="Times New Roman" w:hAnsi="Times New Roman"/>
          <w:sz w:val="14"/>
          <w:szCs w:val="14"/>
          <w:color w:val="auto"/>
        </w:rPr>
        <w:t>Schwartz, our co-founders and other senior Carlyle professionals, the information and deal flow they generate during the normal course of their activities, and the synergies among the diverse fields of expertise and knowledge held by our professionals. Accordingly, our success will depend on the continued service of these individuals, who are not obligated to remain employed with us. Several key personnel have left the firm in the past and others may do so in the future, and we cannot predict the impact that the departure of any key personnel will have on our ability to achieve our investment objectives. For example, the governing agreements of many of our funds generally provide investors with the ability to terminate the investment period in the event that certain “key persons” in the fund do not meet the specified time commitment to the fund or our firm ceases to control the general partner. The loss of the services of any such persons could have a material adverse effect on our revenues, net income, and cash flows and could harm our ability to maintain or grow AUM in existing funds or raise additional funds in the future. Our senior Carlyle professionals possess substantial experience and expertise and have strong business relationships with our investors and other members of the business community. As a result, the loss of these personnel could jeopardize our relationships with such parties and result in the reduction of AUM or fewer investment opportunities.</w:t>
      </w:r>
    </w:p>
    <w:p>
      <w:pPr>
        <w:spacing w:after="0" w:line="102" w:lineRule="exact"/>
        <w:rPr>
          <w:sz w:val="20"/>
          <w:szCs w:val="20"/>
          <w:color w:val="auto"/>
        </w:rPr>
      </w:pPr>
    </w:p>
    <w:p>
      <w:pPr>
        <w:ind w:right="1560"/>
        <w:spacing w:after="0" w:line="250" w:lineRule="auto"/>
        <w:rPr>
          <w:sz w:val="20"/>
          <w:szCs w:val="20"/>
          <w:color w:val="auto"/>
        </w:rPr>
      </w:pPr>
      <w:r>
        <w:rPr>
          <w:rFonts w:ascii="Times New Roman" w:cs="Times New Roman" w:eastAsia="Times New Roman" w:hAnsi="Times New Roman"/>
          <w:sz w:val="14"/>
          <w:szCs w:val="14"/>
          <w:color w:val="auto"/>
        </w:rPr>
        <w:t>We historically have relied in part on the interests of these professionals in the investment funds’ carried interest and incentive fees to discourage them from leaving the firm. However, to the extent our investment funds perform poorly, thereby reducing the potential for carried interest and incentive fees, their interests in carried interest and incentive fees become less</w:t>
      </w:r>
    </w:p>
    <w:p>
      <w:pPr>
        <w:sectPr>
          <w:pgSz w:w="11900" w:h="16840" w:orient="portrait"/>
          <w:cols w:equalWidth="0" w:num="1">
            <w:col w:w="9400"/>
          </w:cols>
          <w:pgMar w:left="1060" w:top="557" w:right="1440" w:bottom="73" w:gutter="0" w:footer="0" w:header="0"/>
        </w:sectPr>
      </w:pPr>
    </w:p>
    <w:bookmarkStart w:id="28" w:name="page29"/>
    <w:bookmarkEnd w:id="28"/>
    <w:p>
      <w:pPr>
        <w:ind w:right="1520"/>
        <w:spacing w:after="0"/>
        <w:rPr>
          <w:sz w:val="20"/>
          <w:szCs w:val="20"/>
          <w:color w:val="auto"/>
        </w:rPr>
      </w:pPr>
      <w:r>
        <w:rPr>
          <w:rFonts w:ascii="Times New Roman" w:cs="Times New Roman" w:eastAsia="Times New Roman" w:hAnsi="Times New Roman"/>
          <w:sz w:val="14"/>
          <w:szCs w:val="14"/>
          <w:color w:val="auto"/>
        </w:rPr>
        <w:t>valuable to them and become less effective as incentives for them to continue to be employed by us. We might not be able to provide future senior Carlyle professionals with interests in our business to the same extent or with the same tax consequences from which our existing personnel previously benefited. For example, U.S. federal income tax law currently imposes a three-year holding period requirement for carried interest to be treated as long-term capital gains. The holding period requirement may result in some of the carried interest received by such individuals being treated as ordinary income, which would materially increase the amount of taxes that such key personnel would be required to pay. In addition, the tax treatment of carried interest continues to be an area of focus for policymakers and government officials, which could result in further regulatory action by federal or state governments. See “Risks Related to Taxation—Changes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 Moreover, possible increases in state tax rates or changes to the tax treatment of, or the levying of additional taxes on, carried interest, along with changing opinions regarding living in some geographies where we have offices, may adversely affect our ability to recruit, retain, and motivate our current and future professionals.</w:t>
      </w:r>
    </w:p>
    <w:p>
      <w:pPr>
        <w:spacing w:after="0" w:line="115"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We strive to maintain a work environment that reinforces our culture where employees strive to excel, deliver for the firm, challenge the status quo, and leverage diverse perspectives. If we do not continue to develop and implement the right processes and tools to maintain this culture, our ability to compete successfully and achieve our business objectives could be impaired, which could negatively impact our business, financial condition, and results of operations.</w:t>
      </w:r>
    </w:p>
    <w:p>
      <w:pPr>
        <w:spacing w:after="0" w:line="2"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Recruiting and retaining our professionals has become more difficult and may continue to be difficult in the future, which could adversely affect our business, results of operations, and financial condition.</w:t>
      </w:r>
    </w:p>
    <w:p>
      <w:pPr>
        <w:spacing w:after="0" w:line="1" w:lineRule="exact"/>
        <w:rPr>
          <w:sz w:val="20"/>
          <w:szCs w:val="20"/>
          <w:color w:val="auto"/>
        </w:rPr>
      </w:pPr>
    </w:p>
    <w:p>
      <w:pPr>
        <w:ind w:right="1480"/>
        <w:spacing w:after="0" w:line="239" w:lineRule="auto"/>
        <w:rPr>
          <w:sz w:val="20"/>
          <w:szCs w:val="20"/>
          <w:color w:val="auto"/>
        </w:rPr>
      </w:pPr>
      <w:r>
        <w:rPr>
          <w:rFonts w:ascii="Times New Roman" w:cs="Times New Roman" w:eastAsia="Times New Roman" w:hAnsi="Times New Roman"/>
          <w:sz w:val="14"/>
          <w:szCs w:val="14"/>
          <w:color w:val="auto"/>
        </w:rPr>
        <w:t>Our most important asset is our people, and our continued success is highly dependent upon the efforts of our senior Carlyle professionals and other employees. Our future success and growth depends to a substantial degree on our ability to retain and motivate our senior Carlyle professionals and other employees to strategically recruit, retain, and motivate talented personnel, including senior Carlyle professionals. The market for qualified professionals is extremely competitive across levels and areas of expertise, and we may not be successful in our efforts to recruit, retain, and motivate these professionals. There also has been a shift to a hybrid work model and, in our recruiting efforts, we have seen increased focus by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00"/>
        <w:spacing w:after="0"/>
        <w:rPr>
          <w:sz w:val="20"/>
          <w:szCs w:val="20"/>
          <w:color w:val="auto"/>
        </w:rPr>
      </w:pPr>
      <w:r>
        <w:rPr>
          <w:rFonts w:ascii="Times New Roman" w:cs="Times New Roman" w:eastAsia="Times New Roman" w:hAnsi="Times New Roman"/>
          <w:sz w:val="14"/>
          <w:szCs w:val="14"/>
          <w:color w:val="auto"/>
        </w:rPr>
        <w:t>candidates on remote and hybrid work arrangements and arrangements providing more flexibility, including around location. Although we generally have moved to a hybrid work model in which many of our employees are permitted to work remotely for a designated portion of their working time and are expected to come to a Carlyle office for a designated portion of their working time, we continue to see focus on remote work arrangements. We also have experienced upward pressure on compensation packages given the increased competition to hire and retain talented personnel, and we may be required to adjust the amount of cash compensation and types, terms, and amounts of equity incentives we provide to our employees, which could have positive or negative effects on the financial metrics commonly used to measure our performance. Even when we offer top-of-market compensation packages, we may not be able to attract and retain all of our desired personnel due to shifting employee priorities. In addition, the minimum retained ownership requirements and transfer restrictions to which equity incentives are subject in certain instances lapse over time, may not be enforceable in all cases, and can be waived. There is no guarantee that the noncompetition and nonsolicitation agreements to which certain of our senior Carlyle professionals are subject, together with our other arrangements with them, will prevent them from leaving, joining our competitors, or otherwise competing with us. In addition, there is no assurance that such agreements will be enforceable in all cases. These noncompetition and nonsolicitation agreements also expire after a certain period of time, at which point such senior Carlyle professionals would be free to compete against us and solicit our clients and employees. In this respect, in April 2024, the U.S. Federal Trade Commission (“FTC”) published a final rule that would generally prohibit post-employment noncompete clauses (or other clauses with comparable effect) in agreements between employers and their employees, subject to limited exceptions, although enforcement of the final rule has been enjoined. We are continuing to monitor the status of the final rule, including with the new administration, and the impact it may have on our ability to recruit and retain our professionals.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granted and expect to grant equity awards in respect of our shares of common stock. This includes awards</w:t>
      </w:r>
    </w:p>
    <w:p>
      <w:pPr>
        <w:ind w:right="1420"/>
        <w:spacing w:after="0"/>
        <w:rPr>
          <w:sz w:val="20"/>
          <w:szCs w:val="20"/>
          <w:color w:val="auto"/>
        </w:rPr>
      </w:pPr>
      <w:r>
        <w:rPr>
          <w:rFonts w:ascii="Times New Roman" w:cs="Times New Roman" w:eastAsia="Times New Roman" w:hAnsi="Times New Roman"/>
          <w:sz w:val="14"/>
          <w:szCs w:val="14"/>
          <w:color w:val="auto"/>
        </w:rPr>
        <w:t>from our Equity Incentive Plan, with respect to which our shareholders approved an additional 19.0 million shares for the issuance of awards at our 2024 Annual Meeting of Shareholders, and an award of restricted stock units to our Chief Executive Officer in connection with his hiring, which were granted outside of the Equity Incentive Plan and with respect to which, as of December 31, 2024, we have granted a total of approximately 7.2 million restricted stock units (including dividend equivalent units that are credited on such award) . The prior and future grants of equity awards in respect of our shares of common stock have caused and will cause dilution. While we evaluate the grant of equity awards from our Equity Incentive Plan to employees on an annual basis, the size of the grants, if any, is made at our discretion and may vary significantly from year-to -year, including as the result of special programs or significant senior personnel hirings. If we increase the use of equity awards from our Equity Incentive Plan in the future, expenses associated with equity-based compensation may increase materially. In 2024, we incurred equity compensation expenses of $467.9 million in connection with grants of restricted stock units. In February 2024, we granted a total of 13.2 million restricted stock units to senior Carlyle professionals that are eligible to vest in installments over a period of three years based on the achievement of absolute stock price targets of 120% (which were satisfied during the fourth quarter of 2024), 140%, and 160% of the applicable starting share price. In addition, in February 2025, we granted a total of 4.8 million restricted stock units to Carlyle professionals. Following the foregoing grants, taken together with other restricted stock unit grants since the initial approval of the Equity Incentive Plan in June 2021, there were 25.7 million remaining shares of common stock available for grant under the Equity Incentive Plan.</w:t>
      </w:r>
    </w:p>
    <w:p>
      <w:pPr>
        <w:spacing w:after="0" w:line="82"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As of December 31, 2024, our employees held an aggregate of 17.2 million unvested restricted stock units, which vest over various time periods (generally from one year to three-and- a-half years from the date of grant) and/or subject to the achievement of various performance targets. All of the shares of common stock held by our co-founders are fully vested. In order to recruit and retain existing and future senior Carlyle professionals and other key personnel, we may need to increase the level of compensation that we pay to them, which could include grants of significant amounts of restricted stock unit awards or other equity incentive awards under our Equity Incentive Plan. Accordingly, as we promote or hire new senior Carlyle professionals and other key personnel over time or attempt to retain the services of certain of our key personnel, we may increase the level of compensation we pay to these individuals, which could cause our total employee compensation and benefits expense as a percentage of our total revenue to increase and adversely affect our profitability.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expand into new investment strategies, geographic markets, businesses, and types of investors, or seek to expand</w:t>
      </w:r>
    </w:p>
    <w:p>
      <w:pPr>
        <w:sectPr>
          <w:pgSz w:w="11900" w:h="16840" w:orient="portrait"/>
          <w:cols w:equalWidth="0" w:num="1">
            <w:col w:w="9400"/>
          </w:cols>
          <w:pgMar w:left="1060" w:top="557" w:right="1440" w:bottom="20" w:gutter="0" w:footer="0" w:header="0"/>
        </w:sectPr>
      </w:pPr>
    </w:p>
    <w:bookmarkStart w:id="29" w:name="page30"/>
    <w:bookmarkEnd w:id="29"/>
    <w:p>
      <w:pPr>
        <w:ind w:right="2160"/>
        <w:spacing w:after="0" w:line="217" w:lineRule="auto"/>
        <w:rPr>
          <w:sz w:val="20"/>
          <w:szCs w:val="20"/>
          <w:color w:val="auto"/>
        </w:rPr>
      </w:pPr>
      <w:r>
        <w:rPr>
          <w:rFonts w:ascii="Times New Roman" w:cs="Times New Roman" w:eastAsia="Times New Roman" w:hAnsi="Times New Roman"/>
          <w:sz w:val="16"/>
          <w:szCs w:val="16"/>
          <w:b w:val="1"/>
          <w:bCs w:val="1"/>
          <w:i w:val="1"/>
          <w:iCs w:val="1"/>
          <w:color w:val="auto"/>
        </w:rPr>
        <w:t>our business or change our strategic focus with new strategic initiatives, which may result in additional risks and uncertainties in our businesses.</w:t>
      </w:r>
    </w:p>
    <w:p>
      <w:pPr>
        <w:spacing w:after="0" w:line="1" w:lineRule="exact"/>
        <w:rPr>
          <w:sz w:val="20"/>
          <w:szCs w:val="20"/>
          <w:color w:val="auto"/>
        </w:rPr>
      </w:pPr>
    </w:p>
    <w:p>
      <w:pPr>
        <w:ind w:right="1560"/>
        <w:spacing w:after="0" w:line="239" w:lineRule="auto"/>
        <w:rPr>
          <w:sz w:val="20"/>
          <w:szCs w:val="20"/>
          <w:color w:val="auto"/>
        </w:rPr>
      </w:pPr>
      <w:r>
        <w:rPr>
          <w:rFonts w:ascii="Times New Roman" w:cs="Times New Roman" w:eastAsia="Times New Roman" w:hAnsi="Times New Roman"/>
          <w:sz w:val="14"/>
          <w:szCs w:val="14"/>
          <w:color w:val="auto"/>
        </w:rPr>
        <w:t>Our organizational documents do not limit our ability to enter into new lines of business, and we may expand into new investment strategies, geographic markets, businesses, types of investors, and investment products. We intend to seek to grow our businesses by increasing AUM in existing businesses, pursuing new investment strategies (including investment opportunities in new asset classes), developing new types of investment structures and products (such as publicly listed vehicles, separately managed accounts, and structured products), expanding into new geographic markets and businesses and seeking investments from investor bases we have traditionally not pursued, such as individual investors, which subject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rPr>
          <w:sz w:val="20"/>
          <w:szCs w:val="20"/>
          <w:color w:val="auto"/>
        </w:rPr>
      </w:pPr>
      <w:r>
        <w:rPr>
          <w:rFonts w:ascii="Times New Roman" w:cs="Times New Roman" w:eastAsia="Times New Roman" w:hAnsi="Times New Roman"/>
          <w:sz w:val="14"/>
          <w:szCs w:val="14"/>
          <w:color w:val="auto"/>
        </w:rPr>
        <w:t>additional risk. See also “Risks Related to Our Business Operations—Risks Related to the Assets We Manage—We have increasingly undertaken business initiatives to increase the number and type of investment products we offer to retail investors, which could expose us to new and greater levels of risk.” We have opened many offices to conduct our asset management and capital markets businesses around the world in Europe, the Middle East, and Asia-Pacific, which we intend to grow and expand. We also have launched a number of new investment initiatives in various asset classes or geographies, and increasingly manage investment vehicles owned by individual investors, which subject us to additional risk. Introducing new types of investment structures and products could increase the complexities involved in managing such investments, including ensuring compliance with applicable regulatory requirements and terms of the investment vehicles.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organic growth strategy focuses on providing resources to foster business expansion, such that we achieve a level</w:t>
      </w:r>
    </w:p>
    <w:p>
      <w:pPr>
        <w:ind w:right="1440"/>
        <w:spacing w:after="0" w:line="203" w:lineRule="auto"/>
        <w:rPr>
          <w:sz w:val="20"/>
          <w:szCs w:val="20"/>
          <w:color w:val="auto"/>
        </w:rPr>
      </w:pPr>
      <w:r>
        <w:rPr>
          <w:rFonts w:ascii="Times New Roman" w:cs="Times New Roman" w:eastAsia="Times New Roman" w:hAnsi="Times New Roman"/>
          <w:sz w:val="16"/>
          <w:szCs w:val="16"/>
          <w:color w:val="auto"/>
        </w:rPr>
        <w:t>of scale and profitability. Given our diverse platform, these initiatives could create conflicts of interests with existing products, increase our costs, and expose us to new market risks and legal and regulatory requirements. The success of our organic growth strategy also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w:t>
      </w:r>
    </w:p>
    <w:p>
      <w:pPr>
        <w:spacing w:after="0" w:line="2" w:lineRule="exact"/>
        <w:rPr>
          <w:sz w:val="20"/>
          <w:szCs w:val="20"/>
          <w:color w:val="auto"/>
        </w:rPr>
      </w:pPr>
    </w:p>
    <w:p>
      <w:pPr>
        <w:ind w:right="1740"/>
        <w:spacing w:after="0" w:line="243" w:lineRule="auto"/>
        <w:rPr>
          <w:sz w:val="20"/>
          <w:szCs w:val="20"/>
          <w:color w:val="auto"/>
        </w:rPr>
      </w:pPr>
      <w:r>
        <w:rPr>
          <w:rFonts w:ascii="Times New Roman" w:cs="Times New Roman" w:eastAsia="Times New Roman" w:hAnsi="Times New Roman"/>
          <w:sz w:val="14"/>
          <w:szCs w:val="14"/>
          <w:color w:val="auto"/>
        </w:rPr>
        <w:t>We have pursued and may continue to pursue growth through acquisitions of, or investments in, new businesses, other investment management companies, acquisitions of critical business partners, strategic partnerships, other alternative or traditional investment managers, or other strategic initiatives that also may include entering into new lines of business. In addition, we expect opportunities will arise to acquire other alternative or traditional investment managers. For example,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2022, we acquired Abingworth, a life sciences investment firm, to expand our healthcare investment platform with the</w:t>
      </w:r>
    </w:p>
    <w:p>
      <w:pPr>
        <w:spacing w:after="0" w:line="26"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addition of nearly $2 billion in AUM and a specialized team of over 20 investment professionals and advisors. The integration of Abingworth with us, and Carlyle’s corresponding entry into the life sciences industry, may pose some or all of the risks noted below. See “Risks Related to Our Business Operations—Industry Risks Related to the Assets We Manage—Our investments in the life sciences industry may expose us to increased risks.”</w:t>
      </w:r>
    </w:p>
    <w:p>
      <w:pPr>
        <w:spacing w:after="0" w:line="205" w:lineRule="auto"/>
        <w:rPr>
          <w:sz w:val="20"/>
          <w:szCs w:val="20"/>
          <w:color w:val="auto"/>
        </w:rPr>
      </w:pPr>
      <w:r>
        <w:rPr>
          <w:rFonts w:ascii="Times New Roman" w:cs="Times New Roman" w:eastAsia="Times New Roman" w:hAnsi="Times New Roman"/>
          <w:sz w:val="16"/>
          <w:szCs w:val="16"/>
          <w:color w:val="auto"/>
        </w:rPr>
        <w:t>To the extent we make strategic investments or acquisitions, undertake other strategic initiatives, expand into new</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investment strategies or geographic markets, or enter into a new line of business, we will face numerous risks and uncertainties, including risks associated with:</w:t>
      </w:r>
    </w:p>
    <w:p>
      <w:pPr>
        <w:spacing w:after="0" w:line="204" w:lineRule="auto"/>
        <w:rPr>
          <w:sz w:val="20"/>
          <w:szCs w:val="20"/>
          <w:color w:val="auto"/>
        </w:rPr>
      </w:pPr>
      <w:r>
        <w:rPr>
          <w:rFonts w:ascii="Times New Roman" w:cs="Times New Roman" w:eastAsia="Times New Roman" w:hAnsi="Times New Roman"/>
          <w:sz w:val="16"/>
          <w:szCs w:val="16"/>
          <w:color w:val="auto"/>
        </w:rPr>
        <w:t>•the required investment of capital and other resources;</w:t>
      </w:r>
    </w:p>
    <w:p>
      <w:pPr>
        <w:spacing w:after="0" w:line="1" w:lineRule="exact"/>
        <w:rPr>
          <w:sz w:val="20"/>
          <w:szCs w:val="20"/>
          <w:color w:val="auto"/>
        </w:rPr>
      </w:pPr>
    </w:p>
    <w:p>
      <w:pPr>
        <w:ind w:right="2900"/>
        <w:spacing w:after="0" w:line="203" w:lineRule="auto"/>
        <w:rPr>
          <w:sz w:val="20"/>
          <w:szCs w:val="20"/>
          <w:color w:val="auto"/>
        </w:rPr>
      </w:pPr>
      <w:r>
        <w:rPr>
          <w:rFonts w:ascii="Times New Roman" w:cs="Times New Roman" w:eastAsia="Times New Roman" w:hAnsi="Times New Roman"/>
          <w:sz w:val="16"/>
          <w:szCs w:val="16"/>
          <w:color w:val="auto"/>
        </w:rPr>
        <w:t>•delays or failure to complete an acquisition or other transaction in a timely manner or at all, which may subject us to damages or require us to pay significant costs;</w:t>
      </w:r>
    </w:p>
    <w:p>
      <w:pPr>
        <w:spacing w:after="0" w:line="1" w:lineRule="exact"/>
        <w:rPr>
          <w:sz w:val="20"/>
          <w:szCs w:val="20"/>
          <w:color w:val="auto"/>
        </w:rPr>
      </w:pPr>
    </w:p>
    <w:p>
      <w:pPr>
        <w:ind w:right="2500"/>
        <w:spacing w:after="0" w:line="203" w:lineRule="auto"/>
        <w:rPr>
          <w:sz w:val="20"/>
          <w:szCs w:val="20"/>
          <w:color w:val="auto"/>
        </w:rPr>
      </w:pPr>
      <w:r>
        <w:rPr>
          <w:rFonts w:ascii="Times New Roman" w:cs="Times New Roman" w:eastAsia="Times New Roman" w:hAnsi="Times New Roman"/>
          <w:sz w:val="16"/>
          <w:szCs w:val="16"/>
          <w:color w:val="auto"/>
        </w:rPr>
        <w:t>•lawsuits challenging an acquisition or unfavorable judgments in such lawsuits, which may prevent the closing of the transaction, cause delays, or require us to incur substantial costs, including costs associated with the indemnification of directors;</w:t>
      </w:r>
    </w:p>
    <w:p>
      <w:pPr>
        <w:spacing w:after="0" w:line="1" w:lineRule="exact"/>
        <w:rPr>
          <w:sz w:val="20"/>
          <w:szCs w:val="20"/>
          <w:color w:val="auto"/>
        </w:rPr>
      </w:pPr>
    </w:p>
    <w:p>
      <w:pPr>
        <w:ind w:right="2760"/>
        <w:spacing w:after="0" w:line="203" w:lineRule="auto"/>
        <w:rPr>
          <w:sz w:val="20"/>
          <w:szCs w:val="20"/>
          <w:color w:val="auto"/>
        </w:rPr>
      </w:pPr>
      <w:r>
        <w:rPr>
          <w:rFonts w:ascii="Times New Roman" w:cs="Times New Roman" w:eastAsia="Times New Roman" w:hAnsi="Times New Roman"/>
          <w:sz w:val="16"/>
          <w:szCs w:val="16"/>
          <w:color w:val="auto"/>
        </w:rPr>
        <w:t>•the failure to realize the anticipated benefits from an acquired business or strategic partnership in a timely manner, if at all;</w:t>
      </w:r>
    </w:p>
    <w:p>
      <w:pPr>
        <w:spacing w:after="0" w:line="1" w:lineRule="exact"/>
        <w:rPr>
          <w:sz w:val="20"/>
          <w:szCs w:val="20"/>
          <w:color w:val="auto"/>
        </w:rPr>
      </w:pPr>
    </w:p>
    <w:p>
      <w:pPr>
        <w:ind w:right="2960"/>
        <w:spacing w:after="0" w:line="203" w:lineRule="auto"/>
        <w:rPr>
          <w:sz w:val="20"/>
          <w:szCs w:val="20"/>
          <w:color w:val="auto"/>
        </w:rPr>
      </w:pPr>
      <w:r>
        <w:rPr>
          <w:rFonts w:ascii="Times New Roman" w:cs="Times New Roman" w:eastAsia="Times New Roman" w:hAnsi="Times New Roman"/>
          <w:sz w:val="16"/>
          <w:szCs w:val="16"/>
          <w:color w:val="auto"/>
        </w:rPr>
        <w:t>•combining, integrating, or developing operational and management systems and controls, including an acquired business’s internal controls and procedures;</w:t>
      </w:r>
    </w:p>
    <w:p>
      <w:pPr>
        <w:spacing w:after="0" w:line="1" w:lineRule="exact"/>
        <w:rPr>
          <w:sz w:val="20"/>
          <w:szCs w:val="20"/>
          <w:color w:val="auto"/>
        </w:rPr>
      </w:pPr>
    </w:p>
    <w:p>
      <w:pPr>
        <w:ind w:right="3600"/>
        <w:spacing w:after="0" w:line="232" w:lineRule="auto"/>
        <w:rPr>
          <w:sz w:val="20"/>
          <w:szCs w:val="20"/>
          <w:color w:val="auto"/>
        </w:rPr>
      </w:pPr>
      <w:r>
        <w:rPr>
          <w:rFonts w:ascii="Times New Roman" w:cs="Times New Roman" w:eastAsia="Times New Roman" w:hAnsi="Times New Roman"/>
          <w:sz w:val="14"/>
          <w:szCs w:val="14"/>
          <w:color w:val="auto"/>
        </w:rPr>
        <w:t>•integration of the businesses, including the employees of an acquired business; •disagreements with joint venture partners or other stakeholders in our strategic partnerships;</w:t>
      </w:r>
    </w:p>
    <w:p>
      <w:pPr>
        <w:spacing w:after="0" w:line="1" w:lineRule="exact"/>
        <w:rPr>
          <w:sz w:val="20"/>
          <w:szCs w:val="20"/>
          <w:color w:val="auto"/>
        </w:rPr>
      </w:pPr>
    </w:p>
    <w:p>
      <w:pPr>
        <w:ind w:right="3040"/>
        <w:spacing w:after="0" w:line="203" w:lineRule="auto"/>
        <w:rPr>
          <w:sz w:val="20"/>
          <w:szCs w:val="20"/>
          <w:color w:val="auto"/>
        </w:rPr>
      </w:pPr>
      <w:r>
        <w:rPr>
          <w:rFonts w:ascii="Times New Roman" w:cs="Times New Roman" w:eastAsia="Times New Roman" w:hAnsi="Times New Roman"/>
          <w:sz w:val="16"/>
          <w:szCs w:val="16"/>
          <w:color w:val="auto"/>
        </w:rPr>
        <w:t>•the additional business risks of the acquired business and the broadening of our geographic footprint; •properly managing conflicts of interests;</w:t>
      </w:r>
    </w:p>
    <w:p>
      <w:pPr>
        <w:spacing w:after="0" w:line="1" w:lineRule="exact"/>
        <w:rPr>
          <w:sz w:val="20"/>
          <w:szCs w:val="20"/>
          <w:color w:val="auto"/>
        </w:rPr>
      </w:pPr>
    </w:p>
    <w:p>
      <w:pPr>
        <w:ind w:right="2480"/>
        <w:spacing w:after="0" w:line="203" w:lineRule="auto"/>
        <w:rPr>
          <w:sz w:val="20"/>
          <w:szCs w:val="20"/>
          <w:color w:val="auto"/>
        </w:rPr>
      </w:pPr>
      <w:r>
        <w:rPr>
          <w:rFonts w:ascii="Times New Roman" w:cs="Times New Roman" w:eastAsia="Times New Roman" w:hAnsi="Times New Roman"/>
          <w:sz w:val="16"/>
          <w:szCs w:val="16"/>
          <w:color w:val="auto"/>
        </w:rPr>
        <w:t>•our ability to obtain requisite regulatory approvals and licenses without undue cost or delay and without being required to comply with material restrictions or material conditions that would be detrimental to us or to the combined organization;</w:t>
      </w:r>
    </w:p>
    <w:p>
      <w:pPr>
        <w:spacing w:after="0" w:line="205" w:lineRule="auto"/>
        <w:rPr>
          <w:sz w:val="20"/>
          <w:szCs w:val="20"/>
          <w:color w:val="auto"/>
        </w:rPr>
      </w:pPr>
      <w:r>
        <w:rPr>
          <w:rFonts w:ascii="Times New Roman" w:cs="Times New Roman" w:eastAsia="Times New Roman" w:hAnsi="Times New Roman"/>
          <w:sz w:val="16"/>
          <w:szCs w:val="16"/>
          <w:color w:val="auto"/>
        </w:rPr>
        <w:t>•our ability to comply with new regulatory regimes; and</w:t>
      </w:r>
    </w:p>
    <w:p>
      <w:pPr>
        <w:ind w:right="2500"/>
        <w:spacing w:after="0" w:line="222" w:lineRule="auto"/>
        <w:rPr>
          <w:sz w:val="20"/>
          <w:szCs w:val="20"/>
          <w:color w:val="auto"/>
        </w:rPr>
      </w:pPr>
      <w:r>
        <w:rPr>
          <w:rFonts w:ascii="Times New Roman" w:cs="Times New Roman" w:eastAsia="Times New Roman" w:hAnsi="Times New Roman"/>
          <w:sz w:val="16"/>
          <w:szCs w:val="16"/>
          <w:color w:val="auto"/>
        </w:rPr>
        <w:t>•becoming subject to new laws and regulations with which we are not familiar, or from which we are currently exempt, which may lead to increased litigation and regulatory risk and costs.</w:t>
      </w:r>
    </w:p>
    <w:p>
      <w:pPr>
        <w:sectPr>
          <w:pgSz w:w="11900" w:h="16840" w:orient="portrait"/>
          <w:cols w:equalWidth="0" w:num="1">
            <w:col w:w="9400"/>
          </w:cols>
          <w:pgMar w:left="1060" w:top="553"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jc w:val="both"/>
        <w:ind w:right="160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Operational risks (including those associated with our business model), system security risks, breaches of data protection, cyberattacks, or actions or failure to act by our employees or others with authorized access to our networks, including our ability to insure against such risks, may disrupt our businesses, result in losses, or limit our growth.</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We, our vendors, investors, and other stakeholders rely heavily on financial, accounting, information, and other data processing systems. Collectively, we face various security threats on a regular basis, including ongoing cybersecurity threats to and attacks on our information technology infrastructure that are intended to gain access to our proprietary information, destroy data, or disable, degrade, or sabotage our systems. These security threats originate from a wide variety of sources, including known or unknown external third parties and current or former employees and contractors who have or had access to our facilities, systems, and information.</w:t>
      </w:r>
    </w:p>
    <w:p>
      <w:pPr>
        <w:spacing w:after="0" w:line="3"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There has been an increase in the frequency and sophistication of the security threats we face, with thwarted attacks ranging from those common to businesses generally to those that are more advanced and persistent, which may target us because, as a global investment management firm, we hold a significant amount of confidential and sensitive information about our investors, our portfolio companies, potential investments, and our employees. More specifically, threat actors have demonstrated increasing sophistication in their use of social engineering techniques, executive impersonations, and social media platforms to victimize users and tarnish our brand. Similar issues arise with concentration of services with key service providers such as cloud storage and email services, which also have experienced occasional minor outages.</w:t>
      </w:r>
    </w:p>
    <w:p>
      <w:pPr>
        <w:spacing w:after="0" w:line="3" w:lineRule="exact"/>
        <w:rPr>
          <w:sz w:val="20"/>
          <w:szCs w:val="20"/>
          <w:color w:val="auto"/>
        </w:rPr>
      </w:pPr>
    </w:p>
    <w:p>
      <w:pPr>
        <w:ind w:right="1520" w:firstLine="576"/>
        <w:spacing w:after="0" w:line="203" w:lineRule="auto"/>
        <w:rPr>
          <w:sz w:val="20"/>
          <w:szCs w:val="20"/>
          <w:color w:val="auto"/>
        </w:rPr>
      </w:pPr>
      <w:r>
        <w:rPr>
          <w:rFonts w:ascii="Times New Roman" w:cs="Times New Roman" w:eastAsia="Times New Roman" w:hAnsi="Times New Roman"/>
          <w:sz w:val="16"/>
          <w:szCs w:val="16"/>
          <w:color w:val="auto"/>
        </w:rPr>
        <w:t>Those who have or had authorized access to our networks, including current and former employees and contractors, may introduce vulnerabilities in our systems by user error or if they are the target of “phishing,” social engineering, bribery, coercion, or harbor malice toward us. We therefore have implemented a security awareness training program. The objective of this program is to inform Carlyle personnel and contractors of their responsibility for information security and includes online training, live awareness events, and phishing simulations. This training is in addition to our existing required onboarding and annual cybersecurity trainings. In addition, trends to outsource additional work, particularly information technology work, introduce heightened risks such as improper access management, near-term productivity loss, and threats arising from contractor machines accessing Carlyle networks.</w:t>
      </w:r>
    </w:p>
    <w:p>
      <w:pPr>
        <w:spacing w:after="0" w:line="207" w:lineRule="auto"/>
        <w:rPr>
          <w:sz w:val="20"/>
          <w:szCs w:val="20"/>
          <w:color w:val="auto"/>
        </w:rPr>
      </w:pPr>
      <w:r>
        <w:rPr>
          <w:rFonts w:ascii="Times New Roman" w:cs="Times New Roman" w:eastAsia="Times New Roman" w:hAnsi="Times New Roman"/>
          <w:sz w:val="16"/>
          <w:szCs w:val="16"/>
          <w:color w:val="auto"/>
        </w:rPr>
        <w:t>We cannot know the potential impact of future cyber incidents, which vary widely in severity and scale, potential new</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facts or circumstances related to previously detected cyber incidents, or previously undetected cyber incidents. There can be no assurance that the various procedures and controls we utilize to mitigate these threats will be sufficient to prevent disruptions to our systems, especially because the cyber -attack techniques used change frequently or are not recognized until launched, and because cyber-attacks can originate from a wide variety of sources. We do not have controls in place for every possible risk, and if any of the controls we put in place do not operate properly or are disabled for any reason or if there is any unauthorized disclosure of data, whether as a result of tampering, a breach of our network security systems, a cyber-incident or attack, or otherwise, we could suffer substantial financial loss, increased costs, a disruption of our businesses, liability to our funds and investors, regulatory investigations, intervention and fines, and reputational damage. The costs related to cyber or other security threats or disruptions may not be fully insured or otherwise indemnified. Significant security incidents at competitor global investment firms in which we are not directly impacted could indirectly lead to increased costs from investor due diligence, revisions to insurance premiums, and more extensive and/or frequent regulatory inspections.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information systems and technology may not continue to be able to accommodate our growth, and the cost of</w:t>
      </w:r>
    </w:p>
    <w:p>
      <w:pPr>
        <w:spacing w:after="0" w:line="203" w:lineRule="auto"/>
        <w:rPr>
          <w:sz w:val="20"/>
          <w:szCs w:val="20"/>
          <w:color w:val="auto"/>
        </w:rPr>
      </w:pPr>
      <w:r>
        <w:rPr>
          <w:rFonts w:ascii="Times New Roman" w:cs="Times New Roman" w:eastAsia="Times New Roman" w:hAnsi="Times New Roman"/>
          <w:sz w:val="16"/>
          <w:szCs w:val="16"/>
          <w:color w:val="auto"/>
        </w:rPr>
        <w:t>maintaining such systems may increase from its current level. For example, our existing systems may not be adequate to</w:t>
      </w:r>
    </w:p>
    <w:p>
      <w:pPr>
        <w:spacing w:after="0" w:line="233" w:lineRule="auto"/>
        <w:rPr>
          <w:sz w:val="20"/>
          <w:szCs w:val="20"/>
          <w:color w:val="auto"/>
        </w:rPr>
      </w:pPr>
      <w:r>
        <w:rPr>
          <w:rFonts w:ascii="Times New Roman" w:cs="Times New Roman" w:eastAsia="Times New Roman" w:hAnsi="Times New Roman"/>
          <w:sz w:val="14"/>
          <w:szCs w:val="14"/>
          <w:color w:val="auto"/>
        </w:rPr>
        <w:t>identify or control the relevant risks in investment strategies employed by new investment funds we may introduce. Any failure</w:t>
      </w:r>
    </w:p>
    <w:p>
      <w:pPr>
        <w:spacing w:after="0" w:line="232" w:lineRule="auto"/>
        <w:rPr>
          <w:sz w:val="20"/>
          <w:szCs w:val="20"/>
          <w:color w:val="auto"/>
        </w:rPr>
      </w:pPr>
      <w:r>
        <w:rPr>
          <w:rFonts w:ascii="Times New Roman" w:cs="Times New Roman" w:eastAsia="Times New Roman" w:hAnsi="Times New Roman"/>
          <w:sz w:val="14"/>
          <w:szCs w:val="14"/>
          <w:color w:val="auto"/>
        </w:rPr>
        <w:t>to accommodate growth, or an increase in costs related to such information systems, could have a material adverse effect on us.</w:t>
      </w:r>
    </w:p>
    <w:p>
      <w:pPr>
        <w:spacing w:after="0" w:line="204" w:lineRule="auto"/>
        <w:rPr>
          <w:sz w:val="20"/>
          <w:szCs w:val="20"/>
          <w:color w:val="auto"/>
        </w:rPr>
      </w:pPr>
      <w:r>
        <w:rPr>
          <w:rFonts w:ascii="Times New Roman" w:cs="Times New Roman" w:eastAsia="Times New Roman" w:hAnsi="Times New Roman"/>
          <w:sz w:val="16"/>
          <w:szCs w:val="16"/>
          <w:color w:val="auto"/>
        </w:rPr>
        <w:t>In addition, we rely on third-party service providers for certain aspects of our business, including for certain information</w:t>
      </w:r>
    </w:p>
    <w:p>
      <w:pPr>
        <w:spacing w:after="0" w:line="203" w:lineRule="auto"/>
        <w:rPr>
          <w:sz w:val="20"/>
          <w:szCs w:val="20"/>
          <w:color w:val="auto"/>
        </w:rPr>
      </w:pPr>
      <w:r>
        <w:rPr>
          <w:rFonts w:ascii="Times New Roman" w:cs="Times New Roman" w:eastAsia="Times New Roman" w:hAnsi="Times New Roman"/>
          <w:sz w:val="16"/>
          <w:szCs w:val="16"/>
          <w:color w:val="auto"/>
        </w:rPr>
        <w:t>systems and technology and administration of our business development companies, registered investment companies,</w:t>
      </w:r>
    </w:p>
    <w:p>
      <w:pPr>
        <w:spacing w:after="0" w:line="233" w:lineRule="auto"/>
        <w:rPr>
          <w:sz w:val="20"/>
          <w:szCs w:val="20"/>
          <w:color w:val="auto"/>
        </w:rPr>
      </w:pPr>
      <w:r>
        <w:rPr>
          <w:rFonts w:ascii="Times New Roman" w:cs="Times New Roman" w:eastAsia="Times New Roman" w:hAnsi="Times New Roman"/>
          <w:sz w:val="14"/>
          <w:szCs w:val="14"/>
          <w:color w:val="auto"/>
        </w:rPr>
        <w:t>structured credit funds, and Global Investment Solutions segment. For example, Carlyle contracts information system backup</w:t>
      </w:r>
    </w:p>
    <w:p>
      <w:pPr>
        <w:spacing w:after="0" w:line="204" w:lineRule="auto"/>
        <w:rPr>
          <w:sz w:val="20"/>
          <w:szCs w:val="20"/>
          <w:color w:val="auto"/>
        </w:rPr>
      </w:pPr>
      <w:r>
        <w:rPr>
          <w:rFonts w:ascii="Times New Roman" w:cs="Times New Roman" w:eastAsia="Times New Roman" w:hAnsi="Times New Roman"/>
          <w:sz w:val="16"/>
          <w:szCs w:val="16"/>
          <w:color w:val="auto"/>
        </w:rPr>
        <w:t>and recovery services to certain companies. These third-party service providers have faced and continue to face ongoing</w:t>
      </w:r>
    </w:p>
    <w:p>
      <w:pPr>
        <w:spacing w:after="0" w:line="232" w:lineRule="auto"/>
        <w:rPr>
          <w:sz w:val="20"/>
          <w:szCs w:val="20"/>
          <w:color w:val="auto"/>
        </w:rPr>
      </w:pPr>
      <w:r>
        <w:rPr>
          <w:rFonts w:ascii="Times New Roman" w:cs="Times New Roman" w:eastAsia="Times New Roman" w:hAnsi="Times New Roman"/>
          <w:sz w:val="14"/>
          <w:szCs w:val="14"/>
          <w:color w:val="auto"/>
        </w:rPr>
        <w:t>cybersecurity threats and, as a result, unauthorized individuals could improperly gain access to our confidential data. Any attack</w:t>
      </w:r>
    </w:p>
    <w:p>
      <w:pPr>
        <w:spacing w:after="0" w:line="204" w:lineRule="auto"/>
        <w:rPr>
          <w:sz w:val="20"/>
          <w:szCs w:val="20"/>
          <w:color w:val="auto"/>
        </w:rPr>
      </w:pPr>
      <w:r>
        <w:rPr>
          <w:rFonts w:ascii="Times New Roman" w:cs="Times New Roman" w:eastAsia="Times New Roman" w:hAnsi="Times New Roman"/>
          <w:sz w:val="16"/>
          <w:szCs w:val="16"/>
          <w:color w:val="auto"/>
        </w:rPr>
        <w:t>on or interruption or deterioration in the performance of these third parties or failures of their information systems and</w:t>
      </w:r>
    </w:p>
    <w:p>
      <w:pPr>
        <w:spacing w:after="0" w:line="203" w:lineRule="auto"/>
        <w:rPr>
          <w:sz w:val="20"/>
          <w:szCs w:val="20"/>
          <w:color w:val="auto"/>
        </w:rPr>
      </w:pPr>
      <w:r>
        <w:rPr>
          <w:rFonts w:ascii="Times New Roman" w:cs="Times New Roman" w:eastAsia="Times New Roman" w:hAnsi="Times New Roman"/>
          <w:sz w:val="16"/>
          <w:szCs w:val="16"/>
          <w:color w:val="auto"/>
        </w:rPr>
        <w:t>technology could also impair the quality of the funds’ operations, affect our reputation, and adversely affect our businesses.</w:t>
      </w:r>
    </w:p>
    <w:p>
      <w:pPr>
        <w:spacing w:after="0" w:line="204" w:lineRule="auto"/>
        <w:rPr>
          <w:sz w:val="20"/>
          <w:szCs w:val="20"/>
          <w:color w:val="auto"/>
        </w:rPr>
      </w:pPr>
      <w:r>
        <w:rPr>
          <w:rFonts w:ascii="Times New Roman" w:cs="Times New Roman" w:eastAsia="Times New Roman" w:hAnsi="Times New Roman"/>
          <w:sz w:val="16"/>
          <w:szCs w:val="16"/>
          <w:color w:val="auto"/>
        </w:rPr>
        <w:t>Our technology, data, and intellectual property and the technology, data, and intellectual property of our portfolio</w:t>
      </w:r>
    </w:p>
    <w:p>
      <w:pPr>
        <w:spacing w:after="0" w:line="232" w:lineRule="auto"/>
        <w:rPr>
          <w:sz w:val="20"/>
          <w:szCs w:val="20"/>
          <w:color w:val="auto"/>
        </w:rPr>
      </w:pPr>
      <w:r>
        <w:rPr>
          <w:rFonts w:ascii="Times New Roman" w:cs="Times New Roman" w:eastAsia="Times New Roman" w:hAnsi="Times New Roman"/>
          <w:sz w:val="14"/>
          <w:szCs w:val="14"/>
          <w:color w:val="auto"/>
        </w:rPr>
        <w:t>companies also are subject to a heightened risk of theft, disruption, or compromise to the extent we and our portfolio companies</w:t>
      </w:r>
    </w:p>
    <w:p>
      <w:pPr>
        <w:spacing w:after="0" w:line="204" w:lineRule="auto"/>
        <w:rPr>
          <w:sz w:val="20"/>
          <w:szCs w:val="20"/>
          <w:color w:val="auto"/>
        </w:rPr>
      </w:pPr>
      <w:r>
        <w:rPr>
          <w:rFonts w:ascii="Times New Roman" w:cs="Times New Roman" w:eastAsia="Times New Roman" w:hAnsi="Times New Roman"/>
          <w:sz w:val="16"/>
          <w:szCs w:val="16"/>
          <w:color w:val="auto"/>
        </w:rPr>
        <w:t>engage in operations outside the United States, particularly in those jurisdictions that do not have comparable levels of</w:t>
      </w:r>
    </w:p>
    <w:p>
      <w:pPr>
        <w:spacing w:after="0" w:line="233" w:lineRule="auto"/>
        <w:rPr>
          <w:sz w:val="20"/>
          <w:szCs w:val="20"/>
          <w:color w:val="auto"/>
        </w:rPr>
      </w:pPr>
      <w:r>
        <w:rPr>
          <w:rFonts w:ascii="Times New Roman" w:cs="Times New Roman" w:eastAsia="Times New Roman" w:hAnsi="Times New Roman"/>
          <w:sz w:val="14"/>
          <w:szCs w:val="14"/>
          <w:color w:val="auto"/>
        </w:rPr>
        <w:t>protection of proprietary information and intangible assets, such as intellectual property and customer information and records.</w:t>
      </w:r>
    </w:p>
    <w:p>
      <w:pPr>
        <w:spacing w:after="0"/>
        <w:rPr>
          <w:sz w:val="20"/>
          <w:szCs w:val="20"/>
          <w:color w:val="auto"/>
        </w:rPr>
      </w:pPr>
      <w:r>
        <w:rPr>
          <w:rFonts w:ascii="Times New Roman" w:cs="Times New Roman" w:eastAsia="Times New Roman" w:hAnsi="Times New Roman"/>
          <w:sz w:val="14"/>
          <w:szCs w:val="14"/>
          <w:color w:val="auto"/>
        </w:rPr>
        <w:t>In addition, we and our portfolio companies may be required to compromise protections or forgo rights to technology, data, and</w:t>
      </w: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color w:val="auto"/>
        </w:rPr>
        <w:t>intellectual property in order to operate in or access markets in a foreign jurisdiction. Any such direct or indirect compromise of</w:t>
      </w:r>
    </w:p>
    <w:p>
      <w:pPr>
        <w:sectPr>
          <w:pgSz w:w="11900" w:h="16840" w:orient="portrait"/>
          <w:cols w:equalWidth="0" w:num="1">
            <w:col w:w="9400"/>
          </w:cols>
          <w:pgMar w:left="1060" w:top="1440" w:right="1440" w:bottom="79"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color w:val="auto"/>
        </w:rPr>
        <w:t>these assets could have a material adverse consequence on us or our investments.</w:t>
      </w:r>
    </w:p>
    <w:p>
      <w:pPr>
        <w:ind w:right="1520"/>
        <w:spacing w:after="0" w:line="203" w:lineRule="auto"/>
        <w:rPr>
          <w:sz w:val="20"/>
          <w:szCs w:val="20"/>
          <w:color w:val="auto"/>
        </w:rPr>
      </w:pPr>
      <w:r>
        <w:rPr>
          <w:rFonts w:ascii="Times New Roman" w:cs="Times New Roman" w:eastAsia="Times New Roman" w:hAnsi="Times New Roman"/>
          <w:sz w:val="16"/>
          <w:szCs w:val="16"/>
          <w:color w:val="auto"/>
        </w:rPr>
        <w:t>A disaster or a disruption in the infrastructure that supports our businesses, including a disruption involving electronic communications or other services used by us or third parties with whom we conduct business, or directly affecting our offices, could have a material adverse impact on our ability to continue to operate our business without interruption. Our disaster recovery programs may not be sufficient to mitigate the harm that may result from such a disaster or disruption. For example, systemic risks such as a massive and prolonged global failure of Amazon or Microsoft’s cloud services could result in cascading catastrophic systems failures. We also may need to commit additional management, operational, and financial resources to identify new professionals to join our firm and to maintain appropriate operational and financial systems to adequately support expansion. The market for hiring talented professionals, including IT, AI, privacy, and cybersecurity professionals, is competitive and we may not be able to grow at the pace we desire.</w:t>
      </w:r>
    </w:p>
    <w:p>
      <w:pPr>
        <w:spacing w:after="0" w:line="4"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In addition, we and our portfolio companies may not be able to obtain or maintain sufficient insurance (including cyber insurance) on commercially reasonable terms or with adequate coverage levels against potential liabilities we may face in connection with potential claims, which could have a material adverse effect on our business. We may face a risk of loss from a variety of claims, including related to securities, antitrust, contracts, cyber incidents, fraud, business interruption, and various other potential claims, whether or not such claims are valid. Insurance and other safeguards may only partially reimburse us for our losses, if at all, and if a claim is successful and exceeds or is not covered by our insurance policies, we may be required to pay a substantial amount in respect of such successful claim. Because of market conditions, premiums, and deductibles for certain insurance policies, particularly directors and officers, cyber, and property insurance, have increased substantially across the industry and may increase further and, in some instances, certain insurance may become unavailable or available only for reduced amounts of coverage. Moreover, the dollar amount of claims and/or the number of claims we experience also may increase at any time, which may have the result of further increasing our costs.</w:t>
      </w:r>
    </w:p>
    <w:p>
      <w:pPr>
        <w:spacing w:after="0" w:line="209" w:lineRule="auto"/>
        <w:rPr>
          <w:sz w:val="20"/>
          <w:szCs w:val="20"/>
          <w:color w:val="auto"/>
        </w:rPr>
      </w:pPr>
      <w:r>
        <w:rPr>
          <w:rFonts w:ascii="Times New Roman" w:cs="Times New Roman" w:eastAsia="Times New Roman" w:hAnsi="Times New Roman"/>
          <w:sz w:val="16"/>
          <w:szCs w:val="16"/>
          <w:color w:val="auto"/>
        </w:rPr>
        <w:t>Certain losses of a catastrophic nature, such as wars, systemic risk associated with cyber-kinetic warfare, earthquakes,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floods, typhoons, pandemics (such as COVID-19), terrorist attacks, or other similar events may be uninsurable or may only be insurable at rates that are so high that maintaining coverage would cause an adverse impact on our business, our investment funds, and their portfolio companies. In general, losses related to terrorism and catastrophic nation -state hacks are becoming harder and more expensive to insure against. In this respect, some insurers are excluding coverage of terrorist acts and catastrophic nation-state hacks from their all-risk policies. In some cases, insurers are offering significantly limited coverage against terrorist acts for additional premiums, which can greatly increase the total cost of casualty insurance for a property. As a result, we, our investment funds, and their portfolio companies may not be insured or fully insured against terrorism or certain other catastrophic losses.</w:t>
      </w:r>
    </w:p>
    <w:p>
      <w:pPr>
        <w:spacing w:after="0" w:line="207" w:lineRule="auto"/>
        <w:rPr>
          <w:sz w:val="20"/>
          <w:szCs w:val="20"/>
          <w:color w:val="auto"/>
        </w:rPr>
      </w:pPr>
      <w:r>
        <w:rPr>
          <w:rFonts w:ascii="Times New Roman" w:cs="Times New Roman" w:eastAsia="Times New Roman" w:hAnsi="Times New Roman"/>
          <w:sz w:val="16"/>
          <w:szCs w:val="16"/>
          <w:color w:val="auto"/>
        </w:rPr>
        <w:t>Our portfolio companies also rely on data and processing systems and the secure processing, storage, and transmission</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of information including highly sensitive financial, medical, and critical infrastructure data. A disruption or compromise of these systems, including from a cyber-attack, cyber -incident, or other outage, could have a material adverse effect on the value of these businesses. Our investment funds may invest in strategic assets having a national or regional profile or in infrastructure assets, the nature of which could expose them to a greater risk of being subject to a terrorist attack or security breach than other assets or businesses. Such an event may have adverse consequences on our investment or assets of the same type or may require portfolio companies to increase preventative security measures or expand insurance coverage.</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the security of our information and technology networks, including personally identifiable information, intellectual property, and proprietary business information, could have a material adverse effect on us.</w:t>
      </w:r>
    </w:p>
    <w:p>
      <w:pPr>
        <w:spacing w:after="0" w:line="204"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our proprietary business</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information and intellectual property, and personally identifiable information of our employees, investors, potential investors, and others, in our data centers, on our networks, on our cloud environments, and with our third -party service providers. Such data may be subject to U.S. and foreign data protection and privacy laws and other contractual obligations. The secure processing, maintenance, and transmission of this information are critical to our operations. Although we take various measures and have made, and will continue to make, significant investments to ensure the integrity of our systems and to safeguard against such failures or security breaches, including mechanisms for governance, strategy, and risk management, there can be no assurance that these measures and investments will provide adequate protection. In this respect, the COVID-19 pandemic exacerbated these risks due to heavier and continued reliance on online communication and a hybrid work environment that continues, which may be less secure, and there has been a significant increase in malicious cyber activity involving ransomware, extortion, and business email compromise. In 2024, Carlyle experienced no material cyber incidents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40"/>
        <w:spacing w:after="0" w:line="203" w:lineRule="auto"/>
        <w:rPr>
          <w:sz w:val="20"/>
          <w:szCs w:val="20"/>
          <w:color w:val="auto"/>
        </w:rPr>
      </w:pPr>
      <w:r>
        <w:rPr>
          <w:rFonts w:ascii="Times New Roman" w:cs="Times New Roman" w:eastAsia="Times New Roman" w:hAnsi="Times New Roman"/>
          <w:sz w:val="16"/>
          <w:szCs w:val="16"/>
          <w:color w:val="auto"/>
        </w:rPr>
        <w:t>responded promptly and effectively to routine events, such as user errors, incidental data leakage, phishing campaigns, system misconfigurations, software failures, and vendor breach notifications, resulting in no material harm to Carlyle.</w:t>
      </w:r>
    </w:p>
    <w:p>
      <w:pPr>
        <w:spacing w:after="0" w:line="1" w:lineRule="exact"/>
        <w:rPr>
          <w:sz w:val="20"/>
          <w:szCs w:val="20"/>
          <w:color w:val="auto"/>
        </w:rPr>
      </w:pPr>
    </w:p>
    <w:p>
      <w:pPr>
        <w:ind w:right="1460"/>
        <w:spacing w:after="0"/>
        <w:rPr>
          <w:sz w:val="20"/>
          <w:szCs w:val="20"/>
          <w:color w:val="auto"/>
        </w:rPr>
      </w:pPr>
      <w:r>
        <w:rPr>
          <w:rFonts w:ascii="Times New Roman" w:cs="Times New Roman" w:eastAsia="Times New Roman" w:hAnsi="Times New Roman"/>
          <w:sz w:val="14"/>
          <w:szCs w:val="14"/>
          <w:color w:val="auto"/>
        </w:rPr>
        <w:t>In addition, we and our employees have been and expect to continue to be the target of fraudulent calls and emails, the subject of impersonations, and fraudulent requests for money, including attempts to redirect material payment amounts to fraudulent bank accounts, and other forms of spam attacks, phishing or other social engineering, supply chain attacks, ransomware, or other events. We also have been, and could in the future be, the target of a type of wire transfer fraud known as business email compromise where a third party seeks to benefit from misrepresenting an employee or fund investor by improperly authorizing a wire transfer or change in wire instructions. While our policies and procedures have been largely effective against this fraud to date, a significant actual or potential theft, loss, corruption, exposure, fraudulent use or misuse of investor,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by the U.S. federal and state governments, the European Union, or other jurisdictions, or by various regulatory organizations or exchanges. Such an event also could disrupt our operations and the services we provide to investors, damage our reputation, result in a loss of a competitive advantage, impact our ability to provide timely and accurate financial data, and cause a loss of confidence in our services and financial reporting, which could adversely affect our business, revenues, competitive position, and investor confidence.</w:t>
      </w:r>
    </w:p>
    <w:p>
      <w:pPr>
        <w:spacing w:after="0" w:line="87"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Use of artificial intelligence technology by us could lead to the exposure of our data or other adverse effects and increase competitive, operational, legal, and regulatory risks in ways that we cannot predict.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use of artificial intelligence and machine learning technologies (collectively, “AI Technologies”), and the overall</w:t>
      </w:r>
    </w:p>
    <w:p>
      <w:pPr>
        <w:sectPr>
          <w:pgSz w:w="11900" w:h="16840" w:orient="portrait"/>
          <w:cols w:equalWidth="0" w:num="1">
            <w:col w:w="9400"/>
          </w:cols>
          <w:pgMar w:left="1060" w:top="547" w:right="1440" w:bottom="0" w:gutter="0" w:footer="0" w:header="0"/>
        </w:sectPr>
      </w:pPr>
    </w:p>
    <w:bookmarkStart w:id="32" w:name="page33"/>
    <w:bookmarkEnd w:id="32"/>
    <w:p>
      <w:pPr>
        <w:ind w:right="1440"/>
        <w:spacing w:after="0"/>
        <w:rPr>
          <w:sz w:val="20"/>
          <w:szCs w:val="20"/>
          <w:color w:val="auto"/>
        </w:rPr>
      </w:pPr>
      <w:r>
        <w:rPr>
          <w:rFonts w:ascii="Times New Roman" w:cs="Times New Roman" w:eastAsia="Times New Roman" w:hAnsi="Times New Roman"/>
          <w:sz w:val="14"/>
          <w:szCs w:val="14"/>
          <w:color w:val="auto"/>
        </w:rPr>
        <w:t>adoption of AI Technologies throughout society, create opportunities for us, our funds, investment vehicles and accounts, and portfolio companies, as well as new and unpredictable competitive, operational, legal, and regulatory risks. We use and plan to expand our use of AI Technologies in connection with our business and investment activities and selections, and our portfolio companies and investments also use such technologies. We and our portfolio companies continue to evaluate the rapidly evolving landscape of AI Technologies. Actual use of AI Technologies varies across our business, funds and portfolio companies, and investments. While we expect, from time to time, to adopt and adjust usage policies and procedures governing the use of AI Technologies by our personnel, there is a risk of misuse of such AI Technologies, failure of such AI Technologies to be available or to perform, or data leakage on account of use of such AI Technologies, any of which could cause a material harm to us or our portfolio companies. In addition, some of our competitors may be more successful than us in the development and implementation of new technologies, including services and platforms based on artificial intelligence, to address investor demands or improve operations. If we are unable to adequately advance our capabilities in these areas, or do so at a slower pace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 others in our industry, we may be at a competitive disadvantage.</w:t>
      </w:r>
    </w:p>
    <w:p>
      <w:pPr>
        <w:spacing w:after="0" w:line="207" w:lineRule="auto"/>
        <w:rPr>
          <w:sz w:val="20"/>
          <w:szCs w:val="20"/>
          <w:color w:val="auto"/>
        </w:rPr>
      </w:pPr>
      <w:r>
        <w:rPr>
          <w:rFonts w:ascii="Times New Roman" w:cs="Times New Roman" w:eastAsia="Times New Roman" w:hAnsi="Times New Roman"/>
          <w:sz w:val="16"/>
          <w:szCs w:val="16"/>
          <w:color w:val="auto"/>
        </w:rPr>
        <w:t>In addition, AI Technologies are reliant on the collection and analysis of large amounts of data and complex</w:t>
      </w:r>
    </w:p>
    <w:p>
      <w:pPr>
        <w:ind w:right="1420"/>
        <w:spacing w:after="0" w:line="232" w:lineRule="auto"/>
        <w:rPr>
          <w:sz w:val="20"/>
          <w:szCs w:val="20"/>
          <w:color w:val="auto"/>
        </w:rPr>
      </w:pPr>
      <w:r>
        <w:rPr>
          <w:rFonts w:ascii="Times New Roman" w:cs="Times New Roman" w:eastAsia="Times New Roman" w:hAnsi="Times New Roman"/>
          <w:sz w:val="14"/>
          <w:szCs w:val="14"/>
          <w:color w:val="auto"/>
        </w:rPr>
        <w:t>algorithms. In this respect, it is not possible or practicable to incorporate all relevant data into models that AI Technologies utilize to operate. Therefore, it is expected that the data in such models will contain a degree of inaccuracy and error, potentially to a material degree, and that such data and algorithms could otherwise be inadequate or flawed, which would likely degrade the effectiveness of AI Technologies and could adversely impact us and our portfolio companies and investments to the extent we or they rely on the work product of such AI Technologies. We expect to be involved in the collection of such data only in the context of limited custom development of tools supporting bespoke AI product developments, but these tools are likely to contain and produce inaccurate information from time to time that will be difficult to identify and mitigate.</w:t>
      </w:r>
    </w:p>
    <w:p>
      <w:pPr>
        <w:spacing w:after="0" w:line="3" w:lineRule="exact"/>
        <w:rPr>
          <w:sz w:val="20"/>
          <w:szCs w:val="20"/>
          <w:color w:val="auto"/>
        </w:rPr>
      </w:pPr>
    </w:p>
    <w:p>
      <w:pPr>
        <w:ind w:right="1440"/>
        <w:spacing w:after="0" w:line="206" w:lineRule="auto"/>
        <w:rPr>
          <w:sz w:val="20"/>
          <w:szCs w:val="20"/>
          <w:color w:val="auto"/>
        </w:rPr>
      </w:pPr>
      <w:r>
        <w:rPr>
          <w:rFonts w:ascii="Times New Roman" w:cs="Times New Roman" w:eastAsia="Times New Roman" w:hAnsi="Times New Roman"/>
          <w:sz w:val="16"/>
          <w:szCs w:val="16"/>
          <w:color w:val="auto"/>
        </w:rPr>
        <w:t>The volume and reliance on data and algorithms also make AI Technologies, and in turn us and our portfolio companies and investments, more susceptible to cybersecurity threats, including data poisoning and the compromise of underlying models, training data, or other intellectual property. We and our portfolio companies and investments could be exposed to risks to the extent third-party service providers, or any counterparties use AI Technologies in their business activities. In this respect, we are not able to control the way third-party products are developed or maintained or the way third-party services utilizing AI Technologies are provided to us. In addition, AI Technologies may be competitive with the business of our portfolio companies or increase the potential for obsolescence of a portfolio company’s products or services (particularly as the capabilities of AI Technologies improve) and, accordingly, the increased adoption and use of AI Technologies may have an adverse effect on our portfolio companies or their respective businesses. See “Risks Related to Our Company—Operational risks (including those associated with our business model), system security risks, breaches of data protection, cyberattacks, or actions or failure to act by our employees or others with authorized access to our networks, including our ability to insure against such risks, may disrupt our businesses, result in losses, or limit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Moreover, use of AI Technologies may include the input of sensitive personal information, trade secrets, and other</w:t>
      </w:r>
    </w:p>
    <w:p>
      <w:pPr>
        <w:ind w:right="1500"/>
        <w:spacing w:after="0" w:line="277" w:lineRule="auto"/>
        <w:rPr>
          <w:sz w:val="20"/>
          <w:szCs w:val="20"/>
          <w:color w:val="auto"/>
        </w:rPr>
      </w:pPr>
      <w:r>
        <w:rPr>
          <w:rFonts w:ascii="Times New Roman" w:cs="Times New Roman" w:eastAsia="Times New Roman" w:hAnsi="Times New Roman"/>
          <w:sz w:val="14"/>
          <w:szCs w:val="14"/>
          <w:color w:val="auto"/>
        </w:rPr>
        <w:t>protected data by both us and third parties and could result in the exposure of such information, for example, by becoming part of a dataset that is generally accessible by AI Technologies applications and users. AI Technologies and their current and</w:t>
      </w:r>
    </w:p>
    <w:p>
      <w:pPr>
        <w:ind w:right="1400"/>
        <w:spacing w:after="0" w:line="232" w:lineRule="auto"/>
        <w:rPr>
          <w:sz w:val="20"/>
          <w:szCs w:val="20"/>
          <w:color w:val="auto"/>
        </w:rPr>
      </w:pPr>
      <w:r>
        <w:rPr>
          <w:rFonts w:ascii="Times New Roman" w:cs="Times New Roman" w:eastAsia="Times New Roman" w:hAnsi="Times New Roman"/>
          <w:sz w:val="14"/>
          <w:szCs w:val="14"/>
          <w:color w:val="auto"/>
        </w:rPr>
        <w:t>potential future applications, including in the private investment and financial sectors, continue to rapidly evolve, and our use of AI Technologies may require compliance with legal or regulatory frameworks that are not fully developed or tested and which may subject us to litigation and regulatory actions. For example, the EU has enacted the AI Act and various other jurisdictions have proposed or finalized laws that create regulatory risk around the use of AI Technologies or threaten to limit or eliminate our ability to use AI Technologies. It is impossible to predict the full extent of current or future risks related thereto.</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Risks Related to Regulation and Litigation</w:t>
      </w:r>
    </w:p>
    <w:p>
      <w:pPr>
        <w:ind w:right="14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Laws and regulations relating to privacy, data protection, data transfers, data localization, and data security worldwide may limit the use and adoption of our services and adversely affect our business.</w:t>
      </w:r>
    </w:p>
    <w:p>
      <w:pPr>
        <w:spacing w:after="0" w:line="204" w:lineRule="auto"/>
        <w:rPr>
          <w:sz w:val="20"/>
          <w:szCs w:val="20"/>
          <w:color w:val="auto"/>
        </w:rPr>
      </w:pPr>
      <w:r>
        <w:rPr>
          <w:rFonts w:ascii="Times New Roman" w:cs="Times New Roman" w:eastAsia="Times New Roman" w:hAnsi="Times New Roman"/>
          <w:sz w:val="16"/>
          <w:szCs w:val="16"/>
          <w:color w:val="auto"/>
        </w:rPr>
        <w:t>Legislators and regulators around the world identify data security and privacy as top priorities. As a result, we are</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subject to an increasing variety of federal, state, local, and international laws, directives, and regulations, as well as contractual obligations, relating to the collection, use, retention, security, disclosure, transfer, and other processing of personal information and other confidential data. The global legal frameworks for privacy, data protection, and data transfers are rapidly evolving and are likely to remain uncertain for the foreseeable future. Certain of our activities may be subject to the General Data Protection Regulation (“GDPR”), U.S. state privacy laws, the Cayman Islands Data Protection Act (“DPA”), the UK Data Protection Act (“UK GDPR”), the Personal Information Protection Law (the “PIPL”), and other existing and developing laws and regulations.</w:t>
      </w:r>
    </w:p>
    <w:p>
      <w:pPr>
        <w:spacing w:after="0" w:line="207" w:lineRule="auto"/>
        <w:rPr>
          <w:sz w:val="20"/>
          <w:szCs w:val="20"/>
          <w:color w:val="auto"/>
        </w:rPr>
      </w:pPr>
      <w:r>
        <w:rPr>
          <w:rFonts w:ascii="Times New Roman" w:cs="Times New Roman" w:eastAsia="Times New Roman" w:hAnsi="Times New Roman"/>
          <w:sz w:val="16"/>
          <w:szCs w:val="16"/>
          <w:color w:val="auto"/>
        </w:rPr>
        <w:t>For example, in March 2022, the SEC issued a proposed rule, which was finalized in July 2023, requiring public</w:t>
      </w:r>
    </w:p>
    <w:p>
      <w:pPr>
        <w:ind w:right="1520"/>
        <w:spacing w:after="0" w:line="232" w:lineRule="auto"/>
        <w:rPr>
          <w:sz w:val="20"/>
          <w:szCs w:val="20"/>
          <w:color w:val="auto"/>
        </w:rPr>
      </w:pPr>
      <w:r>
        <w:rPr>
          <w:rFonts w:ascii="Times New Roman" w:cs="Times New Roman" w:eastAsia="Times New Roman" w:hAnsi="Times New Roman"/>
          <w:sz w:val="14"/>
          <w:szCs w:val="14"/>
          <w:color w:val="auto"/>
        </w:rPr>
        <w:t>companies to report material cybersecurity incidents on Form 8-K and mandate disclosure of cybersecurity risk management, strategy, and governance. In light of these proposed and final rules and the focus of federal regulators on cybersecurity generally in recent years, we expect continued and increasing SEC enforcement activity related to cybersecurity matters, including by the SEC’s Office of Compliance Inspections and Examinations in its examination programs, where cybersecurity has been prioritized with an emphasis on, among other things, proper configuration of network storage devices, information security governance, and policies and procedures related to retail trading information security.</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Although we maintain cybersecurity controls designed to prevent cyber incidents from occurring, no security is impenetrable to cyberattacks. It is possible that current and future cyber enforcement activity will target practices that we believe are compliant, but the SEC deems otherwise. In addition, many jurisdictions in which we operate have other laws and regulations relating to data privacy, cybersecurity, data transfers, data localization, and protection of personal information. Our use of AI technologies also could subject us to additional cybersecurity risks as well as regulatory scrutiny. See “Risk Related to Our Company—Use of artificial intelligence technology by us could lead to the exposure of our data or other adverse effects and increase competitive, operational, legal, and regulatory risks in ways that we cannot predict.” Any regulatory investigation into compliance with these laws and regulations would be costly and could lead to significant fines, service interruption, loss of licensure, and other harms to the Company.</w:t>
      </w:r>
    </w:p>
    <w:p>
      <w:pPr>
        <w:spacing w:after="0" w:line="4" w:lineRule="exact"/>
        <w:rPr>
          <w:sz w:val="20"/>
          <w:szCs w:val="20"/>
          <w:color w:val="auto"/>
        </w:rPr>
      </w:pPr>
    </w:p>
    <w:p>
      <w:pPr>
        <w:ind w:right="1540"/>
        <w:spacing w:after="0" w:line="250" w:lineRule="auto"/>
        <w:rPr>
          <w:sz w:val="20"/>
          <w:szCs w:val="20"/>
          <w:color w:val="auto"/>
        </w:rPr>
      </w:pPr>
      <w:r>
        <w:rPr>
          <w:rFonts w:ascii="Times New Roman" w:cs="Times New Roman" w:eastAsia="Times New Roman" w:hAnsi="Times New Roman"/>
          <w:sz w:val="14"/>
          <w:szCs w:val="14"/>
          <w:color w:val="auto"/>
        </w:rPr>
        <w:t>In the European Economic Area (“EEA”), the General Data Protection Regulation (“GDPR”) establishes requirements applicable to the processing of personal data, affords data protection rights to individuals, and imposes penalties for violations of each EEA state’s law implementing the GDPR, including those that result in serious data breaches. In addition, Brexit took</w:t>
      </w:r>
    </w:p>
    <w:p>
      <w:pPr>
        <w:sectPr>
          <w:pgSz w:w="11900" w:h="16840" w:orient="portrait"/>
          <w:cols w:equalWidth="0" w:num="1">
            <w:col w:w="9400"/>
          </w:cols>
          <w:pgMar w:left="1060" w:top="557" w:right="1440" w:bottom="25" w:gutter="0" w:footer="0" w:header="0"/>
        </w:sectPr>
      </w:pPr>
    </w:p>
    <w:bookmarkStart w:id="33" w:name="page34"/>
    <w:bookmarkEnd w:id="33"/>
    <w:p>
      <w:pPr>
        <w:ind w:right="1440"/>
        <w:spacing w:after="0"/>
        <w:rPr>
          <w:sz w:val="20"/>
          <w:szCs w:val="20"/>
          <w:color w:val="auto"/>
        </w:rPr>
      </w:pPr>
      <w:r>
        <w:rPr>
          <w:rFonts w:ascii="Times New Roman" w:cs="Times New Roman" w:eastAsia="Times New Roman" w:hAnsi="Times New Roman"/>
          <w:sz w:val="14"/>
          <w:szCs w:val="14"/>
          <w:color w:val="auto"/>
        </w:rPr>
        <w:t>effect in January 2020, which has led to the introduction of the UK GDPR and further legislative changes that increased the burden of processing and transferring personal data of EEA and UK residents. To satisfy these requirements, we may need to make use of alternative data transfer mechanisms such as standard contractual clauses approved by the European Commission, or the International Data Transfer Agreement approved by the UK Information Commissioner’s Office (“ICO”). Any future updates to data transfer rules may require us to expend significant resources to update our contractual arrangements and to otherwise comply with such obligations. In particular, while the UK GDPR remains materially equivalent to the GDPR at present, the UK government recently has introduced the draft Data (Use and Access) Bill which, if it becomes law, has the potential to impact the finding by the European Commission on June 28, 2021 that the UK provides adequate protection for personal data transferred from the EEA to UK. This would, in turn, increase our compliance burden with respect to the transfer of personal data between the EEA and UK. We may experience additional costs to comply with these changes, should they take effect and, more generally, we, our third -party service providers, and our customers face the potential for the ICO and regulators in the EEA to apply different standards to the transfer of personal data from the UK and EEA to the United States and other jurisdictions. Moreover, the EEA and the UK are considering or have enacted a variety of other laws and regulations such as the Digital Operational Resilience Act, or DORA (EEA), Online Safety Act (UK), and the Artificial Intelligence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(EEA), all of which could have a material impact on Carlyle and its portfolio companies’ ability to conduct our businesses. We cannot predict how these data protection laws or regulations may develop.</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China continues to strengthen its protections of personal information and tighten control over cross-border data transfers with the implementation of the Cybersecurity Law (“CSL”), Data Security Law (the “DSL”), and the Personal Information Protection Law (the “PIPL”). These laws may affect the business of Carlyle and our portfolio companies in the following ways. First, Carlyle and our portfolio companies may be subject to these laws when conducting business and processing personal information or other data in China. Second, these laws may apply extra -territorially to the processing of personal information and other data originating in China when conducted by Carlyle or our portfolio companies outside of China. Third, these laws may impose new regulations on cross -border data transfers and transfers to third- party vendors conducted by Carlyle and our portfolio companies. The PIPL imposes several conditions that limit certain cross -border transfer of personal information of Chinese residents, while the DSL restricts transfer of “important data” outside of China. The scope of “important data” remains unclear but may include certain data collected and/or generated by Carlyle and our portfolio companies in China, in which case these restrictions could harm Carlyle and its portfolio companies that rely on the ability to freely transfer data outside China. Finally, Carlyle and our portfolio companies may be contractually bound by certain compliance obligations when dealing with counterparties in China as a result of these laws.</w:t>
      </w:r>
    </w:p>
    <w:p>
      <w:pPr>
        <w:spacing w:after="0" w:line="5"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In addition, the National Intelligence Law (“NIL”), coupled with the Espionage Act, allows authorities to request organizations like Carlyle and its portfolio companies to provide necessary support, assistance, and cooperation to the Chinese government. The NIL codifies broad police power, including the ability for intelligence officials to enter relevant restricted areas and venues, learn from and question relevant organizations, and collect relevant files, materials, or items, including electronic information.</w:t>
      </w:r>
    </w:p>
    <w:p>
      <w:pPr>
        <w:spacing w:after="0" w:line="2"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The costs of compliance with, and other burdens imposed by, the PIPL, CSL, DSL, and NIL, along with any other cybersecurity and related laws in China, could have an adverse impact on our business and increase our compliance burden. A determination by the Chinese government that Carlyle or its portfolio companies have violated one of these laws could result in a variety of penalties, including fines of up to 5% of global revenues, warnings, disgorgement, suspension of business activities or licenses, shutting down websites or applications that collect sensitive information, and revocation of business licenses or relevant permits. Certain penalties also can apply to individual staff members responsible for a violation. The lack of clarity and regulatory guidance on some issues adds to the compliance risks. Any inability, or perceived inability, to adequately address privacy and data protection concerns, or comply with Chinese laws, regulations, policies, industry standards, contractual obligations, or other legal obligations could result in additional cost and liability and could damage our reputation and adversely affect our business and the business of our portfolio companies.</w:t>
      </w:r>
    </w:p>
    <w:p>
      <w:pPr>
        <w:spacing w:after="0" w:line="209" w:lineRule="auto"/>
        <w:rPr>
          <w:sz w:val="20"/>
          <w:szCs w:val="20"/>
          <w:color w:val="auto"/>
        </w:rPr>
      </w:pPr>
      <w:r>
        <w:rPr>
          <w:rFonts w:ascii="Times New Roman" w:cs="Times New Roman" w:eastAsia="Times New Roman" w:hAnsi="Times New Roman"/>
          <w:sz w:val="16"/>
          <w:szCs w:val="16"/>
          <w:color w:val="auto"/>
        </w:rPr>
        <w:t>Many other foreign countries and governmental bodies in jurisdictions where Carlyle and our portfolio companies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conduct business have privacy and data protection laws and regulations that are more restrictive than those in the United States. For example, the Hong Kong Personal Data (Privacy) Ordinance, the Australian Privacy Act, and the Brazilian Bank Secrecy Law. Global laws in this area are rapidly increasing in the scope and depth of their requirements, which are often extra-territorial in nature, and global regulators are seeking to enforce their countries’ laws outside of their borders. In addition, we frequently have added privacy compliance requirements as a result of our contractual obligations with counterparties. These legal and contractual obligations heighten our privacy obligations in the ordinary course of conducting our business in the United States and internationally.</w:t>
      </w:r>
    </w:p>
    <w:p>
      <w:pPr>
        <w:spacing w:after="0" w:line="207" w:lineRule="auto"/>
        <w:rPr>
          <w:sz w:val="20"/>
          <w:szCs w:val="20"/>
          <w:color w:val="auto"/>
        </w:rPr>
      </w:pPr>
      <w:r>
        <w:rPr>
          <w:rFonts w:ascii="Times New Roman" w:cs="Times New Roman" w:eastAsia="Times New Roman" w:hAnsi="Times New Roman"/>
          <w:sz w:val="16"/>
          <w:szCs w:val="16"/>
          <w:color w:val="auto"/>
        </w:rPr>
        <w:t>In the United States, federal privacy legislation is being considered by Congress and may lead to significant new</w:t>
      </w:r>
    </w:p>
    <w:p>
      <w:pPr>
        <w:ind w:right="1520"/>
        <w:spacing w:after="0" w:line="232" w:lineRule="auto"/>
        <w:rPr>
          <w:sz w:val="20"/>
          <w:szCs w:val="20"/>
          <w:color w:val="auto"/>
        </w:rPr>
      </w:pPr>
      <w:r>
        <w:rPr>
          <w:rFonts w:ascii="Times New Roman" w:cs="Times New Roman" w:eastAsia="Times New Roman" w:hAnsi="Times New Roman"/>
          <w:sz w:val="14"/>
          <w:szCs w:val="14"/>
          <w:color w:val="auto"/>
        </w:rPr>
        <w:t>obligations for us and our portfolio companies. In the interim, a number of state laws are being passed, such as the California Consumer Privacy Act (“CCPA”), which took effect in January 2020. The CCPA provides for enhanced consumer protections for California residents, a private right of action for certain data breaches that is expected to increase related litigation, and statutory fines for CCPA violations. In addition, the CCPA requires covered companies to provide certain disclosures to California residents and provides such residents ways to opt-out of certain sales of personal information.</w:t>
      </w:r>
    </w:p>
    <w:p>
      <w:pPr>
        <w:spacing w:after="0" w:line="2" w:lineRule="exact"/>
        <w:rPr>
          <w:sz w:val="20"/>
          <w:szCs w:val="20"/>
          <w:color w:val="auto"/>
        </w:rPr>
      </w:pPr>
    </w:p>
    <w:p>
      <w:pPr>
        <w:ind w:right="1440"/>
        <w:spacing w:after="0" w:line="238" w:lineRule="auto"/>
        <w:rPr>
          <w:sz w:val="20"/>
          <w:szCs w:val="20"/>
          <w:color w:val="auto"/>
        </w:rPr>
      </w:pPr>
      <w:r>
        <w:rPr>
          <w:rFonts w:ascii="Times New Roman" w:cs="Times New Roman" w:eastAsia="Times New Roman" w:hAnsi="Times New Roman"/>
          <w:sz w:val="14"/>
          <w:szCs w:val="14"/>
          <w:color w:val="auto"/>
        </w:rPr>
        <w:t>California voters also approved the California Privacy Rights Act (“CPRA”) in November 2020. Effective starting on January 1, 2023, the CPRA made significant modifications to the CCPA, including by expanding rights with respect to certain sensitive personal information and creating a new state agency for enforcing the CCPA. Unless and until a federal privacy law that preempts state laws is enacted, states will continue to shape the data privacy environment nationally. For example, Virginia enacted the Virginia Consumer Data Protection Act (the “VCDPA”), effective January 1, 2023, Colorado passed the Colorado Privacy Rights Act (the “CPA”), effective July 1, 2023, Connecticut passed the Connecticut Data Privacy Act (the “CDPA”), effective July 1, 2023, and Utah passed the Utah Consumer Privacy Act (the “UCPA”), effective December 31, 2023. Several other U.S. states enacted privacy laws in 2023 that will take effect in the years to come and many other proposals exist in states</w:t>
      </w:r>
    </w:p>
    <w:p>
      <w:pPr>
        <w:sectPr>
          <w:pgSz w:w="11900" w:h="16840" w:orient="portrait"/>
          <w:cols w:equalWidth="0" w:num="1">
            <w:col w:w="9400"/>
          </w:cols>
          <w:pgMar w:left="1060" w:top="557" w:right="1440" w:bottom="812"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across the United States that could increase our potential liability, increase our compliance costs, and affect our ability to process personal information integral to our business. Aspects of these state privacy statutes remain unclear, resulting in further legal uncertainty and potentially requiring us to modify our data practices and policies and to incur substantial additional compliance costs.</w:t>
      </w:r>
    </w:p>
    <w:p>
      <w:pPr>
        <w:spacing w:after="0" w:line="205" w:lineRule="auto"/>
        <w:rPr>
          <w:sz w:val="20"/>
          <w:szCs w:val="20"/>
          <w:color w:val="auto"/>
        </w:rPr>
      </w:pPr>
      <w:r>
        <w:rPr>
          <w:rFonts w:ascii="Times New Roman" w:cs="Times New Roman" w:eastAsia="Times New Roman" w:hAnsi="Times New Roman"/>
          <w:sz w:val="16"/>
          <w:szCs w:val="16"/>
          <w:color w:val="auto"/>
        </w:rPr>
        <w:t>Complying with various existing, proposed, or yet to be proposed laws, regulations, amendments to or re-</w:t>
      </w:r>
    </w:p>
    <w:p>
      <w:pPr>
        <w:spacing w:after="0" w:line="1"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Any actual or perceived failure by us to comply with these laws, regulations, or other obligations may lead to significant fines, penalties, regulatory investigations, lawsuits, costs for remediation, and other liabilities.</w:t>
      </w:r>
    </w:p>
    <w:p>
      <w:pPr>
        <w:spacing w:after="0" w:line="3"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For instance, regulatory investigations or penalties related to data protection failures could lead to negative publicity and may cause our investors to lose confidence in the effectiveness of our security measures. Any inability, or perceived inability, to adequately address privacy and data protection concerns, or comply with applicable laws, regulations, policies, industry standards, contractual obligations, or other legal obligations also could result in additional cost and liability and could damage our reputation and adversely affect our business.</w:t>
      </w:r>
    </w:p>
    <w:p>
      <w:pPr>
        <w:spacing w:after="0" w:line="2"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Extensive regulation of our business affects our activities and creates the potential for significant liabilities and penalties, and could result in additional burdens on our business.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Our business is subject to extensive regulation, including periodic examinations, inquiries, and investigations, by governmental agencies and self-regulatory organizations in the jurisdictions in which we operate around the world. These authorities have regulatory powers dealing with many aspects of financial services, including the authority to grant, and in specific circumstances to cancel, permissions to carry on particular activities. Many of these regulators, including U.S. and foreign government agencies and self-regulatory organizations, as well as state securities commissions in the United States, also are empowered to conduct examinations, inquiries, investigations, and administrative proceedings that can result in fines, suspensions of personnel, changes in policies, procedures, or disclosure or other sanctions, including censure, the issuance of cease- and-desist orders, the suspension or expulsion of a broker- dealer or investment adviser from registration or memberships, or the commencement of a civil or criminal lawsuit against us or our personnel.</w:t>
      </w:r>
    </w:p>
    <w:p>
      <w:pPr>
        <w:spacing w:after="0" w:line="208" w:lineRule="auto"/>
        <w:rPr>
          <w:sz w:val="20"/>
          <w:szCs w:val="20"/>
          <w:color w:val="auto"/>
        </w:rPr>
      </w:pPr>
      <w:r>
        <w:rPr>
          <w:rFonts w:ascii="Times New Roman" w:cs="Times New Roman" w:eastAsia="Times New Roman" w:hAnsi="Times New Roman"/>
          <w:sz w:val="16"/>
          <w:szCs w:val="16"/>
          <w:color w:val="auto"/>
        </w:rPr>
        <w:t>In recent years, the financial services industry has been the subject of heightened scrutiny, which is expected to</w:t>
      </w:r>
    </w:p>
    <w:p>
      <w:pPr>
        <w:ind w:right="1420"/>
        <w:spacing w:after="0" w:line="203" w:lineRule="auto"/>
        <w:rPr>
          <w:sz w:val="20"/>
          <w:szCs w:val="20"/>
          <w:color w:val="auto"/>
        </w:rPr>
      </w:pPr>
      <w:r>
        <w:rPr>
          <w:rFonts w:ascii="Times New Roman" w:cs="Times New Roman" w:eastAsia="Times New Roman" w:hAnsi="Times New Roman"/>
          <w:sz w:val="16"/>
          <w:szCs w:val="16"/>
          <w:color w:val="auto"/>
        </w:rPr>
        <w:t>continue to increase, and the SEC has specifically focused on private equity and the private funds industry. In this respect, the SEC’s stated examination priorities and published observations from recent examinations have included, among other things, private equity firms’ collection of fees and allocation of expenses, their marketing and valuation practices, allocation of investment opportunities, investor side letter terms, consistency of firms’ practices with disclosures, handling of material non-public information and insider trading, disclosures of investment risk, conflicts of interest, adherence to notice, consent and other contractual requirements regarding limited partnership advisory committees and compliance policies, and procedures with respect to conflicts of interest. The SEC’s stated examination priorities also have included investment advisers’ and funds’ compliance with recently adopted rules, including those referenced herein. Statements by SEC staff in 2024 and the SEC’s enforcement and rulemaking activities reflected a focus on certain of these topics and on bolstering transparency in the private funds industry, including with respect to fees earned and expenses charged by advisers.</w:t>
      </w:r>
    </w:p>
    <w:p>
      <w:pPr>
        <w:spacing w:after="0" w:line="209" w:lineRule="auto"/>
        <w:rPr>
          <w:sz w:val="20"/>
          <w:szCs w:val="20"/>
          <w:color w:val="auto"/>
        </w:rPr>
      </w:pPr>
      <w:r>
        <w:rPr>
          <w:rFonts w:ascii="Times New Roman" w:cs="Times New Roman" w:eastAsia="Times New Roman" w:hAnsi="Times New Roman"/>
          <w:sz w:val="16"/>
          <w:szCs w:val="16"/>
          <w:color w:val="auto"/>
        </w:rPr>
        <w:t>In addition, the SEC has proposed and, in some instances, adopted a number of rules related to private funds and</w:t>
      </w:r>
    </w:p>
    <w:p>
      <w:pPr>
        <w:ind w:right="1420"/>
        <w:spacing w:after="0" w:line="203" w:lineRule="auto"/>
        <w:rPr>
          <w:sz w:val="20"/>
          <w:szCs w:val="20"/>
          <w:color w:val="auto"/>
        </w:rPr>
      </w:pPr>
      <w:r>
        <w:rPr>
          <w:rFonts w:ascii="Times New Roman" w:cs="Times New Roman" w:eastAsia="Times New Roman" w:hAnsi="Times New Roman"/>
          <w:sz w:val="16"/>
          <w:szCs w:val="16"/>
          <w:color w:val="auto"/>
        </w:rPr>
        <w:t>private fund advisors that impact our business and operations. Many of these rules have faced legal challenges, and the future of several proposed rules is uncertain given the new administration. For example, on June 5, 2024, the U.S. Court of Appeals for the Fifth Circuit vacated rules and amendments to existing rules under the Investment Advisers Act of 1940, which were adopted by the SEC in August 2023 (collectively, the “Private Fund Adviser Rules”). The SEC did not seek reconsideration of the Fifth Circuit’s June ruling by the July 24, 2024 deadline, and the future of the Private Fund Adviser Rules is in doubt. Moreover, the SEC (in May 2023) and the SEC and CFTC jointly (in February 2024) adopted changes to Form PF, a confidential form relating to reporting by private fund advisers and intended to be used by the Financial Stability Oversight Counsel (“FSOC”) for systemic risk oversight purposes, that expand existing reporting obligations. Such increased obligations may increase our costs, including if we are required to spend more time, hire additional personnel, or buy new technology to comply effectively.</w:t>
      </w:r>
    </w:p>
    <w:p>
      <w:pPr>
        <w:spacing w:after="0" w:line="209" w:lineRule="auto"/>
        <w:rPr>
          <w:sz w:val="20"/>
          <w:szCs w:val="20"/>
          <w:color w:val="auto"/>
        </w:rPr>
      </w:pPr>
      <w:r>
        <w:rPr>
          <w:rFonts w:ascii="Times New Roman" w:cs="Times New Roman" w:eastAsia="Times New Roman" w:hAnsi="Times New Roman"/>
          <w:sz w:val="16"/>
          <w:szCs w:val="16"/>
          <w:color w:val="auto"/>
        </w:rPr>
        <w:t>The SEC also has proposed several other rules that may impact our operations. For example, an October 2022 SEC</w:t>
      </w:r>
    </w:p>
    <w:p>
      <w:pPr>
        <w:spacing w:after="0"/>
        <w:rPr>
          <w:sz w:val="20"/>
          <w:szCs w:val="20"/>
          <w:color w:val="auto"/>
        </w:rPr>
      </w:pPr>
      <w:r>
        <w:rPr>
          <w:rFonts w:ascii="Times New Roman" w:cs="Times New Roman" w:eastAsia="Times New Roman" w:hAnsi="Times New Roman"/>
          <w:sz w:val="14"/>
          <w:szCs w:val="14"/>
          <w:color w:val="auto"/>
        </w:rPr>
        <w:t>proposal would, if adopted, impose substantial obligations on registered investment advisers to conduct initial due diligence and</w:t>
      </w:r>
    </w:p>
    <w:p>
      <w:pPr>
        <w:sectPr>
          <w:pgSz w:w="11900" w:h="16840" w:orient="portrait"/>
          <w:cols w:equalWidth="0" w:num="1">
            <w:col w:w="9400"/>
          </w:cols>
          <w:pgMar w:left="1060" w:top="144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43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ongoing monitoring of a broad universe of service providers that we may use in our investment advisory business. If adopted, these new rules could significantly increase compliance burdens and associated regulatory costs and complexity for us and enhance the risk of regulatory action, which could adversely impact our reputation and our fundraising efforts, including as a result of regulatory sanctions. Moreover, in February 2023, the SEC proposed extensive amendments to the custody rule for SEC-registered investment advisers, which would apply to all assets of an advisory client, including real estate and other assets that generally are not considered securities under the federal securities laws. If adopted, the amendments would require, among other things, that qualified custodians maintain possession of and control of assets of advisory clients and participate in or effectuate any changes of such assets’ beneficial ownership. There is a lack of clarity as to whether all assets held by our advisory clients can be custodied in a manner that satisfies the proposed rule or whether existing qualified custodians will provide custodial services for such assets at a reasonable cost or at all. If adopted, these amendments could expose our registered investment advisers to additional regulatory liability, increase compliance costs, and impose limitations on our investing activities. The future of these proposed rules is in doubt, particularly given the successful legal challenge to the Private Fund Adviser Rules and new administration.</w:t>
      </w:r>
    </w:p>
    <w:p>
      <w:pPr>
        <w:spacing w:after="0" w:line="210" w:lineRule="auto"/>
        <w:rPr>
          <w:sz w:val="20"/>
          <w:szCs w:val="20"/>
          <w:color w:val="auto"/>
        </w:rPr>
      </w:pPr>
      <w:r>
        <w:rPr>
          <w:rFonts w:ascii="Times New Roman" w:cs="Times New Roman" w:eastAsia="Times New Roman" w:hAnsi="Times New Roman"/>
          <w:sz w:val="16"/>
          <w:szCs w:val="16"/>
          <w:color w:val="auto"/>
        </w:rPr>
        <w:t>Moreover, we regularly are subject to requests for information, inquiries, and informal or formal investigations by the</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SEC and other regulatory authorities, with which we routinely cooperate, and which have included review of historical practices that were previously examined. Such investigations previously have and may in the future result in penalties and other sanctions. SEC actions and initiatives can have an adverse effect on our financial results, including as a result of the imposition of a sanction, a limitation on our or our personnel’s activities, or changing our historic practices.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clients.</w:t>
      </w:r>
    </w:p>
    <w:p>
      <w:pPr>
        <w:spacing w:after="0" w:line="3"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Certain states and other regulatory authorities have required investment managers to register as lobbyists, and we have registered as such in a number of jurisdictions. Other states or municipalities may consider similar legislation or adopt regulations or procedures with similar effect. These registration requirements impose significant compliance obligations on registered lobbyists and their employers, which may include annual registration fees, periodic disclosure reports, and internal recordkeeping.</w:t>
      </w:r>
    </w:p>
    <w:p>
      <w:pPr>
        <w:spacing w:after="0" w:line="2"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Financial regulations and changes thereto in the United States could adversely affect our business and the possibility of increased regulatory focus could result in additional burdens and expenses on our business.</w:t>
      </w:r>
    </w:p>
    <w:p>
      <w:pPr>
        <w:spacing w:after="0" w:line="204"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(the “Dodd-Frank Act”), enacted in 2010, has</w:t>
      </w:r>
    </w:p>
    <w:p>
      <w:pPr>
        <w:spacing w:after="0" w:line="1" w:lineRule="exact"/>
        <w:rPr>
          <w:sz w:val="20"/>
          <w:szCs w:val="20"/>
          <w:color w:val="auto"/>
        </w:rPr>
      </w:pPr>
    </w:p>
    <w:p>
      <w:pPr>
        <w:jc w:val="both"/>
        <w:ind w:right="1580"/>
        <w:spacing w:after="0" w:line="232" w:lineRule="auto"/>
        <w:rPr>
          <w:sz w:val="20"/>
          <w:szCs w:val="20"/>
          <w:color w:val="auto"/>
        </w:rPr>
      </w:pPr>
      <w:r>
        <w:rPr>
          <w:rFonts w:ascii="Times New Roman" w:cs="Times New Roman" w:eastAsia="Times New Roman" w:hAnsi="Times New Roman"/>
          <w:sz w:val="14"/>
          <w:szCs w:val="14"/>
          <w:color w:val="auto"/>
        </w:rPr>
        <w:t>imposed significant changes on almost every aspect of the U.S. financial services industry, including aspects of our business. The Dodd-Frank Act added section 13 to the BHC Act, commonly referred to as the “Volcker Rule,” which (together with its implementing regulations), among other things, generally prohibits, subject to certain exceptions, any “banking</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entity” (generally defined as (i) any insured depository institution, subject to certain exceptions including for a depository institution that (together with every company that controls it) has $10 billion or less in total consolidated assets and trading assets and liabilities that are less than 5% of total consolidated assets, (ii) any company that controls such an institution, (iii) a non-U.S. bank that is treated as a bank holding company for purposes of U.S. banking law, and (iv) any affiliate or subsidiary of the foregoing entities) from sponsoring, acquiring, or retaining an ownership interest in a fund that is not subject to the provisions of the 1940 Act in reliance solely upon either Section 3(c)(1) or Section 3(c)(7) of the 1940 Act. The Volcker Rule also authorizes the imposition of additional capital requirements and certain other quantitative limits on such activities engaged in by certain nonbank financial companies that have been determined to be systemically important by the Financial Stability Oversight Council (“FSOC”) and subject to supervision by the Federal Reserve, although such entities are not expressly prohibited from sponsoring or investing in such funds.</w:t>
      </w:r>
    </w:p>
    <w:p>
      <w:pPr>
        <w:spacing w:after="0" w:line="4" w:lineRule="exact"/>
        <w:rPr>
          <w:sz w:val="20"/>
          <w:szCs w:val="20"/>
          <w:color w:val="auto"/>
        </w:rPr>
      </w:pPr>
    </w:p>
    <w:p>
      <w:pPr>
        <w:ind w:right="1560"/>
        <w:spacing w:after="0" w:line="232" w:lineRule="auto"/>
        <w:rPr>
          <w:sz w:val="20"/>
          <w:szCs w:val="20"/>
          <w:color w:val="auto"/>
        </w:rPr>
      </w:pPr>
      <w:r>
        <w:rPr>
          <w:rFonts w:ascii="Times New Roman" w:cs="Times New Roman" w:eastAsia="Times New Roman" w:hAnsi="Times New Roman"/>
          <w:sz w:val="14"/>
          <w:szCs w:val="14"/>
          <w:color w:val="auto"/>
        </w:rPr>
        <w:t>In addition, the Dodd-Frank Act imposes a regulatory structure on the “swaps” market, including requirements for clearing, exchange trading, capital, margin, reporting, and recordkeeping. The CFTC has finalized many rules applicable to swap market participants, including business conduct standards for swap dealers, reporting and recordkeeping, mandatory clearing for certain swaps, exchange trading rules applicable to swaps, initial and variation margin requirements for uncleared swap transactions, and regulatory requirements for cross -border swap activities. These requirements could reduce market liquidity and adversely affect our business, including by reducing our ability to enter swaps.</w:t>
      </w:r>
    </w:p>
    <w:p>
      <w:pPr>
        <w:spacing w:after="0" w:line="3" w:lineRule="exact"/>
        <w:rPr>
          <w:sz w:val="20"/>
          <w:szCs w:val="20"/>
          <w:color w:val="auto"/>
        </w:rPr>
      </w:pPr>
    </w:p>
    <w:p>
      <w:pPr>
        <w:ind w:right="1580"/>
        <w:spacing w:after="0" w:line="244" w:lineRule="auto"/>
        <w:rPr>
          <w:sz w:val="20"/>
          <w:szCs w:val="20"/>
          <w:color w:val="auto"/>
        </w:rPr>
      </w:pPr>
      <w:r>
        <w:rPr>
          <w:rFonts w:ascii="Times New Roman" w:cs="Times New Roman" w:eastAsia="Times New Roman" w:hAnsi="Times New Roman"/>
          <w:sz w:val="14"/>
          <w:szCs w:val="14"/>
          <w:color w:val="auto"/>
        </w:rPr>
        <w:t>The Dodd-Frank Act also authorizes federal regulatory agencies to review and, in certain cases, prohibit compensation arrangements at financial institutions that give employees incentives to engage in conduct deemed to encourage inappropriate risk taking by covered financial institutions. On May 16, 2016, the SEC and other federal regulatory agencies proposed a rule that would apply requirements on incentive- based compensation arrangements of “covered financial institutions,”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certain registered investment advisers and broker-dealers above a specific asset threshold. This rule, if adopted, could limit our ability to recruit and retain investment professionals and senior management executives. However, the proposed rule remains pending and may be subject to significant modifications. In addition, as directed under the Dodd-Frank Act, on October 26, 2022, the SEC adopted final rules under which companies listed on the NYSE and Nasdaq are required to adopt “clawback” policies that mandate recovery by companies of certain incentive-based compensation awarded to current and former executives in the event of an accounting restatement.</w:t>
      </w:r>
    </w:p>
    <w:p>
      <w:pPr>
        <w:spacing w:after="0" w:line="3" w:lineRule="exact"/>
        <w:rPr>
          <w:sz w:val="20"/>
          <w:szCs w:val="20"/>
          <w:color w:val="auto"/>
        </w:rPr>
      </w:pPr>
    </w:p>
    <w:p>
      <w:pPr>
        <w:ind w:right="1400"/>
        <w:spacing w:after="0" w:line="239" w:lineRule="auto"/>
        <w:rPr>
          <w:sz w:val="20"/>
          <w:szCs w:val="20"/>
          <w:color w:val="auto"/>
        </w:rPr>
      </w:pPr>
      <w:r>
        <w:rPr>
          <w:rFonts w:ascii="Times New Roman" w:cs="Times New Roman" w:eastAsia="Times New Roman" w:hAnsi="Times New Roman"/>
          <w:sz w:val="14"/>
          <w:szCs w:val="14"/>
          <w:color w:val="auto"/>
        </w:rPr>
        <w:t>Our investment adviser affiliates and subsidiaries are required to comply with a variety of periodic reporting and compliance-related obligations under applicable federal and state securities laws (including, without limitation, the obligation of such investment adviser and other affiliates to make regulatory filings with respect to the funds and their activities under the Advisers Act (including, without limitation, Form ADV or Form PF)). Relatedly, we may be required to provide certain information regarding some of the investors in our funds to regulatory agencies and bodies to comply with applicable laws and regulations, including the U.S. Foreign Corrupt Practices Act, as amended (“FCPA”) and Freedom of Information Act. In light</w:t>
      </w:r>
    </w:p>
    <w:p>
      <w:pPr>
        <w:sectPr>
          <w:pgSz w:w="11900" w:h="16840" w:orient="portrait"/>
          <w:cols w:equalWidth="0" w:num="1">
            <w:col w:w="9400"/>
          </w:cols>
          <w:pgMar w:left="1060" w:top="1171" w:right="1440" w:bottom="71" w:gutter="0" w:footer="0" w:header="0"/>
        </w:sectPr>
      </w:pPr>
    </w:p>
    <w:bookmarkStart w:id="36" w:name="page37"/>
    <w:bookmarkEnd w:id="36"/>
    <w:p>
      <w:pPr>
        <w:ind w:right="1440"/>
        <w:spacing w:after="0" w:line="205" w:lineRule="auto"/>
        <w:rPr>
          <w:sz w:val="20"/>
          <w:szCs w:val="20"/>
          <w:color w:val="auto"/>
        </w:rPr>
      </w:pPr>
      <w:r>
        <w:rPr>
          <w:rFonts w:ascii="Times New Roman" w:cs="Times New Roman" w:eastAsia="Times New Roman" w:hAnsi="Times New Roman"/>
          <w:sz w:val="16"/>
          <w:szCs w:val="16"/>
          <w:color w:val="auto"/>
        </w:rPr>
        <w:t>of the heightened regulatory environment in which we operate and the ever -increasing regulations applicable to private investment funds and their investment advisors, it has become increasingly expensive and time-consuming for us and the funds to comply with such regulatory reporting and compliance-related obligations. For example, Form PF requires our investment advisers report financial and other information regarding the funds and their investment and, in May 2023 and February 2024, the SEC adopted amendments to Form PF that represent a significant expansion of existing reporting obligations that are expected to increase the scope and frequency of reporting in connection with the funds and their activities. In addition, in 2023, the SEC adopted new or amended rules that accelerate the filing deadlines for companies to make filings of beneficial ownership and expand the scope of instances where such a filing is required, require certain asset managers to file with the SEC on a monthly basis certain data related to their short sales activity, and require annual reporting of how they voted on say -on-pay proxy matters. Similarly, Rule 206(4)-1 under the Advisers Act, which became fully effective in late 2022, modified the advertising rules that SEC-registered investment advisers are subject to, and among other things, enhanced certain disclosure and substantiation requirements.</w:t>
      </w:r>
    </w:p>
    <w:p>
      <w:pPr>
        <w:spacing w:after="0" w:line="5"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The SEC has adopted certain rules and proposed multiple other rules that will impact the business operations and compliance obligations of Carlyle’s investment advisers and funds, including under the Advisers Act in relation to the safeguarding of client assets, cybersecurity risk governance, the outsourcing of certain functions to service providers, changes to the SEC’s privacy rule (which were adopted in May 2024 and will be effective as of December 2025), and the use of predictive data such as through the use of AI technologies and associated conflicts of interest. See “Risks Related to Regulation and Litigation—Laws and regulations relating to privacy, data protection, data transfers, data localization, and data security worldwide may limit the use and adoption of our services and adversely affect our business.” It is unclear whether the SEC will continue to pursue these rulemakings following the appointment of a new SEC chairperson, and the SEC’s regulatory priorities under new leadership and under the new administration remain uncertain.</w:t>
      </w:r>
    </w:p>
    <w:p>
      <w:pPr>
        <w:spacing w:after="0" w:line="208" w:lineRule="auto"/>
        <w:rPr>
          <w:sz w:val="20"/>
          <w:szCs w:val="20"/>
          <w:color w:val="auto"/>
        </w:rPr>
      </w:pPr>
      <w:r>
        <w:rPr>
          <w:rFonts w:ascii="Times New Roman" w:cs="Times New Roman" w:eastAsia="Times New Roman" w:hAnsi="Times New Roman"/>
          <w:sz w:val="16"/>
          <w:szCs w:val="16"/>
          <w:color w:val="auto"/>
        </w:rPr>
        <w:t>The SEC has proposed numerous, and adopted certain, new and amended rules that would apply to market participants</w:t>
      </w:r>
    </w:p>
    <w:p>
      <w:pPr>
        <w:ind w:right="1480"/>
        <w:spacing w:after="0" w:line="203" w:lineRule="auto"/>
        <w:rPr>
          <w:sz w:val="20"/>
          <w:szCs w:val="20"/>
          <w:color w:val="auto"/>
        </w:rPr>
      </w:pPr>
      <w:r>
        <w:rPr>
          <w:rFonts w:ascii="Times New Roman" w:cs="Times New Roman" w:eastAsia="Times New Roman" w:hAnsi="Times New Roman"/>
          <w:sz w:val="16"/>
          <w:szCs w:val="16"/>
          <w:color w:val="auto"/>
        </w:rPr>
        <w:t>that Carlyle regularly interacts with, including with respect to broker-dealers’ execution of trades and clearance and settlement of trades. These rules could affect Carlyle’s business by making it more costly financially or otherwise burdensome for Carlyle to engage in certain business transactions. The SEC also has adopted or proposed numerous new and amended rules that would apply to market participants that we regularly interact with as counterparties or to our other business activities, including broker-dealers’ execution of trades and clearance and settlement of trades. These rules could affect our business by making it more costly financially or burdensome for us to engage in certain business transactions.</w:t>
      </w:r>
    </w:p>
    <w:p>
      <w:pPr>
        <w:spacing w:after="0" w:line="3" w:lineRule="exact"/>
        <w:rPr>
          <w:sz w:val="20"/>
          <w:szCs w:val="20"/>
          <w:color w:val="auto"/>
        </w:rPr>
      </w:pPr>
    </w:p>
    <w:p>
      <w:pPr>
        <w:ind w:right="1640"/>
        <w:spacing w:after="0" w:line="254" w:lineRule="auto"/>
        <w:rPr>
          <w:sz w:val="20"/>
          <w:szCs w:val="20"/>
          <w:color w:val="auto"/>
        </w:rPr>
      </w:pPr>
      <w:r>
        <w:rPr>
          <w:rFonts w:ascii="Times New Roman" w:cs="Times New Roman" w:eastAsia="Times New Roman" w:hAnsi="Times New Roman"/>
          <w:sz w:val="14"/>
          <w:szCs w:val="14"/>
          <w:color w:val="auto"/>
        </w:rPr>
        <w:t>In September 2023, the SEC adopted amendments to its fund names rule to require that funds subject to the Investment Company Act of 1940 whose names suggest that its investments incorporate one or more ESG factors must adopt a policy to</w:t>
      </w:r>
    </w:p>
    <w:p>
      <w:pPr>
        <w:ind w:right="1660"/>
        <w:spacing w:after="0" w:line="223" w:lineRule="auto"/>
        <w:rPr>
          <w:sz w:val="20"/>
          <w:szCs w:val="20"/>
          <w:color w:val="auto"/>
        </w:rPr>
      </w:pPr>
      <w:r>
        <w:rPr>
          <w:rFonts w:ascii="Times New Roman" w:cs="Times New Roman" w:eastAsia="Times New Roman" w:hAnsi="Times New Roman"/>
          <w:sz w:val="16"/>
          <w:szCs w:val="16"/>
          <w:color w:val="auto"/>
        </w:rPr>
        <w:t>invest at least 80% of their assets consistently with this policy. The compliance date for this amendment to the names rule is December 2025.</w:t>
      </w:r>
    </w:p>
    <w:p>
      <w:pPr>
        <w:spacing w:after="0" w:line="1"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In August 2024, FinCEN issued a final rule that requires certain investment advisers, including registered investment adviser, to, among other measures, adopt an anti -money laundering and countering the financing of terrorism (“AML/CFT”) program and file certain reports, such as suspicious activity reports, with FinCEN and to maintain additional records related to such activities. The SEC has been delegated responsibility for examining investment advisers’ compliance with these requirements. The rule, which is set to go into effect in January 2026, will likely impose additional regulatory obligations related to AML/CFT on us.</w:t>
      </w:r>
    </w:p>
    <w:p>
      <w:pPr>
        <w:spacing w:after="0" w:line="3" w:lineRule="exact"/>
        <w:rPr>
          <w:sz w:val="20"/>
          <w:szCs w:val="20"/>
          <w:color w:val="auto"/>
        </w:rPr>
      </w:pPr>
    </w:p>
    <w:p>
      <w:pPr>
        <w:ind w:right="2180"/>
        <w:spacing w:after="0" w:line="268" w:lineRule="auto"/>
        <w:rPr>
          <w:sz w:val="20"/>
          <w:szCs w:val="20"/>
          <w:color w:val="auto"/>
        </w:rPr>
      </w:pPr>
      <w:r>
        <w:rPr>
          <w:rFonts w:ascii="Times New Roman" w:cs="Times New Roman" w:eastAsia="Times New Roman" w:hAnsi="Times New Roman"/>
          <w:sz w:val="14"/>
          <w:szCs w:val="14"/>
          <w:color w:val="auto"/>
        </w:rPr>
        <w:t>As part of a sweep investigation of financial services and investment advisory firms, in October 2022, the Company received from the SEC a request for information related to the preservation of certain types of electronic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color w:val="auto"/>
        </w:rPr>
        <w:t>communications (e.g., text messages and messages on WhatsApp, WeChat, and similar applications) as part of the Company’s books and records. On January 13, 2025, the SEC announced a settlement with several of the firms that were part of the sweep investigation, including the Company. Under the settlement, the Company paid a civil penalty of $8.5 million and agreed to implement certain limited remedial measures, for failure to maintain and preserve such electronic communications in its books and records under the Advisers Act. See “Risks Related to Regulation and Litigation—Extensive regulation of our business affects our activities and creates the potential for significant liabilities and penalties, and could result in additional burdens on our business.”</w:t>
      </w:r>
    </w:p>
    <w:p>
      <w:pPr>
        <w:spacing w:after="0" w:line="3" w:lineRule="exact"/>
        <w:rPr>
          <w:sz w:val="20"/>
          <w:szCs w:val="20"/>
          <w:color w:val="auto"/>
        </w:rPr>
      </w:pPr>
    </w:p>
    <w:p>
      <w:pPr>
        <w:ind w:right="1400"/>
        <w:spacing w:after="0"/>
        <w:rPr>
          <w:sz w:val="20"/>
          <w:szCs w:val="20"/>
          <w:color w:val="auto"/>
        </w:rPr>
      </w:pPr>
      <w:r>
        <w:rPr>
          <w:rFonts w:ascii="Times New Roman" w:cs="Times New Roman" w:eastAsia="Times New Roman" w:hAnsi="Times New Roman"/>
          <w:sz w:val="14"/>
          <w:szCs w:val="14"/>
          <w:color w:val="auto"/>
        </w:rPr>
        <w:t>Various federal, state and local agencies have in the past and may in the future focus on the role of placement agents, finders, and other similar service providers in the context of investment by public pension plans and other similar entities, including investigations and requests for information and, in connection therewith, new and/or proposed rules and regulations in this arena may increase the possibility that our investment advisers and their affiliates may be exposed to claims and/or actions that could require an investor to withdraw from a fund. In addition, our investment advisers are subject to Rule 206(4)-5 under the Advisers Act regarding “pay to play” practices by investment advisers involving campaign contributions and other payments to government clients and elected officials able to exert influence on such clients. Our broker-dealer entities are subject to similar regulations promulgated by FINRA. Any failure on our part to comply with these rules (or similar state or other rules adopted now or in the future) could expose us to significant penalties, loss of fees, and reputational damage. There has been growing regulatory interest, particularly in the U.S., UK, and EU (which may be looked to as models</w:t>
      </w:r>
    </w:p>
    <w:p>
      <w:pPr>
        <w:spacing w:after="0" w:line="112"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in growth markets), in improving transparency around how asset managers and issuers define and measure ESG performance, in order to allow investors to validate and better understand sustainability claims. We, our affiliates, our funds, and their portfolio companies may be subject to disclosure laws and regulations related to a range of sustainability matters, including, but not limited to, greenhouse gas emissions; climate change risks; and human rights matters. Impacts may include those connected with an entity’s own operations and upstream and downstream value chain, including through its products and services, as well as through its business relationships (the “Sustainability Disclosure Laws”). Compliance with the Sustainability Disclosure Laws may require the implementation of or changes to systems and procedures for the collection and processing of relevant data and related internal and external controls, changes to management and/or operational obligations, and dedication of substantial time and financial resources. The compliance burden and related costs may increase over time. Failure to comply with applicable Sustainability Disclosure Laws may lead to investigations and audits, fines, other enforcement action or liabilities, or reputational damage. For example, the SEC established a Climate and ESG Enforcement Task Force in March 2021 and has brought enforcement actions against a few investment advisers alleging inadequate disclosures and policies and procedures related to ESG; and while there is still uncertainty as to the SEC’s focus over the next few years, enforcement activity in this area may continue in the future. At the same time, regulators and other stakeholders have increasingly expressed</w:t>
      </w:r>
    </w:p>
    <w:p>
      <w:pPr>
        <w:sectPr>
          <w:pgSz w:w="11900" w:h="16840" w:orient="portrait"/>
          <w:cols w:equalWidth="0" w:num="1">
            <w:col w:w="9400"/>
          </w:cols>
          <w:pgMar w:left="1060" w:top="557" w:right="1440" w:bottom="128" w:gutter="0" w:footer="0" w:header="0"/>
        </w:sectPr>
      </w:pPr>
    </w:p>
    <w:bookmarkStart w:id="37" w:name="page38"/>
    <w:bookmarkEnd w:id="37"/>
    <w:p>
      <w:pPr>
        <w:ind w:right="1420"/>
        <w:spacing w:after="0" w:line="206" w:lineRule="auto"/>
        <w:rPr>
          <w:sz w:val="20"/>
          <w:szCs w:val="20"/>
          <w:color w:val="auto"/>
        </w:rPr>
      </w:pPr>
      <w:r>
        <w:rPr>
          <w:rFonts w:ascii="Times New Roman" w:cs="Times New Roman" w:eastAsia="Times New Roman" w:hAnsi="Times New Roman"/>
          <w:sz w:val="16"/>
          <w:szCs w:val="16"/>
          <w:color w:val="auto"/>
        </w:rPr>
        <w:t>or pursued opposing views, legislation, and investment expectations with respect to sustainability and diversity, equity, and inclusion initiatives, including the enactment or proposal of “anti- ESG” and “anti -DEI” legislation or policies. If our practices do not meet evolving stakeholders’ expectations and standards, or if we are unable to satisfy all stakeholders, our reputation, ability to attract or retain employees, financial condition, results of operations, and cash flows could be negatively impacted. We, together with our affiliates, funds, and their portfolio companies, could become subject to additional regulation and/or risk of regulatory scrutiny in the future, and we cannot guarantee that our current approach will meet future regulatory requirements, reporting frameworks, or best practices, increasing the risk of related enforcement. Compliance with new requirements also may lead to increased management burdens and costs for us.</w:t>
      </w:r>
    </w:p>
    <w:p>
      <w:pPr>
        <w:spacing w:after="0" w:line="207" w:lineRule="auto"/>
        <w:rPr>
          <w:sz w:val="20"/>
          <w:szCs w:val="20"/>
          <w:color w:val="auto"/>
        </w:rPr>
      </w:pPr>
      <w:r>
        <w:rPr>
          <w:rFonts w:ascii="Times New Roman" w:cs="Times New Roman" w:eastAsia="Times New Roman" w:hAnsi="Times New Roman"/>
          <w:sz w:val="16"/>
          <w:szCs w:val="16"/>
          <w:color w:val="auto"/>
        </w:rPr>
        <w:t>The current regulatory environment in the United States may be impacted by future legislative developments.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Financial services regulation, including regulations applicable to our business, has increased significantly in recent years, and may in the future be subject to further enhanced governmental scrutiny and/or increased regulation, including resulting from changes in U.S. executive administration or Congressional leadership. On January 20, 2025, Donald J. Trump and JD Vance became President and Vice President of the United States, respectively. The nature, timing, and economic effects of potential future changes to the current legal and regulatory framework affecting financial institutions under the Trump administration is highly uncertain. None of Carlyle or its affiliates can predict the ultimate impact of the foregoing on us, our business and investments, or the private equity industry generally, and any prolonged uncertainty could also have an adverse impact on our business and funds. Future changes may adversely affect our operating environment and therefore our business, operating costs, financial condition and results of operations. In addition, an extended federal government shutdown resulting from failing to pass budget appropriations, adopt continuing funding resolutions, or raise the debt ceiling, and other budgetary decisions limiting or delaying deferral government spending, may negatively impact U.S. or global economic conditions, including corporate and consumer spending, and liquidity of capital markets.</w:t>
      </w:r>
    </w:p>
    <w:p>
      <w:pPr>
        <w:spacing w:after="0" w:line="5" w:lineRule="exact"/>
        <w:rPr>
          <w:sz w:val="20"/>
          <w:szCs w:val="20"/>
          <w:color w:val="auto"/>
        </w:rPr>
      </w:pPr>
    </w:p>
    <w:p>
      <w:pPr>
        <w:ind w:right="2000"/>
        <w:spacing w:after="0" w:line="268" w:lineRule="auto"/>
        <w:rPr>
          <w:sz w:val="20"/>
          <w:szCs w:val="20"/>
          <w:color w:val="auto"/>
        </w:rPr>
      </w:pPr>
      <w:r>
        <w:rPr>
          <w:rFonts w:ascii="Times New Roman" w:cs="Times New Roman" w:eastAsia="Times New Roman" w:hAnsi="Times New Roman"/>
          <w:sz w:val="14"/>
          <w:szCs w:val="14"/>
          <w:color w:val="auto"/>
        </w:rPr>
        <w:t>It is difficult to determine the full extent of the impact on us of any new laws, regulations, or initiatives that may be proposed or whether any of the proposals will become law. Any changes in the regulatory framework applicable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business, including the changes described above, may impose additional costs on us, impact our ability to generate revenue, require the attention of our senior management, or result in limitations on the manner in which we conduct our business. We also anticipate there may be an increase in regulatory investigations of the trading and other investment activities of private funds, including our investment funds. Compliance with any new laws or regulations (including recent heightened SEC scrutiny regarding adviser compliance with advisers’ own internal policies) could make compliance more difficult and expensive, affect the manner in which we conduct our business, and adversely affect our profitability. Moreover, existing rules and future rule changes could increase our risk of exposure to additional regulatory scrutiny, litigation, censure, and penalties for noncompliance or perceived noncompliance, which in turn would be expected to adversely (potentially materially) affect us and our reputation and to negatively impact our ability to conduct business. This, in turn, may increase the need for broader insurance coverage by fund managers, including us.</w:t>
      </w:r>
    </w:p>
    <w:p>
      <w:pPr>
        <w:spacing w:after="0" w:line="209" w:lineRule="auto"/>
        <w:rPr>
          <w:sz w:val="20"/>
          <w:szCs w:val="20"/>
          <w:color w:val="auto"/>
        </w:rPr>
      </w:pPr>
      <w:r>
        <w:rPr>
          <w:rFonts w:ascii="Times New Roman" w:cs="Times New Roman" w:eastAsia="Times New Roman" w:hAnsi="Times New Roman"/>
          <w:sz w:val="16"/>
          <w:szCs w:val="16"/>
          <w:b w:val="1"/>
          <w:bCs w:val="1"/>
          <w:i w:val="1"/>
          <w:iCs w:val="1"/>
          <w:color w:val="auto"/>
        </w:rPr>
        <w:t>The short-term and long-term impact of the Basel capital standards remains uncertain.</w:t>
      </w:r>
    </w:p>
    <w:p>
      <w:pPr>
        <w:ind w:right="1460"/>
        <w:spacing w:after="0" w:line="203" w:lineRule="auto"/>
        <w:rPr>
          <w:sz w:val="20"/>
          <w:szCs w:val="20"/>
          <w:color w:val="auto"/>
        </w:rPr>
      </w:pPr>
      <w:r>
        <w:rPr>
          <w:rFonts w:ascii="Times New Roman" w:cs="Times New Roman" w:eastAsia="Times New Roman" w:hAnsi="Times New Roman"/>
          <w:sz w:val="16"/>
          <w:szCs w:val="16"/>
          <w:color w:val="auto"/>
        </w:rPr>
        <w:t>In June 2011, the Basel Committee on Banking Supervision, an international body composed of senior representatives of bank supervisory authorities and central banks from 27 countries, including the United States, announced the final framework for a comprehensive set of capital and liquidity standards, commonly referred to as “Basel III,” for internationally active banking organizations and certain other types of financial institutions. The Basel III standards were revised in 2017 as part of a package of reforms referred to as “Basel IV” (or more recently, “Basel III Endgame”) by the banking industry. These standards generally require banks to hold more capital, predominantly in the form of common equity, than under the previous capital framework, reduce leverage, and improve liquidity standards. U.S. federal banking regulators, including the Federal Reserve, the Office of the Comptroller of the Currency, and the Federal Deposit Insurance Corporation, have adopted final regulations to implement these standards for U.S. banking organizations; however, the future of such adoptions is in doubt with the new administration.</w:t>
      </w:r>
    </w:p>
    <w:p>
      <w:pPr>
        <w:spacing w:after="0" w:line="209" w:lineRule="auto"/>
        <w:rPr>
          <w:sz w:val="20"/>
          <w:szCs w:val="20"/>
          <w:color w:val="auto"/>
        </w:rPr>
      </w:pPr>
      <w:r>
        <w:rPr>
          <w:rFonts w:ascii="Times New Roman" w:cs="Times New Roman" w:eastAsia="Times New Roman" w:hAnsi="Times New Roman"/>
          <w:sz w:val="16"/>
          <w:szCs w:val="16"/>
          <w:color w:val="auto"/>
        </w:rPr>
        <w:t>Any continued adoption of these rules could restrict the ability of banks to maintain certain levels or types of capital</w:t>
      </w:r>
    </w:p>
    <w:p>
      <w:pPr>
        <w:ind w:right="1440"/>
        <w:spacing w:after="0" w:line="203" w:lineRule="auto"/>
        <w:rPr>
          <w:sz w:val="20"/>
          <w:szCs w:val="20"/>
          <w:color w:val="auto"/>
        </w:rPr>
      </w:pPr>
      <w:r>
        <w:rPr>
          <w:rFonts w:ascii="Times New Roman" w:cs="Times New Roman" w:eastAsia="Times New Roman" w:hAnsi="Times New Roman"/>
          <w:sz w:val="16"/>
          <w:szCs w:val="16"/>
          <w:color w:val="auto"/>
        </w:rPr>
        <w:t>market exposures under the present structure of their balance sheets, and cause these entities to raise additional capital in order to stay active in our marketplaces. As a result, their businesses, results of operations, financial condition, or prospects could be materially adversely affected, which in turn could have unintended adverse consequences for us, through higher borrowing costs, reduced access to certain types of credit, and increased costs and difficulty for us or our funds to enter into transactions in the normal course of our business. Moreover, these increased regulatory responsibilities and increased costs could reduce trading by a number of market participants, which could in turn adversely impact liquidity and increase volatility in the markets and expose our funds to greater risks in connection with their trading activities.</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Regulatory initiatives in jurisdictions outside the United States could adversely affect our business.</w:t>
      </w:r>
    </w:p>
    <w:p>
      <w:pPr>
        <w:ind w:right="1740"/>
        <w:spacing w:after="0" w:line="203" w:lineRule="auto"/>
        <w:rPr>
          <w:sz w:val="20"/>
          <w:szCs w:val="20"/>
          <w:color w:val="auto"/>
        </w:rPr>
      </w:pPr>
      <w:r>
        <w:rPr>
          <w:rFonts w:ascii="Times New Roman" w:cs="Times New Roman" w:eastAsia="Times New Roman" w:hAnsi="Times New Roman"/>
          <w:sz w:val="16"/>
          <w:szCs w:val="16"/>
          <w:color w:val="auto"/>
        </w:rPr>
        <w:t>Similar to the environment in the United States, the current environment in jurisdictions outside the United States in which we operate, in particular the EU and the UK, has become subject to an expanding body of regulation. Governmental regulators and other authorities in the EU and the UK have proposed or implemented a number of initiatives and additional rules and regulations that could adversely affect our business.</w:t>
      </w:r>
    </w:p>
    <w:p>
      <w:pPr>
        <w:spacing w:after="0" w:line="2"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Prudential regimes for EU and UK investment firms. </w:t>
      </w:r>
      <w:r>
        <w:rPr>
          <w:rFonts w:ascii="Times New Roman" w:cs="Times New Roman" w:eastAsia="Times New Roman" w:hAnsi="Times New Roman"/>
          <w:sz w:val="16"/>
          <w:szCs w:val="16"/>
          <w:color w:val="auto"/>
        </w:rPr>
        <w:t>From June 26, 2021, the Investment Firm Regulation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Firm Directive (together, “IFR/IFD”) replaced the prudential framework that applied previously to EU investment firms. IFR/IFD represents a complete overhaul of “prudential” regulation (i.e., capital adequacy, liquidity adequacy, governance, remuneration policies and practices, public transparency, and regulatory reporting) in the EU and substantially increases regulatory capital requirements for certain investment firms and imposes more onerous remuneration rules, and revised and extended internal governance, disclosure, reporting, liquidity, and group “prudential” consolidation requirements (among other things). IFR/IFD affects AlpInvest, one of our subsidiaries, because it is an alternative investment fund manager in the Netherlands with MiFID top-up permissions to provide investment services. It is possible that, in the future, CIM Europe also may have to comply with IFR/IFD in relation to its MiFID top-up permissions; however, Luxembourg does not currently apply the regime to AIFMs with MiFID top-ups.</w:t>
      </w:r>
    </w:p>
    <w:p>
      <w:pPr>
        <w:spacing w:after="0" w:line="209" w:lineRule="auto"/>
        <w:rPr>
          <w:sz w:val="20"/>
          <w:szCs w:val="20"/>
          <w:color w:val="auto"/>
        </w:rPr>
      </w:pPr>
      <w:r>
        <w:rPr>
          <w:rFonts w:ascii="Times New Roman" w:cs="Times New Roman" w:eastAsia="Times New Roman" w:hAnsi="Times New Roman"/>
          <w:sz w:val="16"/>
          <w:szCs w:val="16"/>
          <w:color w:val="auto"/>
        </w:rPr>
        <w:t>The UK has implemented its own version of IFR/IFD, the Investment Firms Prudential Regime (the “IFPR”), which</w:t>
      </w:r>
    </w:p>
    <w:p>
      <w:pPr>
        <w:ind w:right="1480"/>
        <w:spacing w:after="0" w:line="244" w:lineRule="auto"/>
        <w:rPr>
          <w:sz w:val="20"/>
          <w:szCs w:val="20"/>
          <w:color w:val="auto"/>
        </w:rPr>
      </w:pPr>
      <w:r>
        <w:rPr>
          <w:rFonts w:ascii="Times New Roman" w:cs="Times New Roman" w:eastAsia="Times New Roman" w:hAnsi="Times New Roman"/>
          <w:sz w:val="14"/>
          <w:szCs w:val="14"/>
          <w:color w:val="auto"/>
        </w:rPr>
        <w:t>took effect from January 1, 2021. The IFPR applies to our subsidiaries that are UK investment firms under the post-Brexit UK-retained Markets in Financial Instruments Directive (as restated, “MiFID II”), namely CECP, CELF, and subject to FCA approval, AlpInvest Partners LLP. Under the IFPR, among other requirements, both CECP and CELF and subject to FCA approval, AlpInvest Partners LLP, are required to maintain a more onerous policy on remuneration, set an appropriate ratio</w:t>
      </w:r>
    </w:p>
    <w:p>
      <w:pPr>
        <w:sectPr>
          <w:pgSz w:w="11900" w:h="16840" w:orient="portrait"/>
          <w:cols w:equalWidth="0" w:num="1">
            <w:col w:w="9400"/>
          </w:cols>
          <w:pgMar w:left="1060" w:top="557" w:right="1440" w:bottom="102" w:gutter="0" w:footer="0" w:header="0"/>
        </w:sectPr>
      </w:pPr>
    </w:p>
    <w:bookmarkStart w:id="38" w:name="page39"/>
    <w:bookmarkEnd w:id="38"/>
    <w:p>
      <w:pPr>
        <w:ind w:left="10" w:right="1640"/>
        <w:spacing w:after="0" w:line="295" w:lineRule="auto"/>
        <w:rPr>
          <w:sz w:val="20"/>
          <w:szCs w:val="20"/>
          <w:color w:val="auto"/>
        </w:rPr>
      </w:pPr>
      <w:r>
        <w:rPr>
          <w:rFonts w:ascii="Times New Roman" w:cs="Times New Roman" w:eastAsia="Times New Roman" w:hAnsi="Times New Roman"/>
          <w:sz w:val="14"/>
          <w:szCs w:val="14"/>
          <w:color w:val="auto"/>
        </w:rPr>
        <w:t>between the variable and fixed components of total remuneration, and meet requirements on the structure of variable remuneration. These requirements may make it more difficult for us to attract and retain staff in certain circumstances. IFPR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47</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00"/>
        <w:spacing w:after="0" w:line="203" w:lineRule="auto"/>
        <w:rPr>
          <w:sz w:val="20"/>
          <w:szCs w:val="20"/>
          <w:color w:val="auto"/>
        </w:rPr>
      </w:pPr>
      <w:r>
        <w:rPr>
          <w:rFonts w:ascii="Times New Roman" w:cs="Times New Roman" w:eastAsia="Times New Roman" w:hAnsi="Times New Roman"/>
          <w:sz w:val="16"/>
          <w:szCs w:val="16"/>
          <w:color w:val="auto"/>
        </w:rPr>
        <w:t>also resulted in increased regulatory capital and liquidity adequacy requirements for CECP, in particular, which may continue to increase the costs of doing business and may impede intra-group capital and cash flows.</w:t>
      </w:r>
    </w:p>
    <w:p>
      <w:pPr>
        <w:spacing w:after="0" w:line="1" w:lineRule="exact"/>
        <w:rPr>
          <w:sz w:val="20"/>
          <w:szCs w:val="20"/>
          <w:color w:val="auto"/>
        </w:rPr>
      </w:pPr>
    </w:p>
    <w:p>
      <w:pPr>
        <w:ind w:left="10" w:right="154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AIFMD</w:t>
      </w:r>
      <w:r>
        <w:rPr>
          <w:rFonts w:ascii="Times New Roman" w:cs="Times New Roman" w:eastAsia="Times New Roman" w:hAnsi="Times New Roman"/>
          <w:sz w:val="16"/>
          <w:szCs w:val="16"/>
          <w:color w:val="auto"/>
        </w:rPr>
        <w:t>. The AIFMD was implemented in most jurisdictions in the EEA, on July 22, 2014. The AIFMD regulates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alternative investment fund managers (“AIFMs”) established in the EEA that manage alternative investment funds (“AIFs”). The AIFMD also regulates and imposes regulatory obligations in respect of the marketing in the EEA by AIFMs (whether established in the EEA or elsewhere) of AIFs (whether established in the EEA or elsewhere). The UK implemented AIFMD while it was still a member of the EU and “onshored” it as part of UK law, such that similar requirements continue to apply in the UK notwithstanding Brexit. Abingworth is authorized in the UK as an AIFM by the FCA. AlpInvest, one of our subsidiaries, obtained authorization in 2015 and is licensed as an AIFM in the Netherlands. Moreover, in 2017, one of our subsidiaries, Carlyle Real Estate SGR S.p.A, was registered as an AIFM in Italy and in 2018, one of our subsidiaries, CIM Europe, obtained authorization as an AIFM in Luxembourg.</w:t>
      </w:r>
    </w:p>
    <w:p>
      <w:pPr>
        <w:spacing w:after="0" w:line="4" w:lineRule="exact"/>
        <w:rPr>
          <w:sz w:val="20"/>
          <w:szCs w:val="20"/>
          <w:color w:val="auto"/>
        </w:rPr>
      </w:pPr>
    </w:p>
    <w:p>
      <w:pPr>
        <w:ind w:left="10" w:right="1540"/>
        <w:spacing w:after="0" w:line="203" w:lineRule="auto"/>
        <w:rPr>
          <w:sz w:val="20"/>
          <w:szCs w:val="20"/>
          <w:color w:val="auto"/>
        </w:rPr>
      </w:pPr>
      <w:r>
        <w:rPr>
          <w:rFonts w:ascii="Times New Roman" w:cs="Times New Roman" w:eastAsia="Times New Roman" w:hAnsi="Times New Roman"/>
          <w:sz w:val="16"/>
          <w:szCs w:val="16"/>
          <w:color w:val="auto"/>
        </w:rPr>
        <w:t>In April 2024, AIFMD II was adopted and published in the Official Journal, which means that AIFMD II will apply from April 2026 onward, subject to grandfathering periods for certain requirements. AIFMD II imposes a number of amendments to the AIFMD, including more onerous delegation requirements, enhanced substance requirements, additional liquidity management provisions for AIFMs to the extent that they manage open-ended AIFs, and revised regulatory reporting and investor disclosures requirements. It also imposes significant new requirements relating to the activities of funds that originate loans (which may affect a number of our funds), including new restrictions on the structure that such funds may take and leverage limits for funds with material loan origination activities.</w:t>
      </w:r>
    </w:p>
    <w:p>
      <w:pPr>
        <w:ind w:left="10"/>
        <w:spacing w:after="0" w:line="207" w:lineRule="auto"/>
        <w:rPr>
          <w:sz w:val="20"/>
          <w:szCs w:val="20"/>
          <w:color w:val="auto"/>
        </w:rPr>
      </w:pPr>
      <w:r>
        <w:rPr>
          <w:rFonts w:ascii="Times New Roman" w:cs="Times New Roman" w:eastAsia="Times New Roman" w:hAnsi="Times New Roman"/>
          <w:sz w:val="16"/>
          <w:szCs w:val="16"/>
          <w:color w:val="auto"/>
        </w:rPr>
        <w:t>In addition, AIFMD II introduces new conditions for non-EEA AIFMs, such as certain of our U.S. affiliates, to be able</w:t>
      </w:r>
    </w:p>
    <w:p>
      <w:pPr>
        <w:ind w:left="10" w:right="1440"/>
        <w:spacing w:after="0" w:line="203" w:lineRule="auto"/>
        <w:rPr>
          <w:sz w:val="20"/>
          <w:szCs w:val="20"/>
          <w:color w:val="auto"/>
        </w:rPr>
      </w:pPr>
      <w:r>
        <w:rPr>
          <w:rFonts w:ascii="Times New Roman" w:cs="Times New Roman" w:eastAsia="Times New Roman" w:hAnsi="Times New Roman"/>
          <w:sz w:val="16"/>
          <w:szCs w:val="16"/>
          <w:color w:val="auto"/>
        </w:rPr>
        <w:t>to make use of the national private placement regimes of EEA states, including a condition that the jurisdiction of neither of the AIFM and AIF have been identified as non-cooperative third countries for tax purposes nor deemed by the EU not to comply fully with the standards laid down in Article 26 of the OECD Model Tax Convention on Income and on Capital and thereby to ensure an effective exchange of information in tax matters. This gives rise to a risk that certain of our AIFs may not be able to take advantage of such regimes to raise capital from EEA investors, potentially with little notice.</w:t>
      </w:r>
    </w:p>
    <w:p>
      <w:pPr>
        <w:ind w:left="10"/>
        <w:spacing w:after="0" w:line="206" w:lineRule="auto"/>
        <w:rPr>
          <w:sz w:val="20"/>
          <w:szCs w:val="20"/>
          <w:color w:val="auto"/>
        </w:rPr>
      </w:pPr>
      <w:r>
        <w:rPr>
          <w:rFonts w:ascii="Times New Roman" w:cs="Times New Roman" w:eastAsia="Times New Roman" w:hAnsi="Times New Roman"/>
          <w:sz w:val="16"/>
          <w:szCs w:val="16"/>
          <w:color w:val="auto"/>
        </w:rPr>
        <w:t>Given the significance of AIFMD II as well as its potential impact on the European fund industry framework, we</w:t>
      </w:r>
    </w:p>
    <w:p>
      <w:pPr>
        <w:ind w:left="10" w:right="1440"/>
        <w:spacing w:after="0" w:line="232" w:lineRule="auto"/>
        <w:rPr>
          <w:sz w:val="20"/>
          <w:szCs w:val="20"/>
          <w:color w:val="auto"/>
        </w:rPr>
      </w:pPr>
      <w:r>
        <w:rPr>
          <w:rFonts w:ascii="Times New Roman" w:cs="Times New Roman" w:eastAsia="Times New Roman" w:hAnsi="Times New Roman"/>
          <w:sz w:val="14"/>
          <w:szCs w:val="14"/>
          <w:color w:val="auto"/>
        </w:rPr>
        <w:t>continue to consider its potential impact on our business, particularly with regard to our funds that engage in loan origination, delegation of certain AIFM duties to third -countries that may affect both operating models of CIM Europe and AlpInvest, any extension of the directive to third country firms, and a push towards harmonization of the Collective Investment in Transferable Securities (“UCITS”) and AIFMD frameworks. AIFMD II has the potential to limit market access for our non-EU funds. Moreover, compliance with AIFMD II may, among other things, increase the cost and complexity of raising capital, may slow the pace of fundraising, limit operations, increase operational costs, and disadvantage our investment funds as bidders for and potential owners of private companies located in the EEA when compared to non-AIF/AIFM competitors.</w:t>
      </w:r>
    </w:p>
    <w:p>
      <w:pPr>
        <w:ind w:left="10"/>
        <w:spacing w:after="0" w:line="207" w:lineRule="auto"/>
        <w:rPr>
          <w:sz w:val="20"/>
          <w:szCs w:val="20"/>
          <w:color w:val="auto"/>
        </w:rPr>
      </w:pPr>
      <w:r>
        <w:rPr>
          <w:rFonts w:ascii="Times New Roman" w:cs="Times New Roman" w:eastAsia="Times New Roman" w:hAnsi="Times New Roman"/>
          <w:sz w:val="16"/>
          <w:szCs w:val="16"/>
          <w:i w:val="1"/>
          <w:iCs w:val="1"/>
          <w:color w:val="auto"/>
        </w:rPr>
        <w:t>CBDF Directive and CBDF Regulation</w:t>
      </w:r>
      <w:r>
        <w:rPr>
          <w:rFonts w:ascii="Times New Roman" w:cs="Times New Roman" w:eastAsia="Times New Roman" w:hAnsi="Times New Roman"/>
          <w:sz w:val="16"/>
          <w:szCs w:val="16"/>
          <w:color w:val="auto"/>
        </w:rPr>
        <w:t>. In August 2021, two main legislative instruments, Directive (EU) 2019/1160</w:t>
      </w:r>
    </w:p>
    <w:p>
      <w:pPr>
        <w:ind w:left="10" w:right="1580"/>
        <w:spacing w:after="0" w:line="232" w:lineRule="auto"/>
        <w:rPr>
          <w:sz w:val="20"/>
          <w:szCs w:val="20"/>
          <w:color w:val="auto"/>
        </w:rPr>
      </w:pPr>
      <w:r>
        <w:rPr>
          <w:rFonts w:ascii="Times New Roman" w:cs="Times New Roman" w:eastAsia="Times New Roman" w:hAnsi="Times New Roman"/>
          <w:sz w:val="14"/>
          <w:szCs w:val="14"/>
          <w:color w:val="auto"/>
        </w:rPr>
        <w:t xml:space="preserve">(the “CBDF Directive”) and Regulation (EU) 2019/1156 (the “CBDF Regulation”), came into effect. The CBDF Regulation and CBDF Directive lay out, among other things, general principles to be adhered to by fund managers when drafting pre-marketing and marketing communications. The legislative instruments also harmonize the pre- marketing requirements across the EEA by requiring EU AIFMs to notify their local regulator of their intention to pre -market in certain EEA jurisdictions within two weeks of pre-marketing having begun. These directives and regulations apply to CIM Europe and AlpInvest. </w:t>
      </w:r>
      <w:r>
        <w:rPr>
          <w:rFonts w:ascii="Times New Roman" w:cs="Times New Roman" w:eastAsia="Times New Roman" w:hAnsi="Times New Roman"/>
          <w:sz w:val="14"/>
          <w:szCs w:val="14"/>
          <w:i w:val="1"/>
          <w:iCs w:val="1"/>
          <w:color w:val="auto"/>
        </w:rPr>
        <w:t>Solvency II</w:t>
      </w:r>
      <w:r>
        <w:rPr>
          <w:rFonts w:ascii="Times New Roman" w:cs="Times New Roman" w:eastAsia="Times New Roman" w:hAnsi="Times New Roman"/>
          <w:sz w:val="14"/>
          <w:szCs w:val="14"/>
          <w:color w:val="auto"/>
        </w:rPr>
        <w:t>. The European solvency framework and prudential regime for insurers and reinsurers, under the Solvency</w:t>
      </w:r>
    </w:p>
    <w:p>
      <w:pPr>
        <w:spacing w:after="0" w:line="3" w:lineRule="exact"/>
        <w:rPr>
          <w:sz w:val="20"/>
          <w:szCs w:val="20"/>
          <w:color w:val="auto"/>
        </w:rPr>
      </w:pPr>
    </w:p>
    <w:p>
      <w:pPr>
        <w:ind w:left="10" w:right="1400" w:hanging="10"/>
        <w:spacing w:after="0"/>
        <w:tabs>
          <w:tab w:leader="none" w:pos="15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2009/138/EC (“Solvency II”), took effect in full on January 1, 2016. Solvency II is a regulatory regime that imposes economic risk-based solvency requirements across all EU member states and consists of three pillars: Pillar I, quantitative capital requirements, based on a valuation of the entire balance sheet; Pillar II, qualitative regulatory review, which includes governance, internal controls, enterprise risk management, and supervisory review process; and Pillar III, market discipline, which is accomplished through reporting of the insurer’s financial condition to regulators and the public. Solvency II is supplemented by European Commission Delegated Regulation (E.U.) 2015/35 (the “Delegated Regulation”), other European Commission “delegated acts” and binding technical standards, and guidelines issued by the European Insurance and Occupational Pensions Authority. The Delegated Regulation sets out detailed requirements for individual insurance and reinsurance undertakings, as well as for groups, based on the overarching provisions of Solvency II, which together make up the core of the single prudential rulebook for insurance and reinsurance undertakings in the European Union.</w:t>
      </w:r>
    </w:p>
    <w:p>
      <w:pPr>
        <w:spacing w:after="0" w:line="111" w:lineRule="exact"/>
        <w:rPr>
          <w:rFonts w:ascii="Times New Roman" w:cs="Times New Roman" w:eastAsia="Times New Roman" w:hAnsi="Times New Roman"/>
          <w:sz w:val="14"/>
          <w:szCs w:val="14"/>
          <w:color w:val="auto"/>
        </w:rPr>
      </w:pPr>
    </w:p>
    <w:p>
      <w:pPr>
        <w:ind w:left="10" w:right="200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Solvency II sets out stronger capital adequacy and risk management requirements for European insurers and reinsurers and, in particular, dictates how much capital such firms must hold against their liabilities and introduces a risk-based</w:t>
      </w:r>
    </w:p>
    <w:p>
      <w:pPr>
        <w:sectPr>
          <w:pgSz w:w="11900" w:h="16840" w:orient="portrait"/>
          <w:cols w:equalWidth="0" w:num="1">
            <w:col w:w="9410"/>
          </w:cols>
          <w:pgMar w:left="1050" w:top="557" w:right="1440"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48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500"/>
        <w:spacing w:after="0"/>
        <w:rPr>
          <w:sz w:val="20"/>
          <w:szCs w:val="20"/>
          <w:color w:val="auto"/>
        </w:rPr>
      </w:pPr>
      <w:r>
        <w:rPr>
          <w:rFonts w:ascii="Times New Roman" w:cs="Times New Roman" w:eastAsia="Times New Roman" w:hAnsi="Times New Roman"/>
          <w:sz w:val="14"/>
          <w:szCs w:val="14"/>
          <w:color w:val="auto"/>
        </w:rPr>
        <w:t>assessment of those liabilities. In addition, Solvency II imposes, among other things, substantially greater quantitative and qualitative capital requirements for insurers and reinsurers as well as other supervisory and disclosure requirements. While we are not subject to Solvency II, many of our European insurer or reinsurer fund investors are subject to this directive, as applied under applicable domestic law. Solvency II also may impact insurers’ and reinsurers’ investment decisions and their asset allocations. Moreover, insurers and reinsurers will be subject to more onerous data collation and reporting requirements. As a result, there is potential for Solvency II to have an adverse indirect effect on our businesses by, among other things, restricting the ability of European insurers and reinsurers to invest in our funds and imposing on us extensive disclosure and reporting obligations for those insurers and reinsurers that do invest in our funds. A broad review of Solvency II was carried out by the European Commission in 2020 (the “Solvency II 2020 review”), with input from the European Insurance and Occupational Pensions Authority (“EIOPA”) . This included a related public consultation launched by the European Commission in July 2020. On December 17, 2020, EIOPA submitted its opinion on the Solvency II 2020 review to the European Commission. The Solvency II 2020 review is expected to result in amendments to various aspects of Solvency II, although the extent of such amendments is currently unknown. Following this, on September 22, 2021, the European Commission published proposed legislation to amend the Solvency II Directive. The proposals are subject to the EU ordinary legislative process and are still being considered by the European Parliament and the European Council, with the implementation date of the revised Solvency</w:t>
      </w:r>
    </w:p>
    <w:p>
      <w:pPr>
        <w:spacing w:after="0" w:line="87" w:lineRule="exact"/>
        <w:rPr>
          <w:sz w:val="20"/>
          <w:szCs w:val="20"/>
          <w:color w:val="auto"/>
        </w:rPr>
      </w:pPr>
    </w:p>
    <w:p>
      <w:pPr>
        <w:ind w:left="10" w:right="1440" w:hanging="10"/>
        <w:spacing w:after="0" w:line="203" w:lineRule="auto"/>
        <w:tabs>
          <w:tab w:leader="none" w:pos="1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Directive currently unknown. It is unclear at this stage the extent to which the proposed amendments to Solvency II will have an indirect effect on our businesses.</w:t>
      </w:r>
    </w:p>
    <w:p>
      <w:pPr>
        <w:ind w:left="10" w:right="142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Post-Brexit, Solvency II was onshored in the UK. In November 2022, His Majesty’s Treasury (“HM Treasury”) issued its response to its consultation on a review of Solvency II, outlining the areas of reform that would be delivered through changes to the UK Prudential Regulation Authority’s (“PRA”) rules and legislation. Two consultation papers have since followed, the first published on June 29, 2023, and the second on September 28, 2023. The first consultation paper focused on simplifying the existing framework with the intent of reducing the administrative and reporting requirements (and in turn, costs) for UK insurance firms. The second consultation paper included proposals to reform insurers’ matching adjustment mechanism, with the intention of widening the categories of assets that insurers can hold in their portfolios. It is unclear at this stage the extent to which the proposed amendments to the UK’s version of Solvency II will come into effect or have an indirect impact on our businesses.</w:t>
      </w:r>
    </w:p>
    <w:p>
      <w:pPr>
        <w:spacing w:after="0" w:line="3"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MiFID II</w:t>
      </w:r>
      <w:r>
        <w:rPr>
          <w:rFonts w:ascii="Times New Roman" w:cs="Times New Roman" w:eastAsia="Times New Roman" w:hAnsi="Times New Roman"/>
          <w:sz w:val="16"/>
          <w:szCs w:val="16"/>
          <w:color w:val="auto"/>
        </w:rPr>
        <w:t>. The recast Markets in Financial Instruments Directive and Markets in Financial Instruments Regulation</w:t>
      </w:r>
    </w:p>
    <w:p>
      <w:pPr>
        <w:ind w:left="10" w:right="142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(collectively referred to as “MiFID II”) came into effect on January 3, 2018. Although the UK has now withdrawn from the EU, its rules implementing the recast Markets in Financial Instruments Directive continue to have effect and the Markets in Financial Instruments Regulation has been onshored into UK law (subject to certain amendments to ensure it operates properly in a UK-specific context) in connection with such withdrawal. MiFID II amended the then-existing MiFID regime and, among other requirements, introduced new organizational and conduct of business requirements for investment firms in the EEA. Certain requirements of MiFID II also apply to AIFMs with a MiFID “top-up” permission, such as AlpInvest.</w:t>
      </w:r>
    </w:p>
    <w:p>
      <w:pPr>
        <w:spacing w:after="0" w:line="2"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MiFID II extended MiFID requirements in a number of areas such as the receipt and payment of inducements</w:t>
      </w:r>
    </w:p>
    <w:p>
      <w:pPr>
        <w:ind w:left="10" w:right="144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investment research), suitability and appropriateness assessments, conflicts of interest, record-keeping, costs and charges disclosures, best execution, product design and governance, and transaction and trade reporting. Under MiFID II, national competent authorities also are required to establish position limits in relation to the maximum size of positions that a relevant person can hold in certain commodity derivatives. The limits apply to contracts traded on trading venues and their economically equivalent OTC contracts. The position limits established, as amended from time to time, and our ability to rely on any exemption thereunder may affect the size and types of investments we may make. Failure to comply with MiFID II and its associated legislative acts could result in sanctions from national regulators, the loss of market access, and a number of other adverse consequences that would have a detrimental impact on our business. Certain aspects of MIFID II and Markets in Financial Instruments Regulations (“MiFIR”) are subject to review and change in both the EU and the UK.</w:t>
      </w:r>
    </w:p>
    <w:p>
      <w:pPr>
        <w:spacing w:after="0" w:line="3"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Swiss Marketing Regulations</w:t>
      </w:r>
      <w:r>
        <w:rPr>
          <w:rFonts w:ascii="Times New Roman" w:cs="Times New Roman" w:eastAsia="Times New Roman" w:hAnsi="Times New Roman"/>
          <w:sz w:val="16"/>
          <w:szCs w:val="16"/>
          <w:color w:val="auto"/>
        </w:rPr>
        <w:t>. The Swiss Financial Services Act (FinSA) and the Financial Institution Act (FinIA)</w:t>
      </w:r>
    </w:p>
    <w:p>
      <w:pPr>
        <w:ind w:left="10" w:right="144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came into force on January 1, 2020, with a transition period that ended on December 31, 2021. FinSA seeks to protect clients of financial service providers and to establish comparable conditions for the provision of financial services by financial service providers (FSP), and thus contributes to enhancing the reputation and competitiveness of Switzerland’s financial center. FinIA introduces coordinated supervision for the various categories of financial institutions: portfolio managers, trustees, managers of collective assets, fund management companies, and securities firms. The Swiss regulations have an impact on the offering and marketing foreign investment fund shares into Switzerland on a cross-border basis and creates new requirements for financial service providers.</w:t>
      </w:r>
    </w:p>
    <w:p>
      <w:pPr>
        <w:spacing w:after="0" w:line="2" w:lineRule="exact"/>
        <w:rPr>
          <w:rFonts w:ascii="Times New Roman" w:cs="Times New Roman" w:eastAsia="Times New Roman" w:hAnsi="Times New Roman"/>
          <w:sz w:val="16"/>
          <w:szCs w:val="16"/>
          <w:color w:val="auto"/>
        </w:rPr>
      </w:pPr>
    </w:p>
    <w:p>
      <w:pPr>
        <w:ind w:left="10" w:right="1580" w:firstLine="576"/>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i w:val="1"/>
          <w:iCs w:val="1"/>
          <w:color w:val="auto"/>
        </w:rPr>
        <w:t xml:space="preserve">Anti-Money Laundering. </w:t>
      </w:r>
      <w:r>
        <w:rPr>
          <w:rFonts w:ascii="Times New Roman" w:cs="Times New Roman" w:eastAsia="Times New Roman" w:hAnsi="Times New Roman"/>
          <w:sz w:val="14"/>
          <w:szCs w:val="14"/>
          <w:color w:val="auto"/>
        </w:rPr>
        <w:t>During 2020, two new EU Anti-Money Laundering (AML) Directives came into force: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fifth AML EU Directive (AMLD5) and the sixth AML EU Directive (AMLD6). AMLD5 was implemented into UK law on</w:t>
      </w:r>
    </w:p>
    <w:p>
      <w:pPr>
        <w:sectPr>
          <w:pgSz w:w="11900" w:h="16840" w:orient="portrait"/>
          <w:cols w:equalWidth="0" w:num="1">
            <w:col w:w="9410"/>
          </w:cols>
          <w:pgMar w:left="1050" w:top="1440" w:right="144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49</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20"/>
        <w:spacing w:after="0" w:line="244" w:lineRule="auto"/>
        <w:rPr>
          <w:sz w:val="20"/>
          <w:szCs w:val="20"/>
          <w:color w:val="auto"/>
        </w:rPr>
      </w:pPr>
      <w:r>
        <w:rPr>
          <w:rFonts w:ascii="Times New Roman" w:cs="Times New Roman" w:eastAsia="Times New Roman" w:hAnsi="Times New Roman"/>
          <w:sz w:val="14"/>
          <w:szCs w:val="14"/>
          <w:color w:val="auto"/>
        </w:rPr>
        <w:t>January 10, 2020. The changes under AMLD5 include new more stringent customer due diligence measures and requirements to report discrepancies between information held and the Companies House register and to conduct risk assessments prior to the launch or use of new products and business practices. AMLD5 has added complexity to our internal processes and any perceived shortcomings in our adoption of AMLD5 could create reputational risks to our business. AMLD6 harmonizes the</w:t>
      </w:r>
    </w:p>
    <w:p>
      <w:pPr>
        <w:sectPr>
          <w:pgSz w:w="11900" w:h="16840" w:orient="portrait"/>
          <w:cols w:equalWidth="0" w:num="1">
            <w:col w:w="9410"/>
          </w:cols>
          <w:pgMar w:left="1050" w:top="1440" w:right="1440" w:bottom="138" w:gutter="0" w:footer="0" w:header="0"/>
          <w:type w:val="continuous"/>
        </w:sectPr>
      </w:pPr>
    </w:p>
    <w:bookmarkStart w:id="40" w:name="page41"/>
    <w:bookmarkEnd w:id="40"/>
    <w:p>
      <w:pPr>
        <w:ind w:right="1620"/>
        <w:spacing w:after="0" w:line="206" w:lineRule="auto"/>
        <w:rPr>
          <w:sz w:val="20"/>
          <w:szCs w:val="20"/>
          <w:color w:val="auto"/>
        </w:rPr>
      </w:pPr>
      <w:r>
        <w:rPr>
          <w:rFonts w:ascii="Times New Roman" w:cs="Times New Roman" w:eastAsia="Times New Roman" w:hAnsi="Times New Roman"/>
          <w:sz w:val="16"/>
          <w:szCs w:val="16"/>
          <w:color w:val="auto"/>
        </w:rPr>
        <w:t>definition of money laundering across the EU, expands the number of offenses that fall under the definition of money laundering and extends criminal liability to include punishments for legal persons, including partnership entities. On July 20, 2021, the European Commission presented an ambitious package of legislative proposals to strengthen the EU’s anti -money laundering and countering the financing of terrorism (AML/CFT) rules, including the creation of a new pan-EU supervisory authority to combat money laundering. The UK government opted out of AMLD6. However, the HM Treasury launched a consultation on reforming the UK’s AML/CFT regime in June 2023 and is expected to propose some amendments to the existing regime.</w:t>
      </w:r>
    </w:p>
    <w:p>
      <w:pPr>
        <w:spacing w:after="0" w:line="5" w:lineRule="exact"/>
        <w:rPr>
          <w:sz w:val="20"/>
          <w:szCs w:val="20"/>
          <w:color w:val="auto"/>
        </w:rPr>
      </w:pPr>
    </w:p>
    <w:p>
      <w:pPr>
        <w:ind w:right="1480" w:firstLine="576"/>
        <w:spacing w:after="0"/>
        <w:rPr>
          <w:sz w:val="20"/>
          <w:szCs w:val="20"/>
          <w:color w:val="auto"/>
        </w:rPr>
      </w:pPr>
      <w:r>
        <w:rPr>
          <w:rFonts w:ascii="Times New Roman" w:cs="Times New Roman" w:eastAsia="Times New Roman" w:hAnsi="Times New Roman"/>
          <w:sz w:val="14"/>
          <w:szCs w:val="14"/>
          <w:i w:val="1"/>
          <w:iCs w:val="1"/>
          <w:color w:val="auto"/>
        </w:rPr>
        <w:t xml:space="preserve">Securitization Regulation. </w:t>
      </w:r>
      <w:r>
        <w:rPr>
          <w:rFonts w:ascii="Times New Roman" w:cs="Times New Roman" w:eastAsia="Times New Roman" w:hAnsi="Times New Roman"/>
          <w:sz w:val="14"/>
          <w:szCs w:val="14"/>
          <w:color w:val="auto"/>
        </w:rPr>
        <w:t>Regulation (EU) 2017/2402 (the “Securitization Regulation”) is a framework for European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securitizations, which came into effect on January 1, 2019. There is a risk that a non -EU AIFM that markets funds in the EU that invest in securitization positions could be within scope of certain requirements under the Securitization Regulation. To the extent a non- EU AIFM is within the scope of the Securitization Regulation, it could only hold a securitization exposure where the originator, sponsor, or original lender retains 5% of the securitization. If our non -EU AIFMs fall within the scope of the Securitization Regulation, it could affect the asset values of certain of our funds, force divestment of certain assets at depressed prices, and increase the operating cost of our CLOs. The UK has adopted the Securitization Regulation notwithstanding Brexit. However, the UK intends to repeal its current implementation and diverge from the EU’s Securitization Regulation. It has published draft legislation (the “Securitisation Regulations 2023”) as part of a policy statement identifying several areas for revision in the United Kingdom. The Securitisation Regulations 2023 are still under review and so the final rules remain unclear, and we continue to monitor industry practice and its implementation.</w:t>
      </w:r>
    </w:p>
    <w:p>
      <w:pPr>
        <w:spacing w:after="0" w:line="107"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i w:val="1"/>
          <w:iCs w:val="1"/>
          <w:color w:val="auto"/>
        </w:rPr>
        <w:t>ESG and Sustainable Finance Regulation</w:t>
      </w:r>
      <w:r>
        <w:rPr>
          <w:rFonts w:ascii="Times New Roman" w:cs="Times New Roman" w:eastAsia="Times New Roman" w:hAnsi="Times New Roman"/>
          <w:sz w:val="16"/>
          <w:szCs w:val="16"/>
          <w:color w:val="auto"/>
        </w:rPr>
        <w:t>. New regulatory initiatives related to ESG and sustainable finance that are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be applicable to us, our funds, and their portfolio companies could adversely affect our business. In 2018, the European Commission adopted an “action plan on financing sustainable growth” (the “Action Plan”). The Action Plan is, among other things, designed to define and reorient investment towards more sustainable economic activities. The Action Plan contemplates, among other things, creating an EU green bond standard and establishing EU labels for green financial products, clarifying asset managers’ and institutional investors’ duties regarding sustainability in their investment decision- making processes, increasing disclosure requirements in the financial services sector around sustainability, increasing the transparency of companies on their ESG policies and related processes and management systems, and introducing a “green supporting factor” in the EU prudential rules for banks and insurance companies to incorporate climate risks and other environmental factors into banks’ and insurance companies’ risk management policies.</w:t>
      </w:r>
    </w:p>
    <w:p>
      <w:pPr>
        <w:spacing w:after="0" w:line="4" w:lineRule="exact"/>
        <w:rPr>
          <w:sz w:val="20"/>
          <w:szCs w:val="20"/>
          <w:color w:val="auto"/>
        </w:rPr>
      </w:pPr>
    </w:p>
    <w:p>
      <w:pPr>
        <w:ind w:right="1440"/>
        <w:spacing w:after="0" w:line="156" w:lineRule="exact"/>
        <w:rPr>
          <w:sz w:val="20"/>
          <w:szCs w:val="20"/>
          <w:color w:val="auto"/>
        </w:rPr>
      </w:pPr>
      <w:r>
        <w:rPr>
          <w:rFonts w:ascii="Times New Roman" w:cs="Times New Roman" w:eastAsia="Times New Roman" w:hAnsi="Times New Roman"/>
          <w:sz w:val="16"/>
          <w:szCs w:val="16"/>
          <w:color w:val="auto"/>
        </w:rPr>
        <w:t>On June 22, 2020, the Official Journal of the European Union published a classification system that establishes a list of environmentally sustainable economic activities and sets out four overarching conditions that an economic activity has to meet in order to qualify as environmentally sustainable (Regulation (EU) 2020/852 of the European Parliament and of the Council of 18 June 2020 on the establishment of a framework to facilitate sustainable investment, and amending Regulation (EU) 2019/2088, “Taxonomy Regulation”) . The Taxonomy Regulation, among other things, introduced mandatory disclosure and reporting requirements and supplements the framework set out in the Sustainable Financial Disclosure Regulation (Regulation (EU) 2019/2088 of the European Parliament and of the Council of 27 November 2019 on sustainability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disclosures in the financial services sector, “SFDR”), which requires certain disclosures in relation to whether and, if so, how sustainability risks and negative impacts on environmental and social factors are taken into account in the investment process and the likely impacts of sustainability risks on the returns of the financial products. Financial products that have as their objective “sustainable investment” or that promote binding environmental or social characteristics are required to disclose that objective or those characteristics in pre- contractual disclosures required pursuant to the AIFMD and report on an ongoing basis their performance in achieving that objective or those characteristics in periodic reports produced pursuant to the AIFMD. In addition, if a financial product does not promote environmental or social characteristics or does not have as its objective “sustainable investment,” the information to be disclosed in accordance with applicable sectoral legislation must also be followed by a statement indicating that the financial product does not take into account EU criteria for environmentally sustainable economic activities. The disclosure requirements in the SFDR are supplemented by Commission Delegated Regulation (EU) 2022/1288 of 6 April 2022, which requires enhanced disclosures in pre-contractual documents, on websites and in periodic reports. The European Supervisory Authorities published a proposal on December 4, 2023, which amends certain of the disclosure requirements under SFDR.</w:t>
      </w:r>
    </w:p>
    <w:p>
      <w:pPr>
        <w:spacing w:after="0" w:line="8" w:lineRule="exact"/>
        <w:rPr>
          <w:sz w:val="20"/>
          <w:szCs w:val="20"/>
          <w:color w:val="auto"/>
        </w:rPr>
      </w:pPr>
    </w:p>
    <w:p>
      <w:pPr>
        <w:ind w:right="2200"/>
        <w:spacing w:after="0" w:line="268" w:lineRule="auto"/>
        <w:rPr>
          <w:sz w:val="20"/>
          <w:szCs w:val="20"/>
          <w:color w:val="auto"/>
        </w:rPr>
      </w:pPr>
      <w:r>
        <w:rPr>
          <w:rFonts w:ascii="Times New Roman" w:cs="Times New Roman" w:eastAsia="Times New Roman" w:hAnsi="Times New Roman"/>
          <w:sz w:val="14"/>
          <w:szCs w:val="14"/>
          <w:color w:val="auto"/>
        </w:rPr>
        <w:t>In September 2023, the European Commission launched a consultation on SFDR in the form of a questionnaire, the product of which, including the amended rules, are commonly referred to as “SFDR II.” Compliance with any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03" w:lineRule="auto"/>
        <w:rPr>
          <w:sz w:val="20"/>
          <w:szCs w:val="20"/>
          <w:color w:val="auto"/>
        </w:rPr>
      </w:pPr>
      <w:r>
        <w:rPr>
          <w:rFonts w:ascii="Times New Roman" w:cs="Times New Roman" w:eastAsia="Times New Roman" w:hAnsi="Times New Roman"/>
          <w:sz w:val="16"/>
          <w:szCs w:val="16"/>
          <w:color w:val="auto"/>
        </w:rPr>
        <w:t>requirements under SFDR II may lead to increased management burdens and costs, and we cannot guarantee that our current approach to compliance will meet future regulatory requirements, reporting frameworks, or best practices, which could increase the risk of related enforcement actions.</w:t>
      </w:r>
    </w:p>
    <w:p>
      <w:pPr>
        <w:spacing w:after="0" w:line="1"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Commission Delegated Regulation (EU) 2021/1255 amends Delegated Regulation (EU) 231/2013 to require that sustainability risks are integrated into the investment decision-making, risk management, and compliance functions and processes of EU AIFMs. These requirements became effective and have applied to us since August 2022. Commission Delegated Regulation (EU) 2021/1253, amending Regulation (EU) 2017/565, requires, among other things, certain firms to carry out a mandatory assessment of the sustainability preferences of clients, integrate sustainability into risk management policies, and consider sustainability factors in the product approval and governance process, which also became effective and have applied to us since August 2022.</w:t>
      </w:r>
    </w:p>
    <w:p>
      <w:pPr>
        <w:spacing w:after="0" w:line="3"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There is a risk that a significant reorientation in the market following the implementation of these sustainable finance regulations and further measures could be adverse to our portfolio companies if they are perceived to be less valuable as a consequence of, among other things, their carbon footprint or allegations or evidence of “greenwashing.” There also is a risk that market expectations in relation to the SFDR categorization of financial products could adversely affect our ability to raise capital.</w:t>
      </w:r>
    </w:p>
    <w:p>
      <w:pPr>
        <w:spacing w:after="0" w:line="206" w:lineRule="auto"/>
        <w:rPr>
          <w:sz w:val="20"/>
          <w:szCs w:val="20"/>
          <w:color w:val="auto"/>
        </w:rPr>
      </w:pPr>
      <w:r>
        <w:rPr>
          <w:rFonts w:ascii="Times New Roman" w:cs="Times New Roman" w:eastAsia="Times New Roman" w:hAnsi="Times New Roman"/>
          <w:sz w:val="16"/>
          <w:szCs w:val="16"/>
          <w:color w:val="auto"/>
        </w:rPr>
        <w:t>In this respect, sustainable finance initiatives continue to evolve rapidly, and it is not possible at this stage to fully</w:t>
      </w:r>
    </w:p>
    <w:p>
      <w:pPr>
        <w:ind w:right="1420"/>
        <w:spacing w:after="0" w:line="203" w:lineRule="auto"/>
        <w:rPr>
          <w:sz w:val="20"/>
          <w:szCs w:val="20"/>
          <w:color w:val="auto"/>
        </w:rPr>
      </w:pPr>
      <w:r>
        <w:rPr>
          <w:rFonts w:ascii="Times New Roman" w:cs="Times New Roman" w:eastAsia="Times New Roman" w:hAnsi="Times New Roman"/>
          <w:sz w:val="16"/>
          <w:szCs w:val="16"/>
          <w:color w:val="auto"/>
        </w:rPr>
        <w:t>assess how our business will be affected with certainty. We are monitoring developments in relation to EU sustainable finance as well as corporate sustainability reporting and proposals for laws requiring due diligence of supply chains. Guidance from EU policymakers and financial supervisors changes frequently. We, our funds, and their portfolio companies are subject to a risk that similar measures might be introduced in other jurisdictions in which we or they currently have investments or plan to invest in the future.</w:t>
      </w:r>
    </w:p>
    <w:p>
      <w:pPr>
        <w:spacing w:after="0" w:line="206" w:lineRule="auto"/>
        <w:rPr>
          <w:sz w:val="20"/>
          <w:szCs w:val="20"/>
          <w:color w:val="auto"/>
        </w:rPr>
      </w:pPr>
      <w:r>
        <w:rPr>
          <w:rFonts w:ascii="Times New Roman" w:cs="Times New Roman" w:eastAsia="Times New Roman" w:hAnsi="Times New Roman"/>
          <w:sz w:val="16"/>
          <w:szCs w:val="16"/>
          <w:color w:val="auto"/>
        </w:rPr>
        <w:t>Moreover, on January 5, 2023, the Corporate Sustainability Reporting Directive (“CSRD”) came into force. Broadly,</w:t>
      </w:r>
    </w:p>
    <w:p>
      <w:pPr>
        <w:spacing w:after="0"/>
        <w:rPr>
          <w:sz w:val="20"/>
          <w:szCs w:val="20"/>
          <w:color w:val="auto"/>
        </w:rPr>
      </w:pPr>
      <w:r>
        <w:rPr>
          <w:rFonts w:ascii="Times New Roman" w:cs="Times New Roman" w:eastAsia="Times New Roman" w:hAnsi="Times New Roman"/>
          <w:sz w:val="14"/>
          <w:szCs w:val="14"/>
          <w:color w:val="auto"/>
        </w:rPr>
        <w:t>CSRD amends and strengthens the rules introduced on sustainability reporting for companies, banks, and insurance companies</w:t>
      </w:r>
    </w:p>
    <w:p>
      <w:pPr>
        <w:sectPr>
          <w:pgSz w:w="11900" w:h="16840" w:orient="portrait"/>
          <w:cols w:equalWidth="0" w:num="1">
            <w:col w:w="9400"/>
          </w:cols>
          <w:pgMar w:left="1060" w:top="557" w:right="1440" w:bottom="103" w:gutter="0" w:footer="0" w:header="0"/>
        </w:sectPr>
      </w:pPr>
    </w:p>
    <w:bookmarkStart w:id="41" w:name="page42"/>
    <w:bookmarkEnd w:id="41"/>
    <w:p>
      <w:pPr>
        <w:ind w:right="1480"/>
        <w:spacing w:after="0" w:line="208" w:lineRule="auto"/>
        <w:rPr>
          <w:sz w:val="20"/>
          <w:szCs w:val="20"/>
          <w:color w:val="auto"/>
        </w:rPr>
      </w:pPr>
      <w:r>
        <w:rPr>
          <w:rFonts w:ascii="Times New Roman" w:cs="Times New Roman" w:eastAsia="Times New Roman" w:hAnsi="Times New Roman"/>
          <w:sz w:val="16"/>
          <w:szCs w:val="16"/>
          <w:color w:val="auto"/>
        </w:rPr>
        <w:t>under the Non-Financial Reporting Directive (2014/95/EU) (“NFRD”). CSRD will require a much broader range of companies to produce detailed and prescriptive reports on sustainability -related matters within their financial statements, including large EU companies (including EU subsidiaries of non-EU parent companies), EU and non-EU-companies (including small and midsize enterprises) with listed securities on EU-regulated markets (except micro -undertakings), and non-EU companies with significant turnover and a legal presence on EU markets.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The reporting requirements are phased in from 2024, with the first reports including audited information on sustainability - related matters being published in 2025 to cover the 2024 fiscal year. There still is uncertainty around the specific requirements of CSRD reporting as the sector - specific reporting standards under CSRD are still due to be published within delegated acts and only the draft standards are currently available. There can be no assurance that adverse developments with respect to such risks will not adversely affect assets held by our funds in certain countries or the returns from these assets. The FCA introduced a regulatory framework that focused on implementing the recommendations of the Financial</w:t>
      </w:r>
    </w:p>
    <w:p>
      <w:pPr>
        <w:spacing w:after="0" w:line="3"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Stability Board Taskforce on Climate-related Financial Disclosures (“TCFD”), in particular, by introducing mandatory TCFD-aligned disclosure requirements for certain FCA authorized firms. These rules are set out in the ESG Sourcebook in the Business Standards section of the FCA Handbook of Rules and Guidance (“ESG Sourcebook”) . The rules capture certain asset managers including, so far as relevant, certain private fund advisors such as CECP and investment portfolio managers such as CELF, as well as insurers and FCA- regulated pension providers. There is a phased approach to the implementation of these rules. For the largest in-scope firms (those with over £ 50 billion in AUM calculated as a 3-year rolling average), the rules applied beginning January 1, 2022, with the first public disclosures made by June 30, 2023. For those below this threshold but above £ 5 billion in AUM (calculated as a 3- year rolling average), the rules applied beginning January 1, 2023, with disclosures made by June 30, 2024.</w:t>
      </w:r>
    </w:p>
    <w:p>
      <w:pPr>
        <w:spacing w:after="0" w:line="208" w:lineRule="auto"/>
        <w:rPr>
          <w:sz w:val="20"/>
          <w:szCs w:val="20"/>
          <w:color w:val="auto"/>
        </w:rPr>
      </w:pPr>
      <w:r>
        <w:rPr>
          <w:rFonts w:ascii="Times New Roman" w:cs="Times New Roman" w:eastAsia="Times New Roman" w:hAnsi="Times New Roman"/>
          <w:sz w:val="16"/>
          <w:szCs w:val="16"/>
          <w:color w:val="auto"/>
        </w:rPr>
        <w:t>On November 28, 2023, the UK FCA published rules and guidance for sustainability disclosure requirements (“SDR”)</w:t>
      </w:r>
    </w:p>
    <w:p>
      <w:pPr>
        <w:ind w:right="1400"/>
        <w:spacing w:after="0" w:line="238" w:lineRule="auto"/>
        <w:rPr>
          <w:sz w:val="20"/>
          <w:szCs w:val="20"/>
          <w:color w:val="auto"/>
        </w:rPr>
      </w:pPr>
      <w:r>
        <w:rPr>
          <w:rFonts w:ascii="Times New Roman" w:cs="Times New Roman" w:eastAsia="Times New Roman" w:hAnsi="Times New Roman"/>
          <w:sz w:val="14"/>
          <w:szCs w:val="14"/>
          <w:color w:val="auto"/>
        </w:rPr>
        <w:t>and sustainability labels for investment products (“PS23/16”), which specifies, among other requirements, an anti -greenwashing rule and sustainability-related disclosure requirements in respect of certain financial products and firms. The new rules have been added to the ESG Sourcebook and focus on UK managers and UK-managed funds and do not cover overseas managers or products marketed in the UK. However, the FCA has indicated that it intends to undertake a further consultation on expanding the scope of these requirements potentially to cover portfolio managers (particularly discretionary wealth management services, although the scope of the extension is unclear and could be much broader), overseas products, and pension products, which could capture more substantively our UK advisors and non-UK entities in future. The only rule under SDR that applies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FCA-regulated firms is the new anti-greenwashing rule, which applies when communicating with or approving financial promotions directed at UK clients from May 31, 2024. This regime diverges from other international sustainability-related disclosure regimes, including the EU SFDR and the SEC proposals. We are monitoring these developments, particularly how they may impact our businesses. Additional regulatory costs may be incurred if following an extension, SDR materially applies to our UK authorized entities and/or funds in future. Such new rules may also have an impact on our fund investment strategies and financial returns, as a result.</w:t>
      </w:r>
    </w:p>
    <w:p>
      <w:pPr>
        <w:spacing w:after="0" w:line="206" w:lineRule="auto"/>
        <w:rPr>
          <w:sz w:val="20"/>
          <w:szCs w:val="20"/>
          <w:color w:val="auto"/>
        </w:rPr>
      </w:pPr>
      <w:r>
        <w:rPr>
          <w:rFonts w:ascii="Times New Roman" w:cs="Times New Roman" w:eastAsia="Times New Roman" w:hAnsi="Times New Roman"/>
          <w:sz w:val="16"/>
          <w:szCs w:val="16"/>
          <w:color w:val="auto"/>
        </w:rPr>
        <w:t>Compliance with sustainable finance frameworks of this nature, including the Taxonomy Regulation, the SFDR, and</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CSRD, has and will continue to create an additional compliance burden and increased legal, compliance, governance, reporting, and other costs to us, our funds, and their portfolio companies because of the need to collect certain information to meet the disclosure requirements, the need to update or develop new policies and processes to meet regulatory requirements and associated ESG commitments, claims, and initiatives, and changes to the manner in which we, our funds, or their portfolio companies conduct business. In addition, where there are uncertainties regarding the operation of sustainable finance frameworks, a lack of official, conflicting, or inconsistent regulatory guidance, a lack of established market practice, and/or data gaps or methodological challenges affecting the ability to collect relevant data us and our portfolio companies may be required to engage third party advisors and/or service providers to fulfill the requirements, thereby exacerbating any increase in compliance burden and costs.</w:t>
      </w:r>
    </w:p>
    <w:p>
      <w:pPr>
        <w:spacing w:after="0" w:line="208" w:lineRule="auto"/>
        <w:rPr>
          <w:sz w:val="20"/>
          <w:szCs w:val="20"/>
          <w:color w:val="auto"/>
        </w:rPr>
      </w:pPr>
      <w:r>
        <w:rPr>
          <w:rFonts w:ascii="Times New Roman" w:cs="Times New Roman" w:eastAsia="Times New Roman" w:hAnsi="Times New Roman"/>
          <w:sz w:val="16"/>
          <w:szCs w:val="16"/>
          <w:i w:val="1"/>
          <w:iCs w:val="1"/>
          <w:color w:val="auto"/>
        </w:rPr>
        <w:t xml:space="preserve">Appointed Representative Arrangements. </w:t>
      </w:r>
      <w:r>
        <w:rPr>
          <w:rFonts w:ascii="Times New Roman" w:cs="Times New Roman" w:eastAsia="Times New Roman" w:hAnsi="Times New Roman"/>
          <w:sz w:val="16"/>
          <w:szCs w:val="16"/>
          <w:color w:val="auto"/>
        </w:rPr>
        <w:t>Appointed representative arrangements are an area of increased regulatory</w:t>
      </w:r>
    </w:p>
    <w:p>
      <w:pPr>
        <w:ind w:right="1460"/>
        <w:spacing w:after="0" w:line="243" w:lineRule="auto"/>
        <w:rPr>
          <w:sz w:val="20"/>
          <w:szCs w:val="20"/>
          <w:color w:val="auto"/>
        </w:rPr>
      </w:pPr>
      <w:r>
        <w:rPr>
          <w:rFonts w:ascii="Times New Roman" w:cs="Times New Roman" w:eastAsia="Times New Roman" w:hAnsi="Times New Roman"/>
          <w:sz w:val="14"/>
          <w:szCs w:val="14"/>
          <w:color w:val="auto"/>
        </w:rPr>
        <w:t>focus in the United Kingdom. The FCA has reemphasized the need for principals to take effective responsibility for, and have appropriate systems in place to adequately supervise, their appointed representatives. CECP is a principal firm that bears responsibility for CIC. On December 8, 2022, the FCA updated the rules on appointed representatives, which include more extensive obligations on principal firms, and we have updated our policies and procedures to take account of the amended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ensure CIC and CECP remain compliant.</w:t>
      </w:r>
    </w:p>
    <w:p>
      <w:pPr>
        <w:spacing w:after="0" w:line="207" w:lineRule="auto"/>
        <w:rPr>
          <w:sz w:val="20"/>
          <w:szCs w:val="20"/>
          <w:color w:val="auto"/>
        </w:rPr>
      </w:pPr>
      <w:r>
        <w:rPr>
          <w:rFonts w:ascii="Times New Roman" w:cs="Times New Roman" w:eastAsia="Times New Roman" w:hAnsi="Times New Roman"/>
          <w:sz w:val="16"/>
          <w:szCs w:val="16"/>
          <w:i w:val="1"/>
          <w:iCs w:val="1"/>
          <w:color w:val="auto"/>
        </w:rPr>
        <w:t xml:space="preserve">Leveraged Transactions. </w:t>
      </w:r>
      <w:r>
        <w:rPr>
          <w:rFonts w:ascii="Times New Roman" w:cs="Times New Roman" w:eastAsia="Times New Roman" w:hAnsi="Times New Roman"/>
          <w:sz w:val="16"/>
          <w:szCs w:val="16"/>
          <w:color w:val="auto"/>
        </w:rPr>
        <w:t>In May 2017, the European Central Bank (“ECB”) issued guidance on leveraged</w:t>
      </w:r>
    </w:p>
    <w:p>
      <w:pPr>
        <w:ind w:right="1420"/>
        <w:spacing w:after="0"/>
        <w:rPr>
          <w:sz w:val="20"/>
          <w:szCs w:val="20"/>
          <w:color w:val="auto"/>
        </w:rPr>
      </w:pPr>
      <w:r>
        <w:rPr>
          <w:rFonts w:ascii="Times New Roman" w:cs="Times New Roman" w:eastAsia="Times New Roman" w:hAnsi="Times New Roman"/>
          <w:sz w:val="14"/>
          <w:szCs w:val="14"/>
          <w:color w:val="auto"/>
        </w:rPr>
        <w:t xml:space="preserve">transactions, which applies to significant credit institutions supervised by the ECB in member states of the Eurozone. Under the guidance, credit institutions should have in place internal policies that include a definition of “leveraged transactions.” Loans or credit exposures to a borrower should be regarded as leveraged transactions if: (i) the borrower’s post-financing level of leverage exceeds a total debt to EBITDA ratio of 4.0 times, or (ii) the borrower is owned by one or more “financial sponsors.” For these purposes, a financial sponsor is an investment firm that undertakes private equity investments in and/or leveraged buyouts of companies. Following these guidelines, credit institutions in the Eurozone could in the future limit, delay, or restrict the availability of credit and/or increase the cost of credit for our investment funds or portfolio companies involved in leveraged transactions. This policy area remains under close scrutiny and further guidance could be issued on short notice in the future. </w:t>
      </w:r>
      <w:r>
        <w:rPr>
          <w:rFonts w:ascii="Times New Roman" w:cs="Times New Roman" w:eastAsia="Times New Roman" w:hAnsi="Times New Roman"/>
          <w:sz w:val="14"/>
          <w:szCs w:val="14"/>
          <w:i w:val="1"/>
          <w:iCs w:val="1"/>
          <w:color w:val="auto"/>
        </w:rPr>
        <w:t>CSPD</w:t>
      </w:r>
      <w:r>
        <w:rPr>
          <w:rFonts w:ascii="Times New Roman" w:cs="Times New Roman" w:eastAsia="Times New Roman" w:hAnsi="Times New Roman"/>
          <w:sz w:val="14"/>
          <w:szCs w:val="14"/>
          <w:color w:val="auto"/>
        </w:rPr>
        <w:t>. In March 2018, the European Commission published a proposal for a directive governing credit servicers,</w:t>
      </w:r>
    </w:p>
    <w:p>
      <w:pPr>
        <w:spacing w:after="0" w:line="117"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credit purchasers, and the recovery of collateral in connection with loans (the “Credit Servicers and Purchasers Directive” or “CSPD”). The policy aim behind the CSPD is the development of a well-functioning secondary market for non -performing loans. The CSPD was finalized and published in the Official Journal of the European Union on December 8, 2021, and entered into force on December 28, 2021. Member states are required to adopt and apply measures implementing the CSPD by December 30, 2023, and entities carrying on credit servicing activities from December 30, 2023, will be required to obtain authorization under the CSPD by June 29, 2024.</w:t>
      </w:r>
    </w:p>
    <w:p>
      <w:pPr>
        <w:spacing w:after="0" w:line="206" w:lineRule="auto"/>
        <w:rPr>
          <w:sz w:val="20"/>
          <w:szCs w:val="20"/>
          <w:color w:val="auto"/>
        </w:rPr>
      </w:pPr>
      <w:r>
        <w:rPr>
          <w:rFonts w:ascii="Times New Roman" w:cs="Times New Roman" w:eastAsia="Times New Roman" w:hAnsi="Times New Roman"/>
          <w:sz w:val="16"/>
          <w:szCs w:val="16"/>
          <w:color w:val="auto"/>
        </w:rPr>
        <w:t>The CSPD applies to, among others, “credit servicers” and “credit purchasers” and imposes a number of new</w:t>
      </w:r>
    </w:p>
    <w:p>
      <w:pPr>
        <w:spacing w:after="0" w:line="1" w:lineRule="exact"/>
        <w:rPr>
          <w:sz w:val="20"/>
          <w:szCs w:val="20"/>
          <w:color w:val="auto"/>
        </w:rPr>
      </w:pPr>
    </w:p>
    <w:p>
      <w:pPr>
        <w:ind w:right="1540"/>
        <w:spacing w:after="0" w:line="268" w:lineRule="auto"/>
        <w:rPr>
          <w:sz w:val="20"/>
          <w:szCs w:val="20"/>
          <w:color w:val="auto"/>
        </w:rPr>
      </w:pPr>
      <w:r>
        <w:rPr>
          <w:rFonts w:ascii="Times New Roman" w:cs="Times New Roman" w:eastAsia="Times New Roman" w:hAnsi="Times New Roman"/>
          <w:sz w:val="14"/>
          <w:szCs w:val="14"/>
          <w:color w:val="auto"/>
        </w:rPr>
        <w:t>requirements relating to licensing, conduct of business, and provision of information. The definition of “credit servicer” in the Commission proposal is sufficiently broad that it could be construed to include asset managers. The Directive limits the scope</w:t>
      </w:r>
    </w:p>
    <w:p>
      <w:pPr>
        <w:sectPr>
          <w:pgSz w:w="11900" w:h="16840" w:orient="portrait"/>
          <w:cols w:equalWidth="0" w:num="1">
            <w:col w:w="9400"/>
          </w:cols>
          <w:pgMar w:left="1060" w:top="557" w:right="1440" w:bottom="97" w:gutter="0" w:footer="0" w:header="0"/>
        </w:sectPr>
      </w:pPr>
    </w:p>
    <w:bookmarkStart w:id="42" w:name="page43"/>
    <w:bookmarkEnd w:id="42"/>
    <w:p>
      <w:pPr>
        <w:ind w:right="1440"/>
        <w:spacing w:after="0" w:line="206" w:lineRule="auto"/>
        <w:rPr>
          <w:sz w:val="20"/>
          <w:szCs w:val="20"/>
          <w:color w:val="auto"/>
        </w:rPr>
      </w:pPr>
      <w:r>
        <w:rPr>
          <w:rFonts w:ascii="Times New Roman" w:cs="Times New Roman" w:eastAsia="Times New Roman" w:hAnsi="Times New Roman"/>
          <w:sz w:val="16"/>
          <w:szCs w:val="16"/>
          <w:color w:val="auto"/>
        </w:rPr>
        <w:t>of the requirements for credit servicers and credit purchasers to the servicing or purchasing of credit agreements originally issued by a credit institution established in the European Union or its subsidiaries established in the European Union. This is subject, however, to individual member state discretion. Such member states may choose to extend the CSPD requirements to credit agreements that are not issued by an EU credit institution. Subject to the aforementioned potential extension of scope by individual member states, the servicing of loans originally advanced by credit funds (rather than, for example, an EU bank) will fall outside the scope of the CSPD. Asset managers are unlikely to act as principal credit purchasers. However, they may purchase in -scope credit agreements as agent on behalf of the funds or separately managed accounts for whom they are acting and therefore may in practice be required to discharge the associated obligations on behalf of underlying clients. Compliance with these rules could involve a material cost to our business.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Hong Kong Security Law. </w:t>
      </w:r>
      <w:r>
        <w:rPr>
          <w:rFonts w:ascii="Times New Roman" w:cs="Times New Roman" w:eastAsia="Times New Roman" w:hAnsi="Times New Roman"/>
          <w:sz w:val="16"/>
          <w:szCs w:val="16"/>
          <w:color w:val="auto"/>
        </w:rPr>
        <w:t>On June 30, 2020, the National People’s Congress of China passed a national security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“National Security Law”), which criminalizes certain offenses including secession, subversion of the Chinese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03" w:lineRule="auto"/>
        <w:rPr>
          <w:sz w:val="20"/>
          <w:szCs w:val="20"/>
          <w:color w:val="auto"/>
        </w:rPr>
      </w:pPr>
      <w:r>
        <w:rPr>
          <w:rFonts w:ascii="Times New Roman" w:cs="Times New Roman" w:eastAsia="Times New Roman" w:hAnsi="Times New Roman"/>
          <w:sz w:val="16"/>
          <w:szCs w:val="16"/>
          <w:color w:val="auto"/>
        </w:rPr>
        <w:t>terrorism, and collusion with foreign entities. The National Security Law also applies to nonpermanent residents. Although the extra -territorial reach of the National Security Law remains unclear, there is a risk that the application of the National Security Law to conduct outside Hong Kong by nonpermanent residents of Hong Kong could limit the activities of or negatively affect us, our investment funds, and/or portfolio companies. The National Security Law has been condemned by the United States, the United Kingdom, and several EU countries. The United States and other countries may take action against China, its leaders, and leaders of Hong Kong, which may include the imposition of sanctions. Escalation of tensions resulting from the National Security Law, including conflict between China and other countries, protests, and other government measures, as well as other economic, social, or political unrest in the future, could adversely impact the security and stability of the region and may have a material adverse effect on countries in which we, our investment funds, and portfolio companies or any of their respective personnel or assets are located. In addition, any downturn in Hong Kong’s economy could adversely affect our financial statements and our investments or could have a significant impact on the industries in which we participate, and may adversely affect our operations, our investment funds, and portfolio companies, including the retention of investment and other key professionals located in Hong Kong.</w:t>
      </w:r>
    </w:p>
    <w:p>
      <w:pPr>
        <w:spacing w:after="0" w:line="5" w:lineRule="exact"/>
        <w:rPr>
          <w:sz w:val="20"/>
          <w:szCs w:val="20"/>
          <w:color w:val="auto"/>
        </w:rPr>
      </w:pPr>
    </w:p>
    <w:p>
      <w:pPr>
        <w:ind w:right="1500" w:firstLine="576"/>
        <w:spacing w:after="0"/>
        <w:rPr>
          <w:sz w:val="20"/>
          <w:szCs w:val="20"/>
          <w:color w:val="auto"/>
        </w:rPr>
      </w:pPr>
      <w:r>
        <w:rPr>
          <w:rFonts w:ascii="Times New Roman" w:cs="Times New Roman" w:eastAsia="Times New Roman" w:hAnsi="Times New Roman"/>
          <w:sz w:val="14"/>
          <w:szCs w:val="14"/>
          <w:i w:val="1"/>
          <w:iCs w:val="1"/>
          <w:color w:val="auto"/>
        </w:rPr>
        <w:t xml:space="preserve">Chinese Regulations. </w:t>
      </w:r>
      <w:r>
        <w:rPr>
          <w:rFonts w:ascii="Times New Roman" w:cs="Times New Roman" w:eastAsia="Times New Roman" w:hAnsi="Times New Roman"/>
          <w:sz w:val="14"/>
          <w:szCs w:val="14"/>
          <w:color w:val="auto"/>
        </w:rPr>
        <w:t>In August 2014, the China Securities Regulatory Commission (the “CSRC”), the Chinese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regulator, promulgated the Interim Regulations on the Supervision and Administration of Private Investment Funds (the “CSRC Regulations”). The CSRC Regulations adopt a broad definition of private investment funds, including private equity funds. In accordance with the CSRC Regulations and other relevant PRC laws, regulations, and authorizations, the CSRC has become the principal regulator of private equity funds in China. In December 2020, the CSRC further promulgated Several Provisions on Strengthening the Regulation of Private Investment Funds, pursuant to which the CSRC strengthened its regulations on private investment funds and private investment fund managers. In July 2023, the State Council of the People’s Republic of China promulgated the first administrative regulation in the private fund (including private equity and venture capital funds) sector in China, the Regulations on Supervision and Administration of Private Investment Funds, which took effect in September 2023 and set out high-level principles and rules regarding major issues in the industry. CSRC has designated the Asset Management Association of China (the “AMAC”), an industry body, with responsibility to introduce and promote regulations toward a degree of self-regulation across private equity funds in China. In recent years, regulations, directives, and guidelines from the AMAC have continued to regulate private investment funds incorporated in China, in addition to the regulations and directives from the CSRC and the AMAC.</w:t>
      </w:r>
    </w:p>
    <w:p>
      <w:pPr>
        <w:spacing w:after="0" w:line="92"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 xml:space="preserve">If a private equity fund wishes to accept capital contributions from a PRC governmental body or authority, that fund also needs to subject itself (including specific conditions regarding the general partner and/or the private investment fund manager) to the supervision of the National Development and Reform Commission (the “NDRC”). If a private equity fund wishes to accept capital contributions from a PRC insurance company, that fund also needs to subject itself (including specific conditions regarding the general partner and/or the private investment fund manager) to the supervision of the China Banking and Insurance Regulatory Commission (the “CBIRC”) . In accordance with the NDRC’s regulations on governmental fund of funds’ participation in equity investment funds, and/or the CBIRC’s regulations on insurance companies, the private investment fund is subject to requirements relating to the industry focus, investment scope, investment restrictions, risk control, and information disclosure. The general partner and/or the private investment fund manager are also subject to additional restrictions and qualification requirements and are required to fulfill reporting and filing obligations to the NDRC and/or the CBIRC (in addition to any reporting or filing obligations to the CSRC, the AMAC, local financial bureaus, or others). These regulations may have an adverse effect on us and/or our </w:t>
      </w:r>
      <w:r>
        <w:rPr>
          <w:rFonts w:ascii="Times New Roman" w:cs="Times New Roman" w:eastAsia="Times New Roman" w:hAnsi="Times New Roman"/>
          <w:sz w:val="16"/>
          <w:szCs w:val="16"/>
          <w:color w:val="222222"/>
        </w:rPr>
        <w:t>renminbi (</w:t>
      </w:r>
      <w:r>
        <w:rPr>
          <w:rFonts w:ascii="Times New Roman" w:cs="Times New Roman" w:eastAsia="Times New Roman" w:hAnsi="Times New Roman"/>
          <w:sz w:val="16"/>
          <w:szCs w:val="16"/>
          <w:color w:val="auto"/>
        </w:rPr>
        <w:t>RMB)-denominated investment funds by, among other things, increasing the regulatory burden and costs of raising money for RMB-denominated investment funds if we admit investors that are regulated by the above regulators.</w:t>
      </w:r>
    </w:p>
    <w:p>
      <w:pPr>
        <w:spacing w:after="0" w:line="6" w:lineRule="exact"/>
        <w:rPr>
          <w:sz w:val="20"/>
          <w:szCs w:val="20"/>
          <w:color w:val="auto"/>
        </w:rPr>
      </w:pPr>
    </w:p>
    <w:p>
      <w:pPr>
        <w:ind w:right="1520"/>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Data Privacy. </w:t>
      </w:r>
      <w:r>
        <w:rPr>
          <w:rFonts w:ascii="Times New Roman" w:cs="Times New Roman" w:eastAsia="Times New Roman" w:hAnsi="Times New Roman"/>
          <w:sz w:val="14"/>
          <w:szCs w:val="14"/>
          <w:color w:val="auto"/>
        </w:rPr>
        <w:t>Many foreign countries and governmental bodies, including the European Union and other relevant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jurisdictions where Carlyle and our portfolio companies conduct business, have laws and regulations concerning the collection and use of PII and other data obtained from their residents or by businesses operating within their jurisdiction that are more restrictive than, and could in some cases conflict with, those in the United States. See “Risks Related to Regulation and Litigation—Laws and regulations relating to privacy, data protection, data transfers, data localization, and data security worldwide may limit the use and adoption of our services and adversely affect our business” for more information.</w:t>
      </w:r>
    </w:p>
    <w:p>
      <w:pPr>
        <w:spacing w:after="0" w:line="3" w:lineRule="exact"/>
        <w:rPr>
          <w:sz w:val="20"/>
          <w:szCs w:val="20"/>
          <w:color w:val="auto"/>
        </w:rPr>
      </w:pPr>
    </w:p>
    <w:p>
      <w:pPr>
        <w:ind w:right="1420" w:firstLine="576"/>
        <w:spacing w:after="0" w:line="238" w:lineRule="auto"/>
        <w:rPr>
          <w:sz w:val="20"/>
          <w:szCs w:val="20"/>
          <w:color w:val="auto"/>
        </w:rPr>
      </w:pPr>
      <w:r>
        <w:rPr>
          <w:rFonts w:ascii="Times New Roman" w:cs="Times New Roman" w:eastAsia="Times New Roman" w:hAnsi="Times New Roman"/>
          <w:sz w:val="14"/>
          <w:szCs w:val="14"/>
          <w:i w:val="1"/>
          <w:iCs w:val="1"/>
          <w:color w:val="auto"/>
        </w:rPr>
        <w:t xml:space="preserve">Other Similar Measures. </w:t>
      </w:r>
      <w:r>
        <w:rPr>
          <w:rFonts w:ascii="Times New Roman" w:cs="Times New Roman" w:eastAsia="Times New Roman" w:hAnsi="Times New Roman"/>
          <w:sz w:val="14"/>
          <w:szCs w:val="14"/>
          <w:color w:val="auto"/>
        </w:rPr>
        <w:t>Our investment businesses are subject to risk that similar measures might be introduced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countries in which our investment funds currently have investments or plan to invest in the future, or that other legislative or regulatory measures that negatively affect their respective portfolio investments might be promulgated in any of the countries in which they invest. The reporting related to such initiatives may divert the attention of our personnel and the management teams of our portfolio companies. Moreover, sensitive business information relating to us or our portfolio companies could be publicly released. See “Risks Related to Our Business Operations—Risks Related to the Assets We Manage—Our funds make investments in companies that are based outside of the United States, which may expose us to additional risks not typically</w:t>
      </w:r>
    </w:p>
    <w:p>
      <w:pPr>
        <w:sectPr>
          <w:pgSz w:w="11900" w:h="16840" w:orient="portrait"/>
          <w:cols w:equalWidth="0" w:num="1">
            <w:col w:w="9400"/>
          </w:cols>
          <w:pgMar w:left="1060" w:top="557" w:right="1440" w:bottom="1055"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associated with investing in companies that are based in the United States” and Item 1 “Business—Regulatory and Compliance Matters.”</w:t>
      </w:r>
    </w:p>
    <w:p>
      <w:pPr>
        <w:spacing w:after="0" w:line="1"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Laws and regulations on foreign direct investment applicable to us and our funds’ portfolio companies, both within and outside the United States, may make it more difficult for us to deploy capital in certain jurisdictions or to sell assets to certain buyers.</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Several jurisdictions, including the United States, have restrictions on foreign direct investment pursuant to which their respective heads of state and/or regulatory bodies have the authority to block or impose conditions with respect to certain transactions, such as investments, acquisitions, and divestitures, if such transaction threatens to impair national security. In addition, many jurisdictions restrict foreign investment in assets important to national security by taking steps including, but not limited to, placing limitations on foreign equity investment, implementing investment screening or approval mechanisms, and restricting the employment of foreigners as key personnel. These U.S. and foreign laws could limit our funds’ ability to invest in certain businesses or entities or impose burdensome notification requirements, operational restrictions, or delays in pursuing and consummating transactions. For example, CFIUS has the authority to review transactions that could result in potential control of, or certain types of non-controlling investments in, a U.S. business or U.S. real estate by a foreign person. In recent years, legislation has expanded the scope of CFIUS’ jurisdiction to cover more types of transactions and empower CFIUS to scrutinize more closely investments in certain transactions. CFIUS may recommend that the President block, unwind, or impose conditions or terms on such transactions, certain of which may adversely affect the ability of the fund to execute on its investment strategy with respect to such transaction as well as limit our flexibility in structuring or financing certain transactions. In addition, CFIUS or any non-U.S. equivalents thereof may seek to impose limitations on one or more such investments that may prevent us from maintaining or pursuing investment opportunities that we otherwise would have maintained or pursued, which could make it more difficult for us to deploy capital in certain of our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August 2023, then-President Biden signed an Executive Order establishing an outbound investment screening</w:t>
      </w:r>
    </w:p>
    <w:p>
      <w:pPr>
        <w:ind w:right="1440"/>
        <w:spacing w:after="0" w:line="203" w:lineRule="auto"/>
        <w:rPr>
          <w:sz w:val="20"/>
          <w:szCs w:val="20"/>
          <w:color w:val="auto"/>
        </w:rPr>
      </w:pPr>
      <w:r>
        <w:rPr>
          <w:rFonts w:ascii="Times New Roman" w:cs="Times New Roman" w:eastAsia="Times New Roman" w:hAnsi="Times New Roman"/>
          <w:sz w:val="16"/>
          <w:szCs w:val="16"/>
          <w:color w:val="auto"/>
        </w:rPr>
        <w:t>regime intended to regulate or prohibit certain investments by U.S. persons in advanced technology sectors in China and other jurisdictions that may be designated as a “country of concern.” Pursuant to this regime, on October 28, 2024, the U.S. Department of the Treasury issued final regulations of the Outbound Investment Security Program, which became effective on January 2, 2025. The final regulations require notification of (and, in some instances, prohibit) investments by U.S. persons and U.S.-controlled entities where such investment could provide capital or intangible benefits (e.g., reputational benefits, managerial assistance, or access to talent networks) and support the development of advanced technologies in, or by persons associated with, “countries of concern” in the areas of: (i) semiconductors and integrated circuits, (ii) quantum computing, networking, and communications, and (iii) artificial intelligence. At present, the only “country of concern” is the People’s Republic of China, including Hong Kong and Macau. In addition, state regulatory agencies may impose restrictions on private funds’ investments in certain types of assets, which could affect our funds’ ability to find attractive and diversified investments and to complete such investments in a timely manner.</w:t>
      </w:r>
    </w:p>
    <w:p>
      <w:pPr>
        <w:spacing w:after="0" w:line="209" w:lineRule="auto"/>
        <w:rPr>
          <w:sz w:val="20"/>
          <w:szCs w:val="20"/>
          <w:color w:val="auto"/>
        </w:rPr>
      </w:pPr>
      <w:r>
        <w:rPr>
          <w:rFonts w:ascii="Times New Roman" w:cs="Times New Roman" w:eastAsia="Times New Roman" w:hAnsi="Times New Roman"/>
          <w:sz w:val="16"/>
          <w:szCs w:val="16"/>
          <w:color w:val="auto"/>
        </w:rPr>
        <w:t>Our investments outside of the United States also may face delays, limitations, or restrictions as a result of</w:t>
      </w:r>
    </w:p>
    <w:p>
      <w:pPr>
        <w:ind w:right="1440"/>
        <w:spacing w:after="0"/>
        <w:rPr>
          <w:sz w:val="20"/>
          <w:szCs w:val="20"/>
          <w:color w:val="auto"/>
        </w:rPr>
      </w:pPr>
      <w:r>
        <w:rPr>
          <w:rFonts w:ascii="Times New Roman" w:cs="Times New Roman" w:eastAsia="Times New Roman" w:hAnsi="Times New Roman"/>
          <w:sz w:val="14"/>
          <w:szCs w:val="14"/>
          <w:color w:val="auto"/>
        </w:rPr>
        <w:t>notifications made under and/or compliance with these legal regimes and rapidly changing agency practices. Other countries continue to establish and/or strengthen their own national security investment clearance regimes, which could have a corresponding effect of limiting our ability to make investments in such countries. Heightened scrutiny of foreign direct investment worldwide also may make it more difficult for us to identify suitable buyers for investments upon exit and may constrain the universe of exit opportunities for an investment in a portfolio company. As a result of such regimes, we may incur significant delays and costs, be altogether prohibited from making a particular investment, or impede or restrict syndication or sale of certain assets to certain buyers, all of which could adversely affect the performance of our funds and, in turn, materially reduce our revenues and cash flow. Complying with these laws imposes potentially significant costs and complex additional burdens, and any failure by us or our funds’ portfolio companies to comply with them could expose us to significant penalties, sanctions, loss of future investment opportunities, additional regulatory scrutiny, and reputational harm.</w:t>
      </w:r>
    </w:p>
    <w:p>
      <w:pPr>
        <w:spacing w:after="0" w:line="112"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Increasing scrutiny from stakeholders on sustainability matters, including our ESG reporting, exposes us to reputational and other risks.</w:t>
      </w:r>
    </w:p>
    <w:p>
      <w:pPr>
        <w:spacing w:after="0" w:line="204" w:lineRule="auto"/>
        <w:rPr>
          <w:sz w:val="20"/>
          <w:szCs w:val="20"/>
          <w:color w:val="auto"/>
        </w:rPr>
      </w:pPr>
      <w:r>
        <w:rPr>
          <w:rFonts w:ascii="Times New Roman" w:cs="Times New Roman" w:eastAsia="Times New Roman" w:hAnsi="Times New Roman"/>
          <w:sz w:val="16"/>
          <w:szCs w:val="16"/>
          <w:color w:val="auto"/>
        </w:rPr>
        <w:t>We, our funds, and their portfolio companies face increasing public scrutiny related to sustainability and ESG</w:t>
      </w:r>
    </w:p>
    <w:p>
      <w:pPr>
        <w:spacing w:after="0" w:line="1" w:lineRule="exact"/>
        <w:rPr>
          <w:sz w:val="20"/>
          <w:szCs w:val="20"/>
          <w:color w:val="auto"/>
        </w:rPr>
      </w:pPr>
    </w:p>
    <w:p>
      <w:pPr>
        <w:ind w:right="1420"/>
        <w:spacing w:after="0" w:line="241" w:lineRule="auto"/>
        <w:rPr>
          <w:sz w:val="20"/>
          <w:szCs w:val="20"/>
          <w:color w:val="auto"/>
        </w:rPr>
      </w:pPr>
      <w:r>
        <w:rPr>
          <w:rFonts w:ascii="Times New Roman" w:cs="Times New Roman" w:eastAsia="Times New Roman" w:hAnsi="Times New Roman"/>
          <w:sz w:val="14"/>
          <w:szCs w:val="14"/>
          <w:color w:val="auto"/>
        </w:rPr>
        <w:t>activities as well as ESG policies, processes, and/or performance, including from fund investors, stockholders, regulators, and other stakeholders. We and they risk damage to our brand and reputation, if we or they fail or are perceived to have failed to act responsibly in several areas, such as environmental stewardship, support for local communities, corporate governance and transparency, and considering ESG factors in our investment processes. In addition, different stakeholder groups have divergent views on sustainability and ESG-related matters, including in the countries in which we operate and invest, as well as states and</w:t>
      </w:r>
    </w:p>
    <w:p>
      <w:pPr>
        <w:sectPr>
          <w:pgSz w:w="11900" w:h="16840" w:orient="portrait"/>
          <w:cols w:equalWidth="0" w:num="1">
            <w:col w:w="9400"/>
          </w:cols>
          <w:pgMar w:left="1060" w:top="144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54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rPr>
          <w:sz w:val="20"/>
          <w:szCs w:val="20"/>
          <w:color w:val="auto"/>
        </w:rPr>
      </w:pPr>
      <w:r>
        <w:rPr>
          <w:rFonts w:ascii="Times New Roman" w:cs="Times New Roman" w:eastAsia="Times New Roman" w:hAnsi="Times New Roman"/>
          <w:sz w:val="14"/>
          <w:szCs w:val="14"/>
          <w:color w:val="auto"/>
        </w:rPr>
        <w:t>localities where we serve public sector clients. This divergence increases the risk that any action or lack thereof with respect to ESG matters will be perceived negatively by at least some stakeholders and adversely impact our reputation and business. If we do not successfully manage various sustainability and ESG -related expectations across the varied interests of our stakeholders, it could erode stakeholder trust, impact our reputation, and constrain our investment opportunities. Adverse incidents with respect to sustainability and ESG-related activities or policies, processes, and/or performance, including any statements regarding the investment strategies of our funds or our funds’ ESG efforts or initiatives that are or are perceived to be inaccurate or misleading, could impact the value of our brand, or the brands of our funds or their portfolio companies, the cost of our or their operations, and relationships with investors, all of which could adversely affect our business and results of operations. In particular, there has been significant negative publicity and investor and regulatory focus on the phenomenon of “greenwashing” (i.e., making inaccurate or misleading statements regarding the sustainability or ESG-related characteristics of a product, business, or business practice). We could suffer significant reputational damage and regulatory scrutiny if we are subject to “greenwashing” accusations, including with respect to statements regarding the investment strategies of our funds or the ESG or sustainability efforts and initiatives by us, our funds, and our portfolio companies. Such accusations also could result in litigation and adversely impact our ability to raise capital and attract new investors.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Although we consider application of our sustainability strategy to be an opportunity to enhance or protect the</w:t>
      </w:r>
    </w:p>
    <w:p>
      <w:pPr>
        <w:ind w:right="1460"/>
        <w:spacing w:after="0" w:line="239" w:lineRule="auto"/>
        <w:rPr>
          <w:sz w:val="20"/>
          <w:szCs w:val="20"/>
          <w:color w:val="auto"/>
        </w:rPr>
      </w:pPr>
      <w:r>
        <w:rPr>
          <w:rFonts w:ascii="Times New Roman" w:cs="Times New Roman" w:eastAsia="Times New Roman" w:hAnsi="Times New Roman"/>
          <w:sz w:val="14"/>
          <w:szCs w:val="14"/>
          <w:color w:val="auto"/>
        </w:rPr>
        <w:t>performance of our investments over the long-term, we cannot guarantee that our sustainability strategy, which depends in part on qualitative judgments, will positively impact the financial or ESG performance of any individual investment or our funds as a whole. Similarly, to the extent we engage or a third-party sustainability advisor engages with portfolio companies on material ESG -related practices and potential enhancements thereto, there is no guarantee that such engagements will improve the long-term value of the investment. Successful engagement efforts on the part of us or a third -party sustainability or ESG advisor will depend on our or any such third-party advisor’s ability to identify and analyze material sustainability or ESG- related and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and their value, and there can be no assurance that the strategy or techniques employed will be successful. In addition,</w:t>
      </w:r>
    </w:p>
    <w:p>
      <w:pPr>
        <w:spacing w:after="0" w:line="237" w:lineRule="auto"/>
        <w:rPr>
          <w:sz w:val="20"/>
          <w:szCs w:val="20"/>
          <w:color w:val="auto"/>
        </w:rPr>
      </w:pPr>
      <w:r>
        <w:rPr>
          <w:rFonts w:ascii="Times New Roman" w:cs="Times New Roman" w:eastAsia="Times New Roman" w:hAnsi="Times New Roman"/>
          <w:sz w:val="16"/>
          <w:szCs w:val="16"/>
          <w:color w:val="auto"/>
        </w:rPr>
        <w:t>our sustainability strategy, including the associated procedures and practices, is expected to change over time.</w:t>
      </w:r>
    </w:p>
    <w:p>
      <w:pPr>
        <w:spacing w:after="0" w:line="204" w:lineRule="auto"/>
        <w:rPr>
          <w:sz w:val="20"/>
          <w:szCs w:val="20"/>
          <w:color w:val="auto"/>
        </w:rPr>
      </w:pPr>
      <w:r>
        <w:rPr>
          <w:rFonts w:ascii="Times New Roman" w:cs="Times New Roman" w:eastAsia="Times New Roman" w:hAnsi="Times New Roman"/>
          <w:sz w:val="16"/>
          <w:szCs w:val="16"/>
          <w:color w:val="auto"/>
        </w:rPr>
        <w:t>We and many of our portfolio companies undertake voluntary reporting on various sustainability matters, including,</w:t>
      </w:r>
    </w:p>
    <w:p>
      <w:pPr>
        <w:ind w:right="1440"/>
        <w:spacing w:after="0" w:line="203" w:lineRule="auto"/>
        <w:rPr>
          <w:sz w:val="20"/>
          <w:szCs w:val="20"/>
          <w:color w:val="auto"/>
        </w:rPr>
      </w:pPr>
      <w:r>
        <w:rPr>
          <w:rFonts w:ascii="Times New Roman" w:cs="Times New Roman" w:eastAsia="Times New Roman" w:hAnsi="Times New Roman"/>
          <w:sz w:val="16"/>
          <w:szCs w:val="16"/>
          <w:color w:val="auto"/>
        </w:rPr>
        <w:t>for example, GHG emissions, supply chain practices, and human capital management. The standards for tracking and reporting on sustainability matters are relatively new, have not been harmonized, and continue to evolve and we may fail to successfully implement or comply with these rapidly developing sustainability standards and requirements. Moreover, in conducting ESG reporting, we may seek to align with particular disclosure frameworks and/or reporting standards, which are evolving. Our selection of disclosure frameworks and reporting standards may change from time to time and may result in a lack of consistent or meaningful comparative data from period to period, as well as significant revisions to ESG goals, initiatives, commitments, or objectives or reported progress in achieving the same. Due to the lack of a single, comprehensive sustainability strategy that is utilized across all asset managers, we and our portfolio companies may utilize a combination of frameworks or develop proprietary frameworks where necessary and relevant. In addition, we and our portfolio companies’ selection of reporting frameworks or standards, and other methodological choices, such as the use of certain performance metrics, levels of quantification, value chain reporting, or materiality standards, may vary over time and may not always align with evolving investor and activist expectations or market practices. We and our portfolio companies may suffer reputational damage if our or their ESG disclosure is viewed as falling short of best practices, or if such reporting indicates ESG performance that does not meet investor, activist, employee, customer, or other stakeholder expectations. With respect to both voluntary and mandated ESG disclosures, we and our portfolio companies may not successfully implement measurement processes and disclosure controls and procedures that meet evolving investor, activist, or regulatory expectations. In addition, enhancements to such processes and controls may be costly and give rise to significant administrative burdens. For example, collecting, measuring, and reporting sustainability or ESG-related information and metrics can be costly, difficult, and time consuming, is subject to evolving reporting standards, and can present numerous operational, reputational, financial, legal, and other risks. If we or our portfolio companies do not successfully implement controls related to reporting sustainability or ESG- related information, this could result in legal liability and reputational damage, which could impact our ability to attract and retain investors and employees.</w:t>
      </w:r>
    </w:p>
    <w:p>
      <w:pPr>
        <w:spacing w:after="0" w:line="9"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substantial risk of litigation and regulatory proceedings and may face significant liabilities and damage to our reputation as a result of allegations of improper conduct and negative publicity.</w:t>
      </w:r>
    </w:p>
    <w:p>
      <w:pPr>
        <w:spacing w:after="0" w:line="1" w:lineRule="exact"/>
        <w:rPr>
          <w:sz w:val="20"/>
          <w:szCs w:val="20"/>
          <w:color w:val="auto"/>
        </w:rPr>
      </w:pPr>
    </w:p>
    <w:p>
      <w:pPr>
        <w:ind w:right="1520"/>
        <w:spacing w:after="0" w:line="241" w:lineRule="auto"/>
        <w:rPr>
          <w:sz w:val="20"/>
          <w:szCs w:val="20"/>
          <w:color w:val="auto"/>
        </w:rPr>
      </w:pPr>
      <w:r>
        <w:rPr>
          <w:rFonts w:ascii="Times New Roman" w:cs="Times New Roman" w:eastAsia="Times New Roman" w:hAnsi="Times New Roman"/>
          <w:sz w:val="14"/>
          <w:szCs w:val="14"/>
          <w:color w:val="auto"/>
        </w:rPr>
        <w:t>From time to time we, our funds, and our funds’ portfolio companies have been and may be subject to litigation, including securities class action lawsuits by stockholders, as well as class action lawsuits that challenge our acquisition transactions and/or attempt to enjoin them. For a discussion of certain legal proceedings to which we are a party, see Note 8, Commitments and Contingencies, to the consolidated financial statements in Part II, Item 8 of this Annual Report on Form 10-K. Any private lawsuits or regulatory actions brought against us and resulting in a finding of substantial legal liability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32" w:lineRule="auto"/>
        <w:rPr>
          <w:sz w:val="20"/>
          <w:szCs w:val="20"/>
          <w:color w:val="auto"/>
        </w:rPr>
      </w:pPr>
      <w:r>
        <w:rPr>
          <w:rFonts w:ascii="Times New Roman" w:cs="Times New Roman" w:eastAsia="Times New Roman" w:hAnsi="Times New Roman"/>
          <w:sz w:val="14"/>
          <w:szCs w:val="14"/>
          <w:color w:val="auto"/>
        </w:rPr>
        <w:t>materially adversely affect our business, financial condition, or results of operations. In addition, such actions, even if resulting in a favorable outcome to us, could result in significant reputational harm, which could seriously harm our business. In recent years, the volume of claims and amount of damages claimed in litigation and regulatory proceedings against</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the financial services industry in general have been increasing. The investment decisions we make in our asset management business and the activities of our investment professionals (including in connection with portfolio companies and investment advisory activities) may subject us, our funds, and our funds’ portfolio companies to the risk of third-party litigation or regulatory proceedings arising from investor dissatisfaction with the performance of those investment funds, alleged conflicts of interest, the suitability or manner of distribution of our products, including to retail investors, the activities of our funds’ portfolio companies, and a variety of other claims.</w:t>
      </w:r>
    </w:p>
    <w:p>
      <w:pPr>
        <w:spacing w:after="0" w:line="3" w:lineRule="exact"/>
        <w:rPr>
          <w:sz w:val="20"/>
          <w:szCs w:val="20"/>
          <w:color w:val="auto"/>
        </w:rPr>
      </w:pPr>
    </w:p>
    <w:p>
      <w:pPr>
        <w:ind w:right="1540"/>
        <w:spacing w:after="0" w:line="238" w:lineRule="auto"/>
        <w:rPr>
          <w:sz w:val="20"/>
          <w:szCs w:val="20"/>
          <w:color w:val="auto"/>
        </w:rPr>
      </w:pPr>
      <w:r>
        <w:rPr>
          <w:rFonts w:ascii="Times New Roman" w:cs="Times New Roman" w:eastAsia="Times New Roman" w:hAnsi="Times New Roman"/>
          <w:sz w:val="14"/>
          <w:szCs w:val="14"/>
          <w:color w:val="auto"/>
        </w:rPr>
        <w:t>In addition, to the extent investors in our investment funds suffer losses resulting from fraud, gross negligence, willful misconduct, or other similar misconduct, investors may have remedies against us, our investment funds, our senior managing directors, or our affiliates under the federal securities law and/or state law. While the general partners and investment advisers to our investment funds, including their directors, officers, other employees, and affiliates, are generally indemnified to the fullest extent permitted by law with respect to their conduct in connection with the management of the business and affairs of our investment funds, such indemnity does not extend to actions determined to have involved fraud, gross negligence, willful misconduct, or other similar misconduct. The activities of our capital markets services business also may subject us to the risk</w:t>
      </w:r>
    </w:p>
    <w:p>
      <w:pPr>
        <w:sectPr>
          <w:pgSz w:w="11900" w:h="16840" w:orient="portrait"/>
          <w:cols w:equalWidth="0" w:num="1">
            <w:col w:w="9400"/>
          </w:cols>
          <w:pgMar w:left="1060" w:top="547" w:right="1440" w:bottom="71" w:gutter="0" w:footer="0" w:header="0"/>
        </w:sectPr>
      </w:pPr>
    </w:p>
    <w:bookmarkStart w:id="45" w:name="page46"/>
    <w:bookmarkEnd w:id="45"/>
    <w:p>
      <w:pPr>
        <w:jc w:val="both"/>
        <w:ind w:right="1720"/>
        <w:spacing w:after="0" w:line="211" w:lineRule="auto"/>
        <w:rPr>
          <w:sz w:val="20"/>
          <w:szCs w:val="20"/>
          <w:color w:val="auto"/>
        </w:rPr>
      </w:pPr>
      <w:r>
        <w:rPr>
          <w:rFonts w:ascii="Times New Roman" w:cs="Times New Roman" w:eastAsia="Times New Roman" w:hAnsi="Times New Roman"/>
          <w:sz w:val="16"/>
          <w:szCs w:val="16"/>
          <w:color w:val="auto"/>
        </w:rPr>
        <w:t>of liabilities to our clients and third parties, including our clients’ stockholders, under securities or other laws in connection with transactions in which we participate. See “Risks Related to Our Business Operations—Risks Related to the Assets We Manage—Underwriting, syndicating, and securities placement activities expose us to risks.”</w:t>
      </w:r>
    </w:p>
    <w:p>
      <w:pPr>
        <w:spacing w:after="0" w:line="1"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We depend to a large extent on our business relationships and our reputation for integrity and high-caliber professional services to attract and retain investors and to pursue investment opportunities for our funds. As a result, allegations by private actors, regulators, or employees of improper conduct by us, even if unfounded, as well as negative publicity and press speculation about us, may harm our reputation. This could adversely impact our relationships with clients and our fundraising. In recent years, there has been increased activity on the part of certain activist and other organized groups, with respect to investments made by private funds. Such groups have at times contacted and otherwise sought to engage with government and regulatory bodies and fund investors, including public pension funds, on our funds’ investments, which has led to negative publicity that could harm our reputation. The pervasiveness of social media and public focus on the externalities of business activities could lead to wider dissemination of adverse or inaccurate information about us, making remediation more difficult and magnifying reputational risk.</w:t>
      </w:r>
    </w:p>
    <w:p>
      <w:pPr>
        <w:spacing w:after="0" w:line="4"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affiliated subsidiaries serve as the general partners of many of our managed funds and could have liability for certain fund obligations.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Our affiliated subsidiaries serve as a general partner of many of our funds. As such, under applicable law and the fund partnership agreements, our subsidiaries could have liability for obligations of our funds if such funds have insufficient assets to pay such obligations themselves, including contractual obligations, obligations to repay fund indebtedness, uninsured contingent obligations for litigation damages awards, or taxes determined to be owed by the funds. In general, the funds indemnify us for such obligations; but if the relevant funds’ assets have been depleted or distributed to fund investors, such fund may be unable to pay such indemnification obligation to us, and we could suffer significant loss and expense.</w:t>
      </w:r>
    </w:p>
    <w:p>
      <w:pPr>
        <w:spacing w:after="0" w:line="3" w:lineRule="exact"/>
        <w:rPr>
          <w:sz w:val="20"/>
          <w:szCs w:val="20"/>
          <w:color w:val="auto"/>
        </w:rPr>
      </w:pPr>
    </w:p>
    <w:p>
      <w:pPr>
        <w:ind w:right="166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Employee misconduct could harm us by impairing our ability to attract and retain clients and subjecting us to significant legal liability and reputational harm. Fraud, deceptive practices, or other misconduct at portfolio companies or services providers could similarly subject us to liability and reputational damage and also harm performance.</w:t>
      </w:r>
    </w:p>
    <w:p>
      <w:pPr>
        <w:spacing w:after="0" w:line="205" w:lineRule="auto"/>
        <w:rPr>
          <w:sz w:val="20"/>
          <w:szCs w:val="20"/>
          <w:color w:val="auto"/>
        </w:rPr>
      </w:pPr>
      <w:r>
        <w:rPr>
          <w:rFonts w:ascii="Times New Roman" w:cs="Times New Roman" w:eastAsia="Times New Roman" w:hAnsi="Times New Roman"/>
          <w:sz w:val="16"/>
          <w:szCs w:val="16"/>
          <w:color w:val="auto"/>
        </w:rPr>
        <w:t>Our employees could engage in misconduct that adversely affects our business. We are subject to several obligations</w:t>
      </w:r>
    </w:p>
    <w:p>
      <w:pPr>
        <w:ind w:right="1400"/>
        <w:spacing w:after="0" w:line="237" w:lineRule="auto"/>
        <w:rPr>
          <w:sz w:val="20"/>
          <w:szCs w:val="20"/>
          <w:color w:val="auto"/>
        </w:rPr>
      </w:pPr>
      <w:r>
        <w:rPr>
          <w:rFonts w:ascii="Times New Roman" w:cs="Times New Roman" w:eastAsia="Times New Roman" w:hAnsi="Times New Roman"/>
          <w:sz w:val="14"/>
          <w:szCs w:val="14"/>
          <w:color w:val="auto"/>
        </w:rPr>
        <w:t>and standards arising from our asset management business and our authority over the assets managed by our asset management business. The violation of these obligations and standards by any of our employees would adversely affect our clients and us. Our business often requires that we deal with confidential matters of great significance to companies in which we may invest. If our employees were to improperly use or disclose confidential information, we could suffer serious harm to our reputation, financial position, and current and future business relationships. Detecting or deterring employee misconduct is not always possible, and the extensive precautions we take to detect and prevent this activity may not be effective in all cases. In addition, a prolonged period of remote work, such as the one experienced during the COVID -19 pandemic, may require us to develop and implement additional precautions in order to detect and prevent employee misconduct. Such additional precautions, which may include the implementation of security and other restrictions, may make our systems more difficult and costly to operate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03" w:lineRule="auto"/>
        <w:rPr>
          <w:sz w:val="20"/>
          <w:szCs w:val="20"/>
          <w:color w:val="auto"/>
        </w:rPr>
      </w:pPr>
      <w:r>
        <w:rPr>
          <w:rFonts w:ascii="Times New Roman" w:cs="Times New Roman" w:eastAsia="Times New Roman" w:hAnsi="Times New Roman"/>
          <w:sz w:val="16"/>
          <w:szCs w:val="16"/>
          <w:color w:val="auto"/>
        </w:rPr>
        <w:t>may not be effective in preventing employee misconduct in a remote work environment. If one of our employees were to engage in misconduct or were to be accused of such misconduct, our business and our reputation could be adversely affected. We are subject to U.S. and foreign anti-corruption and anti-bribery laws, including the FCPA, as well as anti-money laundering laws. The future of the FCPA, however, is uncertain given the new administration’s executive order pausing FCPA enforcement. In recent years, the United Kingdom has significantly expanded the reach of its anti-bribery laws. While we have policies and procedures designed to ensure strict compliance by us and our personnel with the FCPA and other applicable laws, such policies and procedures may not be effective in all instances to prevent violations. Any determination that we have violated the FCPA, the UK anti-bribery laws, or other applicable anti-corruption, anti -bribery, or anti-money laundering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price of our common stock.</w:t>
      </w:r>
    </w:p>
    <w:p>
      <w:pPr>
        <w:spacing w:after="0" w:line="5"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Moreover, we also may be adversely affected if there is misconduct by personnel of our funds’ portfolio companies or by such companies’ service providers. For example, financial fraud or other deceptive practices at our funds’ portfolio companies, or failures by personnel at our funds’ portfolio companies to comply with anti-corruption, anti-bribery, anti-money laundering, trade and economic sanctions, export controls, anti- harassment, anti- discrimination, or other legal and regulatory requirements, could subject us to, among other things, civil and criminal penalties or material fines, profit disgorgement, injunctions on future conduct and securities litigation, and also could cause significant reputational and business harm to us. Such misconduct may undermine our due diligence efforts with respect to such portfolio companies and could negatively affect the valuations of the investments by our funds in such portfolio companies. Losses to our funds and us also could result from misconduct or other actions by service providers, such as administrators, consultants, or other advisors, if such service providers improperly use or disclose confidential information, misappropriate funds, or violate legal or regulatory obligations. In addition, we may face an increased risk of such misconduct to the extent our investment in non-U.S. markets, particularly emerging markets, increases.</w:t>
      </w:r>
    </w:p>
    <w:p>
      <w:pPr>
        <w:spacing w:after="0" w:line="5"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Another pandemic or global health crisis like the COVID-19 pandemic may adversely impact our performance and results of operations.</w:t>
      </w:r>
    </w:p>
    <w:p>
      <w:pPr>
        <w:spacing w:after="0" w:line="204" w:lineRule="auto"/>
        <w:rPr>
          <w:sz w:val="20"/>
          <w:szCs w:val="20"/>
          <w:color w:val="auto"/>
        </w:rPr>
      </w:pPr>
      <w:r>
        <w:rPr>
          <w:rFonts w:ascii="Times New Roman" w:cs="Times New Roman" w:eastAsia="Times New Roman" w:hAnsi="Times New Roman"/>
          <w:sz w:val="16"/>
          <w:szCs w:val="16"/>
          <w:color w:val="auto"/>
        </w:rPr>
        <w:t>From 2020 to 2022, in response to the COVID-19 pandemic, many countries instituted quarantine restrictions and took</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other measures to limit the spread of the virus. This resulted in labor shortages and disruption of supply chains and contributed to prolonged disruption of the global economy. A widespread reoccurrence of another pandemic or global health crisis could increase the possibility of periods of increased restrictions on business operations, which may adversely impact our business, financial condition, results of operations, liquidity, and prospects materiality and exacerbate many of the other risks discussed in this “Risk Factors” section.</w:t>
      </w:r>
    </w:p>
    <w:p>
      <w:pPr>
        <w:spacing w:after="0" w:line="2" w:lineRule="exact"/>
        <w:rPr>
          <w:sz w:val="20"/>
          <w:szCs w:val="20"/>
          <w:color w:val="auto"/>
        </w:rPr>
      </w:pPr>
    </w:p>
    <w:p>
      <w:pPr>
        <w:ind w:right="1540"/>
        <w:spacing w:after="0" w:line="244" w:lineRule="auto"/>
        <w:rPr>
          <w:sz w:val="20"/>
          <w:szCs w:val="20"/>
          <w:color w:val="auto"/>
        </w:rPr>
      </w:pPr>
      <w:r>
        <w:rPr>
          <w:rFonts w:ascii="Times New Roman" w:cs="Times New Roman" w:eastAsia="Times New Roman" w:hAnsi="Times New Roman"/>
          <w:sz w:val="14"/>
          <w:szCs w:val="14"/>
          <w:color w:val="auto"/>
        </w:rPr>
        <w:t>In the event of another pandemic or global health crisis like the COVID -19 pandemic, our funds’ portfolio companies may experience decreased revenues and earnings, which may adversely impact our ability to realize value from such investments and in turn reduce our performance revenues. Investments in certain sectors, including hospitality, location-based entertainment, retail, travel, leisure, and events and, in certain geographies, office and residential, could be particularly</w:t>
      </w:r>
    </w:p>
    <w:p>
      <w:pPr>
        <w:sectPr>
          <w:pgSz w:w="11900" w:h="16840" w:orient="portrait"/>
          <w:cols w:equalWidth="0" w:num="1">
            <w:col w:w="9400"/>
          </w:cols>
          <w:pgMar w:left="1060" w:top="557" w:right="1440" w:bottom="6" w:gutter="0" w:footer="0" w:header="0"/>
        </w:sectPr>
      </w:pPr>
    </w:p>
    <w:bookmarkStart w:id="46" w:name="page47"/>
    <w:bookmarkEnd w:id="46"/>
    <w:p>
      <w:pPr>
        <w:ind w:right="1420"/>
        <w:spacing w:after="0"/>
        <w:rPr>
          <w:sz w:val="20"/>
          <w:szCs w:val="20"/>
          <w:color w:val="auto"/>
        </w:rPr>
      </w:pPr>
      <w:r>
        <w:rPr>
          <w:rFonts w:ascii="Times New Roman" w:cs="Times New Roman" w:eastAsia="Times New Roman" w:hAnsi="Times New Roman"/>
          <w:sz w:val="14"/>
          <w:szCs w:val="14"/>
          <w:color w:val="auto"/>
        </w:rPr>
        <w:t>negatively impacted, as was the case during the COVID-19 pandemic. Our funds’ portfolio companies also may face increased credit and liquidity risk due to volatility in financial markets, reduced revenue streams, and limited access or higher cost of financing, which may result in potential impairment of our or our funds’ investments. In addition, borrowers of loans, notes, and other credit instruments in our credit funds’ portfolios may be unable to meet their principal or interest payment obligations or satisfy financial covenants, and tenants leasing real estate properties owned by our funds may not be able to pay rents in a timely manner or at all, resulting in a decrease in value of our funds’ credit and real estate investments. In the event of significant credit market contraction as a result of a pandemic or similar global health crisis, certain of our funds may be limited in their ability to sell assets at attractive prices or in a timely manner in order to avoid losses and margin calls from credit providers. In our liquid and semi-liquid investment vehicles, such a contraction could cause investors to seek liquidity in the form of redemptions or repurchase of interests from our funds, adversely impacting management fees. Our management fees also may be negatively impacted if we experience a decline in the pace of capital deployment or fundraising.</w:t>
      </w:r>
    </w:p>
    <w:p>
      <w:pPr>
        <w:spacing w:after="0" w:line="125" w:lineRule="exact"/>
        <w:rPr>
          <w:sz w:val="20"/>
          <w:szCs w:val="20"/>
          <w:color w:val="auto"/>
        </w:rPr>
      </w:pPr>
    </w:p>
    <w:p>
      <w:pPr>
        <w:ind w:right="1560"/>
        <w:spacing w:after="0" w:line="209" w:lineRule="auto"/>
        <w:rPr>
          <w:sz w:val="20"/>
          <w:szCs w:val="20"/>
          <w:color w:val="auto"/>
        </w:rPr>
      </w:pPr>
      <w:r>
        <w:rPr>
          <w:rFonts w:ascii="Times New Roman" w:cs="Times New Roman" w:eastAsia="Times New Roman" w:hAnsi="Times New Roman"/>
          <w:sz w:val="16"/>
          <w:szCs w:val="16"/>
          <w:color w:val="auto"/>
        </w:rPr>
        <w:t>In addition, a pandemic or global health crisis may pose enhanced operational risks. For example, our employees may become sick or otherwise unable to perform their duties for an extended period, and extended public health restrictions and remote working arrangements may impact employee morale, integration of new employees, and preservation of our culture. Remote working environments also may be less secure and more susceptible to hacking attacks, including phishing and social engineering attempts. Moreover, our third-party service providers could be impacted by an inability to perform due to pandemic-related restrictions or by failures of, or attacks on, their technology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Certain policies and procedures implemented to mitigate potential conflicts of interest and address certain regulatory requirements may reduce the synergies across our various businesses and inhibit our ability to maintain our collaborative culture.</w:t>
      </w:r>
    </w:p>
    <w:p>
      <w:pPr>
        <w:spacing w:after="0" w:line="205" w:lineRule="auto"/>
        <w:rPr>
          <w:sz w:val="20"/>
          <w:szCs w:val="20"/>
          <w:color w:val="auto"/>
        </w:rPr>
      </w:pPr>
      <w:r>
        <w:rPr>
          <w:rFonts w:ascii="Times New Roman" w:cs="Times New Roman" w:eastAsia="Times New Roman" w:hAnsi="Times New Roman"/>
          <w:sz w:val="16"/>
          <w:szCs w:val="16"/>
          <w:color w:val="auto"/>
        </w:rPr>
        <w:t>We consider our culture and the ability of our professionals to communicate and collaborate across funds, industries,</w:t>
      </w:r>
    </w:p>
    <w:p>
      <w:pPr>
        <w:ind w:right="1400"/>
        <w:spacing w:after="0"/>
        <w:rPr>
          <w:sz w:val="20"/>
          <w:szCs w:val="20"/>
          <w:color w:val="auto"/>
        </w:rPr>
      </w:pPr>
      <w:r>
        <w:rPr>
          <w:rFonts w:ascii="Times New Roman" w:cs="Times New Roman" w:eastAsia="Times New Roman" w:hAnsi="Times New Roman"/>
          <w:sz w:val="14"/>
          <w:szCs w:val="14"/>
          <w:color w:val="auto"/>
        </w:rPr>
        <w:t>and geographies one of our significant competitive strengths. As a result of the expansion of our platform into various lines of business in the asset management industry, our acquisition of new businesses, and the growth of our managed account business, we are subject to a number of actual and potential conflicts of interest and subject to greater regulatory oversight than if we had one line of business. For example, certain regulatory requirements mandate us to restrict access by certain personnel in our funds to information about certain transactions or investments being considered or made by those funds. In addition, as we continue to expand our platform, the allocation of investment opportunities among our investment funds is expected to become more complex. In addressing these conflicts and regulatory requirements across our various businesses, we have and may continue to implement certain policies and procedures, such as information barriers. As a practical matter, the establishment and maintenance of such information barriers means that collaboration between our investment professionals across various platforms or with respect to certain investments may be limited, reducing potential synergies that we cultivate across these businesses. For example, although we maintain ultimate control over the Global Investment Solutions segment’s constituent firm, AlpInvest, we have established an information barrier between the management teams at AlpInvest and the rest of Carlyle. See “Risks Related to Our Business Operations—Risks Related to the Assets We Manage—Our Global Investment Solutions business is subject to additional risks.” In addition, we may come into possession of material non -public information with respect to issuers in which we may be considering making an investment. Consequently, we may be precluded from providing such information or other ideas to our other businesses that could benefit from such information.</w:t>
      </w:r>
    </w:p>
    <w:p>
      <w:pPr>
        <w:spacing w:after="0" w:line="82"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failure to deal appropriately with conflicts of interest in our investment business could damage our reputation and adversely affect our businesses.</w:t>
      </w:r>
    </w:p>
    <w:p>
      <w:pPr>
        <w:spacing w:after="0" w:line="204" w:lineRule="auto"/>
        <w:rPr>
          <w:sz w:val="20"/>
          <w:szCs w:val="20"/>
          <w:color w:val="auto"/>
        </w:rPr>
      </w:pPr>
      <w:r>
        <w:rPr>
          <w:rFonts w:ascii="Times New Roman" w:cs="Times New Roman" w:eastAsia="Times New Roman" w:hAnsi="Times New Roman"/>
          <w:sz w:val="16"/>
          <w:szCs w:val="16"/>
          <w:color w:val="auto"/>
        </w:rPr>
        <w:t>As we have expanded, and continue to expand, the number and scope of our businesses, we increasingly confront</w:t>
      </w:r>
    </w:p>
    <w:p>
      <w:pPr>
        <w:spacing w:after="0" w:line="1" w:lineRule="exact"/>
        <w:rPr>
          <w:sz w:val="20"/>
          <w:szCs w:val="20"/>
          <w:color w:val="auto"/>
        </w:rPr>
      </w:pPr>
    </w:p>
    <w:p>
      <w:pPr>
        <w:ind w:right="1400"/>
        <w:spacing w:after="0"/>
        <w:rPr>
          <w:sz w:val="20"/>
          <w:szCs w:val="20"/>
          <w:color w:val="auto"/>
        </w:rPr>
      </w:pPr>
      <w:r>
        <w:rPr>
          <w:rFonts w:ascii="Times New Roman" w:cs="Times New Roman" w:eastAsia="Times New Roman" w:hAnsi="Times New Roman"/>
          <w:sz w:val="14"/>
          <w:szCs w:val="14"/>
          <w:color w:val="auto"/>
        </w:rPr>
        <w:t>potential conflicts of interest relating to our funds’ investment activities. In this respect, investment manager conflicts of interest continue to be a significant area of focus for regulators and the media. Because of our size and the variety of businesses and investment strategies that we pursue, we may face a higher degree of scrutiny compared with investment managers that are smaller or focus on fewer asset classes. Certain of our funds may have overlapping investment objectives, including funds that have different fee structures and/or investment strategies that are more narrowly focused. Potential conflicts may arise with respect to allocation of investment opportunities among us, our funds, and our affiliates, including to the extent that the fund documents do not mandate a specific investment allocation. For example, we may allocate an investment opportunity that is appropriate for two or more investment funds in a manner that excludes one or more funds or results in a disproportionate allocation based on factors or criteria that we determine, such as sourcing of the transaction, specific nature of the investment, or size and type of the investment, among other factors. We also may decide to provide a co-investment opportunity to certain investors in lieu of allocating more of that investment to our funds. In addition, the challenge of allocating investment opportunities to certain funds may be exacerbated as we expand our business to include more lines of business, including more public vehicles. Allocating investment opportunities appropriately frequently involves significant and subjective judgments. The risk that fund investors or regulators could challenge allocation decisions as inconsistent with our obligations under applicable law, governing fund agreements, or our own policies cannot be eliminated. Moreover, the perception of noncompliance with such requirements or policies could harm our reputation with fund investors.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may cause different funds to invest in a single portfolio company, for example, where the fund that</w:t>
      </w:r>
    </w:p>
    <w:p>
      <w:pPr>
        <w:ind w:right="1420"/>
        <w:spacing w:after="0"/>
        <w:rPr>
          <w:sz w:val="20"/>
          <w:szCs w:val="20"/>
          <w:color w:val="auto"/>
        </w:rPr>
      </w:pPr>
      <w:r>
        <w:rPr>
          <w:rFonts w:ascii="Times New Roman" w:cs="Times New Roman" w:eastAsia="Times New Roman" w:hAnsi="Times New Roman"/>
          <w:sz w:val="14"/>
          <w:szCs w:val="14"/>
          <w:color w:val="auto"/>
        </w:rPr>
        <w:t>made an initial investment no longer has capital available to invest. We also may cause different funds that we manage to purchase different classes of securities in the same portfolio company. For example, one of our CLO funds could acquire a debt security issued by the same company in which one of our private equity funds owns common equity securities. A direct conflict of interest could arise between the debt holders and the equity holders if such a company were to develop insolvency concerns, and we would have to carefully manage that conflict. A decision to acquire material non- public information about a company while pursuing an investment opportunity for a particular fund gives rise to a potential conflict of interest when it results in our having to restrict the ability of other funds to take any action with respect to that company. Our affiliates or portfolio companies may be service providers or counterparties to our funds or portfolio companies and receive fees or other compensation for services that are not shared with our fund investors. In such instances, we may be incentivized to cause our funds or portfolio companies to purchase such services from our affiliates or portfolio companies rather than an unaffiliated service provider even though a third-party service provider could potentially provide higher quality services or offer them at a lower cost. In addition, conflicts of interest may exist in the valuation of our investments, as well as the personal trading of employees and the allocation of fees and expenses among us, our funds and their portfolio companies, and our affiliates. Moreover, in certain,</w:t>
      </w:r>
    </w:p>
    <w:p>
      <w:pPr>
        <w:sectPr>
          <w:pgSz w:w="11900" w:h="16840" w:orient="portrait"/>
          <w:cols w:equalWidth="0" w:num="1">
            <w:col w:w="9400"/>
          </w:cols>
          <w:pgMar w:left="1060" w:top="557" w:right="1440" w:bottom="229"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infrequent instances we may purchase an investment alongside one of our investment funds or sell an investment to one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32" w:lineRule="auto"/>
        <w:rPr>
          <w:sz w:val="20"/>
          <w:szCs w:val="20"/>
          <w:color w:val="auto"/>
        </w:rPr>
      </w:pPr>
      <w:r>
        <w:rPr>
          <w:rFonts w:ascii="Times New Roman" w:cs="Times New Roman" w:eastAsia="Times New Roman" w:hAnsi="Times New Roman"/>
          <w:sz w:val="14"/>
          <w:szCs w:val="14"/>
          <w:color w:val="auto"/>
        </w:rPr>
        <w:t>investment funds and conflicts may arise in respect of the allocation, pricing, and timing of such investments and the ultimate disposition of such investments. A failure to appropriately deal with these conflicts, among others, could negatively impact our reputation and ability to raise additional funds or result in potential litigation or regulatory action against us. Any steps taken by the SEC to preclude or limit certain conflicts of interest would make it more difficult for our funds to pursue transactions that may otherwise be attractive to the fund and its investors, which may adversely impact fund performance.</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Risks Related to Our Business Operations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Risks Related to the Assets We Manage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The asset management business is intensely competitive.</w:t>
      </w:r>
    </w:p>
    <w:p>
      <w:pPr>
        <w:ind w:right="1420"/>
        <w:spacing w:after="0" w:line="203" w:lineRule="auto"/>
        <w:rPr>
          <w:sz w:val="20"/>
          <w:szCs w:val="20"/>
          <w:color w:val="auto"/>
        </w:rPr>
      </w:pPr>
      <w:r>
        <w:rPr>
          <w:rFonts w:ascii="Times New Roman" w:cs="Times New Roman" w:eastAsia="Times New Roman" w:hAnsi="Times New Roman"/>
          <w:sz w:val="16"/>
          <w:szCs w:val="16"/>
          <w:color w:val="auto"/>
        </w:rPr>
        <w:t>The asset management business is intensely competitive, with competition based on a variety of factors, including investment performance, business relationships, quality of service provided to clients, investor availability of capital and willingness to invest, fund terms (including fees and liquidity terms), brand recognition, types of products offered, consideration of ESG issues, and business reputation. Our investment business, as well as our investment funds, competes with a number of private funds, specialized investment funds, funds structured for individual investors, hedge funds, funds of hedge funds, and other sponsors managing pools of capital, as well as corporate buyers, traditional asset managers, commercial banks, investment banks, and other financial institutions (including sovereign wealth funds), and we expect that competition will continue to increase. For example, certain traditional asset managers have developed their own private equity and retail platforms and are marketing other asset allocation strategies as alternatives to fund investments. In addition, developments in financial technology, or fintech, such as distributed ledger technology, or blockchain, have the potential to disrupt the financial industry and change the way financial institutions, as well as asset managers, do business. A number of factors serve to increase our competitive risks:</w:t>
      </w:r>
    </w:p>
    <w:p>
      <w:pPr>
        <w:spacing w:after="0" w:line="5" w:lineRule="exact"/>
        <w:rPr>
          <w:sz w:val="20"/>
          <w:szCs w:val="20"/>
          <w:color w:val="auto"/>
        </w:rPr>
      </w:pPr>
    </w:p>
    <w:p>
      <w:pPr>
        <w:ind w:right="2480"/>
        <w:spacing w:after="0" w:line="203" w:lineRule="auto"/>
        <w:rPr>
          <w:sz w:val="20"/>
          <w:szCs w:val="20"/>
          <w:color w:val="auto"/>
        </w:rPr>
      </w:pPr>
      <w:r>
        <w:rPr>
          <w:rFonts w:ascii="Times New Roman" w:cs="Times New Roman" w:eastAsia="Times New Roman" w:hAnsi="Times New Roman"/>
          <w:sz w:val="16"/>
          <w:szCs w:val="16"/>
          <w:color w:val="auto"/>
        </w:rPr>
        <w:t>•a number of our competitors in some of our businesses have greater financial, fundraising, technical, research, marketing, and other resources and more personnel than we do;</w:t>
      </w:r>
    </w:p>
    <w:p>
      <w:pPr>
        <w:spacing w:after="0" w:line="1" w:lineRule="exact"/>
        <w:rPr>
          <w:sz w:val="20"/>
          <w:szCs w:val="20"/>
          <w:color w:val="auto"/>
        </w:rPr>
      </w:pPr>
    </w:p>
    <w:p>
      <w:pPr>
        <w:ind w:right="2480"/>
        <w:spacing w:after="0" w:line="203" w:lineRule="auto"/>
        <w:rPr>
          <w:sz w:val="20"/>
          <w:szCs w:val="20"/>
          <w:color w:val="auto"/>
        </w:rPr>
      </w:pPr>
      <w:r>
        <w:rPr>
          <w:rFonts w:ascii="Times New Roman" w:cs="Times New Roman" w:eastAsia="Times New Roman" w:hAnsi="Times New Roman"/>
          <w:sz w:val="16"/>
          <w:szCs w:val="16"/>
          <w:color w:val="auto"/>
        </w:rPr>
        <w:t>•some of our funds may not perform as well as competitors’ funds or other available investment products; •fund investors may reduce their investments in our funds or decrease their allocations in new funds based on a variety of factors, such as the occurrence of an economic downturn, their available capital, regulatory requirements, a desire to consolidate their relationships with investment firms, or other considerations; •several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3" w:lineRule="exact"/>
        <w:rPr>
          <w:sz w:val="20"/>
          <w:szCs w:val="20"/>
          <w:color w:val="auto"/>
        </w:rPr>
      </w:pPr>
    </w:p>
    <w:p>
      <w:pPr>
        <w:ind w:right="2640"/>
        <w:spacing w:after="0" w:line="203" w:lineRule="auto"/>
        <w:rPr>
          <w:sz w:val="20"/>
          <w:szCs w:val="20"/>
          <w:color w:val="auto"/>
        </w:rPr>
      </w:pPr>
      <w:r>
        <w:rPr>
          <w:rFonts w:ascii="Times New Roman" w:cs="Times New Roman" w:eastAsia="Times New Roman" w:hAnsi="Times New Roman"/>
          <w:sz w:val="16"/>
          <w:szCs w:val="16"/>
          <w:color w:val="auto"/>
        </w:rPr>
        <w:t>•some of our competitors, particularly strategic competitors, may have a lower cost of capital, which may be exacerbated by limits on the deductibility of interest expense;</w:t>
      </w:r>
    </w:p>
    <w:p>
      <w:pPr>
        <w:spacing w:after="0" w:line="1" w:lineRule="exact"/>
        <w:rPr>
          <w:sz w:val="20"/>
          <w:szCs w:val="20"/>
          <w:color w:val="auto"/>
        </w:rPr>
      </w:pPr>
    </w:p>
    <w:p>
      <w:pPr>
        <w:ind w:right="2700"/>
        <w:spacing w:after="0" w:line="203" w:lineRule="auto"/>
        <w:rPr>
          <w:sz w:val="20"/>
          <w:szCs w:val="20"/>
          <w:color w:val="auto"/>
        </w:rPr>
      </w:pPr>
      <w:r>
        <w:rPr>
          <w:rFonts w:ascii="Times New Roman" w:cs="Times New Roman" w:eastAsia="Times New Roman" w:hAnsi="Times New Roman"/>
          <w:sz w:val="16"/>
          <w:szCs w:val="16"/>
          <w:color w:val="auto"/>
        </w:rPr>
        <w:t>•some of our competitors may have higher risk tolerances, different risk assessments, or lower return thresholds, which could allow them to consider a wider variety of investments and to bid more aggressively than us for investments that we want to make or seek exit opportunities through different channels, such as special purpose acquisition vehicles;</w:t>
      </w:r>
    </w:p>
    <w:p>
      <w:pPr>
        <w:spacing w:after="0" w:line="2" w:lineRule="exact"/>
        <w:rPr>
          <w:sz w:val="20"/>
          <w:szCs w:val="20"/>
          <w:color w:val="auto"/>
        </w:rPr>
      </w:pPr>
    </w:p>
    <w:p>
      <w:pPr>
        <w:ind w:right="2560"/>
        <w:spacing w:after="0" w:line="203" w:lineRule="auto"/>
        <w:rPr>
          <w:sz w:val="20"/>
          <w:szCs w:val="20"/>
          <w:color w:val="auto"/>
        </w:rPr>
      </w:pPr>
      <w:r>
        <w:rPr>
          <w:rFonts w:ascii="Times New Roman" w:cs="Times New Roman" w:eastAsia="Times New Roman" w:hAnsi="Times New Roman"/>
          <w:sz w:val="16"/>
          <w:szCs w:val="16"/>
          <w:color w:val="auto"/>
        </w:rPr>
        <w:t>•some of our competitors may be subject to less regulation and, accordingly, may have more flexibility to undertake and execute certain businesses or investments than we do and/or bear less compliance expense than us;</w:t>
      </w:r>
    </w:p>
    <w:p>
      <w:pPr>
        <w:spacing w:after="0" w:line="1" w:lineRule="exact"/>
        <w:rPr>
          <w:sz w:val="20"/>
          <w:szCs w:val="20"/>
          <w:color w:val="auto"/>
        </w:rPr>
      </w:pPr>
    </w:p>
    <w:p>
      <w:pPr>
        <w:ind w:right="2560"/>
        <w:spacing w:after="0" w:line="203" w:lineRule="auto"/>
        <w:rPr>
          <w:sz w:val="20"/>
          <w:szCs w:val="20"/>
          <w:color w:val="auto"/>
        </w:rPr>
      </w:pPr>
      <w:r>
        <w:rPr>
          <w:rFonts w:ascii="Times New Roman" w:cs="Times New Roman" w:eastAsia="Times New Roman" w:hAnsi="Times New Roman"/>
          <w:sz w:val="16"/>
          <w:szCs w:val="16"/>
          <w:color w:val="auto"/>
        </w:rPr>
        <w:t>•some of our competitors may have more flexibility than us in raising certain types of investment funds under the investment management contracts they have negotiated with their investors;</w:t>
      </w:r>
    </w:p>
    <w:p>
      <w:pPr>
        <w:spacing w:after="0" w:line="1" w:lineRule="exact"/>
        <w:rPr>
          <w:sz w:val="20"/>
          <w:szCs w:val="20"/>
          <w:color w:val="auto"/>
        </w:rPr>
      </w:pPr>
    </w:p>
    <w:p>
      <w:pPr>
        <w:ind w:right="2560"/>
        <w:spacing w:after="0" w:line="213" w:lineRule="auto"/>
        <w:rPr>
          <w:sz w:val="20"/>
          <w:szCs w:val="20"/>
          <w:color w:val="auto"/>
        </w:rPr>
      </w:pPr>
      <w:r>
        <w:rPr>
          <w:rFonts w:ascii="Times New Roman" w:cs="Times New Roman" w:eastAsia="Times New Roman" w:hAnsi="Times New Roman"/>
          <w:sz w:val="16"/>
          <w:szCs w:val="16"/>
          <w:color w:val="auto"/>
        </w:rPr>
        <w:t>•some of our competitors may be more successful than us in development of new products to address investor demand for new or different investment strategies and/or regulatory changes, including with respect to products with mandates that incorporate ESG considerations, or products that are developed for individual investors or that target insurance capital;</w:t>
      </w:r>
    </w:p>
    <w:p>
      <w:pPr>
        <w:sectPr>
          <w:pgSz w:w="11900" w:h="16840" w:orient="portrait"/>
          <w:cols w:equalWidth="0" w:num="1">
            <w:col w:w="9400"/>
          </w:cols>
          <w:pgMar w:left="1060" w:top="557" w:right="1440" w:bottom="1440" w:gutter="0" w:footer="0" w:header="0"/>
        </w:sectPr>
      </w:pPr>
    </w:p>
    <w:bookmarkStart w:id="48" w:name="page49"/>
    <w:bookmarkEnd w:id="48"/>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560"/>
        <w:spacing w:after="0" w:line="203" w:lineRule="auto"/>
        <w:rPr>
          <w:sz w:val="20"/>
          <w:szCs w:val="20"/>
          <w:color w:val="auto"/>
        </w:rPr>
      </w:pPr>
      <w:r>
        <w:rPr>
          <w:rFonts w:ascii="Times New Roman" w:cs="Times New Roman" w:eastAsia="Times New Roman" w:hAnsi="Times New Roman"/>
          <w:sz w:val="16"/>
          <w:szCs w:val="16"/>
          <w:color w:val="auto"/>
        </w:rPr>
        <w:t>•some of our competitors may have better expertise or be regarded by investors as having better expertise in a specific asset class or geographic region than we do;</w:t>
      </w:r>
    </w:p>
    <w:p>
      <w:pPr>
        <w:spacing w:after="0" w:line="1" w:lineRule="exact"/>
        <w:rPr>
          <w:sz w:val="20"/>
          <w:szCs w:val="20"/>
          <w:color w:val="auto"/>
        </w:rPr>
      </w:pPr>
    </w:p>
    <w:p>
      <w:pPr>
        <w:ind w:right="2800"/>
        <w:spacing w:after="0" w:line="203" w:lineRule="auto"/>
        <w:rPr>
          <w:sz w:val="20"/>
          <w:szCs w:val="20"/>
          <w:color w:val="auto"/>
        </w:rPr>
      </w:pPr>
      <w:r>
        <w:rPr>
          <w:rFonts w:ascii="Times New Roman" w:cs="Times New Roman" w:eastAsia="Times New Roman" w:hAnsi="Times New Roman"/>
          <w:sz w:val="16"/>
          <w:szCs w:val="16"/>
          <w:color w:val="auto"/>
        </w:rPr>
        <w:t>•our competitors that are corporate buyers may be able to achieve synergistic cost savings in respect of an investment, which may provide them with a competitive advantage in bidding for an investment;</w:t>
      </w:r>
    </w:p>
    <w:p>
      <w:pPr>
        <w:spacing w:after="0" w:line="1" w:lineRule="exact"/>
        <w:rPr>
          <w:sz w:val="20"/>
          <w:szCs w:val="20"/>
          <w:color w:val="auto"/>
        </w:rPr>
      </w:pPr>
    </w:p>
    <w:p>
      <w:pPr>
        <w:ind w:right="2480"/>
        <w:spacing w:after="0" w:line="203" w:lineRule="auto"/>
        <w:rPr>
          <w:sz w:val="20"/>
          <w:szCs w:val="20"/>
          <w:color w:val="auto"/>
        </w:rPr>
      </w:pPr>
      <w:r>
        <w:rPr>
          <w:rFonts w:ascii="Times New Roman" w:cs="Times New Roman" w:eastAsia="Times New Roman" w:hAnsi="Times New Roman"/>
          <w:sz w:val="16"/>
          <w:szCs w:val="16"/>
          <w:color w:val="auto"/>
        </w:rPr>
        <w:t>•our competitors have instituted or may institute low-cost, high-speed financial applications and services based on artificial intelligence and new competitors may enter the asset management space using new investment platforms based on artificial intelligence;</w:t>
      </w:r>
    </w:p>
    <w:p>
      <w:pPr>
        <w:spacing w:after="0" w:line="1" w:lineRule="exact"/>
        <w:rPr>
          <w:sz w:val="20"/>
          <w:szCs w:val="20"/>
          <w:color w:val="auto"/>
        </w:rPr>
      </w:pPr>
    </w:p>
    <w:p>
      <w:pPr>
        <w:ind w:right="2580"/>
        <w:spacing w:after="0" w:line="203" w:lineRule="auto"/>
        <w:rPr>
          <w:sz w:val="20"/>
          <w:szCs w:val="20"/>
          <w:color w:val="auto"/>
        </w:rPr>
      </w:pPr>
      <w:r>
        <w:rPr>
          <w:rFonts w:ascii="Times New Roman" w:cs="Times New Roman" w:eastAsia="Times New Roman" w:hAnsi="Times New Roman"/>
          <w:sz w:val="16"/>
          <w:szCs w:val="16"/>
          <w:color w:val="auto"/>
        </w:rPr>
        <w:t>•there are relatively few barriers to entry impeding the formation of new investment firms, and the successful efforts of new entrants into our various businesses, including former “star” portfolio managers at large diversified financial institutions as well as such institutions themselves, is expected to continue to result in increased competition;</w:t>
      </w:r>
    </w:p>
    <w:p>
      <w:pPr>
        <w:spacing w:after="0" w:line="2" w:lineRule="exact"/>
        <w:rPr>
          <w:sz w:val="20"/>
          <w:szCs w:val="20"/>
          <w:color w:val="auto"/>
        </w:rPr>
      </w:pPr>
    </w:p>
    <w:p>
      <w:pPr>
        <w:ind w:right="2520"/>
        <w:spacing w:after="0" w:line="203" w:lineRule="auto"/>
        <w:rPr>
          <w:sz w:val="20"/>
          <w:szCs w:val="20"/>
          <w:color w:val="auto"/>
        </w:rPr>
      </w:pPr>
      <w:r>
        <w:rPr>
          <w:rFonts w:ascii="Times New Roman" w:cs="Times New Roman" w:eastAsia="Times New Roman" w:hAnsi="Times New Roman"/>
          <w:sz w:val="16"/>
          <w:szCs w:val="16"/>
          <w:color w:val="auto"/>
        </w:rPr>
        <w:t>•some investors may prefer to pursue investments directly instead of investing through one of our funds; •some investors may prefer to invest with an investment manager that is not publicly traded or is smaller, with a more limited number of investment products that it manages; and</w:t>
      </w:r>
    </w:p>
    <w:p>
      <w:pPr>
        <w:spacing w:after="0" w:line="1" w:lineRule="exact"/>
        <w:rPr>
          <w:sz w:val="20"/>
          <w:szCs w:val="20"/>
          <w:color w:val="auto"/>
        </w:rPr>
      </w:pPr>
    </w:p>
    <w:p>
      <w:pPr>
        <w:ind w:right="2840"/>
        <w:spacing w:after="0" w:line="203" w:lineRule="auto"/>
        <w:rPr>
          <w:sz w:val="20"/>
          <w:szCs w:val="20"/>
          <w:color w:val="auto"/>
        </w:rPr>
      </w:pPr>
      <w:r>
        <w:rPr>
          <w:rFonts w:ascii="Times New Roman" w:cs="Times New Roman" w:eastAsia="Times New Roman" w:hAnsi="Times New Roman"/>
          <w:sz w:val="16"/>
          <w:szCs w:val="16"/>
          <w:color w:val="auto"/>
        </w:rPr>
        <w:t>•other industry participants will, from time to time, seek to recruit our investment professionals and other employees away from us.</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In addition, technological innovation, including the use of artificial intelligence and data science, has the potential to disrupt the financial industry and change the way financial institutions, including asset managers, do business. Some of our competitors may be more successful than us in the development and implementation of new technologies, including services and platforms based on artificial intelligence, to address investor demand or improve operations. If we are unable to adequately advance our capabilities in these areas, or do so at a slower pace than others in our industry, we may be at a competitive disadvantage.</w:t>
      </w:r>
    </w:p>
    <w:p>
      <w:pPr>
        <w:spacing w:after="0" w:line="206" w:lineRule="auto"/>
        <w:rPr>
          <w:sz w:val="20"/>
          <w:szCs w:val="20"/>
          <w:color w:val="auto"/>
        </w:rPr>
      </w:pPr>
      <w:r>
        <w:rPr>
          <w:rFonts w:ascii="Times New Roman" w:cs="Times New Roman" w:eastAsia="Times New Roman" w:hAnsi="Times New Roman"/>
          <w:sz w:val="16"/>
          <w:szCs w:val="16"/>
          <w:color w:val="auto"/>
        </w:rPr>
        <w:t>We also may lose investment opportunities in the future if we do not match investment prices, structures, products, or</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terms offered by competitors. Alternatively, we may experience decreased rates of return and increased risks of loss if we match investment prices, structures, products, and terms offered by competitors. Moreover, if we are forced to compete with other asset managers on the basis of price, we may not be able to maintain our current fund fee and carried interest terms. We have historically competed primarily on the performance of our funds, and not on the level of our fees or carried interest relative to those of our competitors. However, there is a risk that fees and carried interest in the investment management industry will decline, without regard to the historical performance of a manager. In addition, some of our competitors may be willing to pay higher placement fees in order to gain distribution of their private wealth products. Fee or carried interest income reductions, or placement fee increases, on existing or future products, without corresponding decreases in our cost structure, would adversely affect our revenues and profitability.</w:t>
      </w:r>
    </w:p>
    <w:p>
      <w:pPr>
        <w:spacing w:after="0" w:line="4" w:lineRule="exact"/>
        <w:rPr>
          <w:sz w:val="20"/>
          <w:szCs w:val="20"/>
          <w:color w:val="auto"/>
        </w:rPr>
      </w:pPr>
    </w:p>
    <w:p>
      <w:pPr>
        <w:ind w:right="1620"/>
        <w:spacing w:after="0" w:line="203" w:lineRule="auto"/>
        <w:rPr>
          <w:sz w:val="20"/>
          <w:szCs w:val="20"/>
          <w:color w:val="auto"/>
        </w:rPr>
      </w:pPr>
      <w:r>
        <w:rPr>
          <w:rFonts w:ascii="Times New Roman" w:cs="Times New Roman" w:eastAsia="Times New Roman" w:hAnsi="Times New Roman"/>
          <w:sz w:val="16"/>
          <w:szCs w:val="16"/>
          <w:color w:val="auto"/>
        </w:rPr>
        <w:t>Moreover, the attractiveness of our investment funds relative to investments in other investment products could decrease depending on economic conditions. Any new or incremental regulatory measures for the U.S. financial services industry may increase costs and create regulatory uncertainty and additional competition for many of our funds. See “Risks Related to Our Business Operations—Risks Related to the Assets We Manage—Our investors may negotiate to pay us lower management fees and the economic terms of our future funds may be less favorable to us than those of our existing funds, which could adversely affect our revenues.”</w:t>
      </w:r>
    </w:p>
    <w:p>
      <w:pPr>
        <w:spacing w:after="0" w:line="206" w:lineRule="auto"/>
        <w:rPr>
          <w:sz w:val="20"/>
          <w:szCs w:val="20"/>
          <w:color w:val="auto"/>
        </w:rPr>
      </w:pPr>
      <w:r>
        <w:rPr>
          <w:rFonts w:ascii="Times New Roman" w:cs="Times New Roman" w:eastAsia="Times New Roman" w:hAnsi="Times New Roman"/>
          <w:sz w:val="16"/>
          <w:szCs w:val="16"/>
          <w:color w:val="auto"/>
        </w:rPr>
        <w:t>These competitive pressures could adversely affect our ability to make successful investments and limit our ability to</w:t>
      </w:r>
    </w:p>
    <w:p>
      <w:pPr>
        <w:spacing w:after="0" w:line="1" w:lineRule="exact"/>
        <w:rPr>
          <w:sz w:val="20"/>
          <w:szCs w:val="20"/>
          <w:color w:val="auto"/>
        </w:rPr>
      </w:pPr>
    </w:p>
    <w:p>
      <w:pPr>
        <w:ind w:right="1700"/>
        <w:spacing w:after="0" w:line="203" w:lineRule="auto"/>
        <w:rPr>
          <w:sz w:val="20"/>
          <w:szCs w:val="20"/>
          <w:color w:val="auto"/>
        </w:rPr>
      </w:pPr>
      <w:r>
        <w:rPr>
          <w:rFonts w:ascii="Times New Roman" w:cs="Times New Roman" w:eastAsia="Times New Roman" w:hAnsi="Times New Roman"/>
          <w:sz w:val="16"/>
          <w:szCs w:val="16"/>
          <w:color w:val="auto"/>
        </w:rPr>
        <w:t>raise future investment funds, either of which would adversely impact our business, revenue, results of operations, and cash flow.</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Poor performance of our investment funds would cause a decline in our revenue, income, and cash flow, may obligate us to repay carried interest previously paid to us, and could adversely affect our ability to raise capital for future investment funds.</w:t>
      </w:r>
    </w:p>
    <w:p>
      <w:pPr>
        <w:spacing w:after="0" w:line="205" w:lineRule="auto"/>
        <w:rPr>
          <w:sz w:val="20"/>
          <w:szCs w:val="20"/>
          <w:color w:val="auto"/>
        </w:rPr>
      </w:pPr>
      <w:r>
        <w:rPr>
          <w:rFonts w:ascii="Times New Roman" w:cs="Times New Roman" w:eastAsia="Times New Roman" w:hAnsi="Times New Roman"/>
          <w:sz w:val="16"/>
          <w:szCs w:val="16"/>
          <w:color w:val="auto"/>
        </w:rPr>
        <w:t>In the event that any of our investment funds were to perform poorly, our revenue, income, and cash flow would</w:t>
      </w:r>
    </w:p>
    <w:p>
      <w:pPr>
        <w:spacing w:after="0"/>
        <w:rPr>
          <w:sz w:val="20"/>
          <w:szCs w:val="20"/>
          <w:color w:val="auto"/>
        </w:rPr>
      </w:pPr>
      <w:r>
        <w:rPr>
          <w:rFonts w:ascii="Times New Roman" w:cs="Times New Roman" w:eastAsia="Times New Roman" w:hAnsi="Times New Roman"/>
          <w:sz w:val="14"/>
          <w:szCs w:val="14"/>
          <w:color w:val="auto"/>
        </w:rPr>
        <w:t>decline. Investors could also demand lower fees or fee concessions for existing or future funds, which would likewise decrease</w:t>
      </w:r>
    </w:p>
    <w:p>
      <w:pPr>
        <w:sectPr>
          <w:pgSz w:w="11900" w:h="16840" w:orient="portrait"/>
          <w:cols w:equalWidth="0" w:num="1">
            <w:col w:w="9400"/>
          </w:cols>
          <w:pgMar w:left="1060" w:top="1440" w:right="1440"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color w:val="auto"/>
        </w:rPr>
        <w:t>our revenue or require us to record an impairment of intangible assets and/or goodwill in the case of an acquired business. In some of our funds, such as our carry funds, a reduction in the value of the portfolio investments held in such funds could result in a reduction in the carried interest we earn or in our management fees. In our CLOs, defaults or downgrades of the CLOs’ underlying collateral obligations could cause failures of certain over collateralization tests and the potential for insufficient funds to pay expected management fees on any such CLO, which would result in either a temporary deferral or permanent loss of such management fees. See “Risks Related to Our Business Operations—Risks Related to the Assets We Manage—Our CLO business and investment into CLOs involves certain risks.”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could experience losses on our investment of our own capital into our funds as a result of poor performance</w:t>
      </w:r>
    </w:p>
    <w:p>
      <w:pPr>
        <w:sectPr>
          <w:pgSz w:w="11900" w:h="16840" w:orient="portrait"/>
          <w:cols w:equalWidth="0" w:num="1">
            <w:col w:w="9400"/>
          </w:cols>
          <w:pgMar w:left="1060" w:top="1440" w:right="1440" w:bottom="140" w:gutter="0" w:footer="0" w:header="0"/>
          <w:type w:val="continuous"/>
        </w:sectPr>
      </w:pPr>
    </w:p>
    <w:bookmarkStart w:id="49" w:name="page50"/>
    <w:bookmarkEnd w:id="49"/>
    <w:p>
      <w:pPr>
        <w:ind w:right="1440"/>
        <w:spacing w:after="0" w:line="206" w:lineRule="auto"/>
        <w:rPr>
          <w:sz w:val="20"/>
          <w:szCs w:val="20"/>
          <w:color w:val="auto"/>
        </w:rPr>
      </w:pPr>
      <w:r>
        <w:rPr>
          <w:rFonts w:ascii="Times New Roman" w:cs="Times New Roman" w:eastAsia="Times New Roman" w:hAnsi="Times New Roman"/>
          <w:sz w:val="16"/>
          <w:szCs w:val="16"/>
          <w:color w:val="auto"/>
        </w:rPr>
        <w:t>by our investment funds. If, as a result of poor performance of later investments in a carry fund’s life, the fund does not achieve certain investment returns for the fund over its life, we will be obligated to repay the amount by which carried interest that was previously distributed to us exceeds the amount to which we are ultimately entitled. These repayment obligations may be related to amounts previously distributed to our senior Carlyle professionals prior to the completion of our initial public offering, with respect to which our stockholders did not receive any benefit. See “Risks Related to Our Business Operations— Risks Related to the Assets We Manage—We may need to pay “giveback” obligations if and when they are triggered under the governing agreements with our investors” and Note 8, Commitments and Contingencies, to the consolidated financial statements in Part II, Item 8 of this Annual Report on Form 10-K.</w:t>
      </w:r>
    </w:p>
    <w:p>
      <w:pPr>
        <w:spacing w:after="0" w:line="207" w:lineRule="auto"/>
        <w:rPr>
          <w:sz w:val="20"/>
          <w:szCs w:val="20"/>
          <w:color w:val="auto"/>
        </w:rPr>
      </w:pPr>
      <w:r>
        <w:rPr>
          <w:rFonts w:ascii="Times New Roman" w:cs="Times New Roman" w:eastAsia="Times New Roman" w:hAnsi="Times New Roman"/>
          <w:sz w:val="16"/>
          <w:szCs w:val="16"/>
          <w:color w:val="auto"/>
        </w:rPr>
        <w:t>Poor performance of our investment funds could make it more difficult for us to raise new capital. Investors in our</w:t>
      </w:r>
    </w:p>
    <w:p>
      <w:pPr>
        <w:ind w:right="1400"/>
        <w:spacing w:after="0" w:line="203" w:lineRule="auto"/>
        <w:rPr>
          <w:sz w:val="20"/>
          <w:szCs w:val="20"/>
          <w:color w:val="auto"/>
        </w:rPr>
      </w:pPr>
      <w:r>
        <w:rPr>
          <w:rFonts w:ascii="Times New Roman" w:cs="Times New Roman" w:eastAsia="Times New Roman" w:hAnsi="Times New Roman"/>
          <w:sz w:val="16"/>
          <w:szCs w:val="16"/>
          <w:color w:val="auto"/>
        </w:rPr>
        <w:t>funds may decline to invest in future investment funds we raise. Investors and potential investors in our funds continually assess our investment funds’ performance, and our ability to raise capital for existing and future investment funds and avoid excessive redemption levels will depend on our investment funds’ continued satisfactory performance. Accordingly, poor fund performance has in the past deterred and may in the future deter investment in our funds and thereby decrease the capital invested in our funds and, ultimately, our management fee revenue.</w:t>
      </w:r>
    </w:p>
    <w:p>
      <w:pPr>
        <w:spacing w:after="0" w:line="206" w:lineRule="auto"/>
        <w:rPr>
          <w:sz w:val="20"/>
          <w:szCs w:val="20"/>
          <w:color w:val="auto"/>
        </w:rPr>
      </w:pPr>
      <w:r>
        <w:rPr>
          <w:rFonts w:ascii="Times New Roman" w:cs="Times New Roman" w:eastAsia="Times New Roman" w:hAnsi="Times New Roman"/>
          <w:sz w:val="16"/>
          <w:szCs w:val="16"/>
          <w:color w:val="auto"/>
        </w:rPr>
        <w:t>Moreover, from time to time, we may pursue new or different investment strategies and expand into geographic</w:t>
      </w:r>
    </w:p>
    <w:p>
      <w:pPr>
        <w:ind w:right="1520"/>
        <w:spacing w:after="0" w:line="203" w:lineRule="auto"/>
        <w:rPr>
          <w:sz w:val="20"/>
          <w:szCs w:val="20"/>
          <w:color w:val="auto"/>
        </w:rPr>
      </w:pPr>
      <w:r>
        <w:rPr>
          <w:rFonts w:ascii="Times New Roman" w:cs="Times New Roman" w:eastAsia="Times New Roman" w:hAnsi="Times New Roman"/>
          <w:sz w:val="16"/>
          <w:szCs w:val="16"/>
          <w:color w:val="auto"/>
        </w:rPr>
        <w:t>markets and businesses that may not perform as expected and result in poor performance by us and our investment funds, despite our initial investment thesis. In addition to the risk of poor performance, such activity may subject us to several risks and uncertainties, including risks associated with the possibility that we have insufficient expertise to engage in such activities profitably or without incurring inappropriate amounts of risk; the diversion of management’s attention from our core business; known or unknown contingent liabilities, which could result in unforeseen losses for us and our funds; the disruption of ongoing businesses; and compliance with additional regulatory requirements.</w:t>
      </w:r>
    </w:p>
    <w:p>
      <w:pPr>
        <w:spacing w:after="0" w:line="3"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historical returns attributable to our funds, including those presented in this Annual Report on Form 10-K, should not be considered as indicative of the future results of our funds or of our future results or of any returns expected on an investment in our common stock.</w:t>
      </w:r>
    </w:p>
    <w:p>
      <w:pPr>
        <w:spacing w:after="0" w:line="1" w:lineRule="exact"/>
        <w:rPr>
          <w:sz w:val="20"/>
          <w:szCs w:val="20"/>
          <w:color w:val="auto"/>
        </w:rPr>
      </w:pPr>
    </w:p>
    <w:p>
      <w:pPr>
        <w:ind w:right="1580" w:firstLine="576"/>
        <w:spacing w:after="0" w:line="203" w:lineRule="auto"/>
        <w:rPr>
          <w:sz w:val="20"/>
          <w:szCs w:val="20"/>
          <w:color w:val="auto"/>
        </w:rPr>
      </w:pPr>
      <w:r>
        <w:rPr>
          <w:rFonts w:ascii="Times New Roman" w:cs="Times New Roman" w:eastAsia="Times New Roman" w:hAnsi="Times New Roman"/>
          <w:sz w:val="16"/>
          <w:szCs w:val="16"/>
          <w:color w:val="auto"/>
        </w:rPr>
        <w:t>We have presented in this Annual Report on Form 10 -K information relating to the historical performance of our investment funds. The historical and potential future returns of the investment funds that we advise, however, are not directly linked to returns in our common stock. Therefore, any continued positive performance of the investment funds that we advise will not necessarily result in positive returns on an investment in our common stock. However, poor performance of the investment funds that we advise would cause a decline in our revenue from such investment funds and could therefore have a negative effect on our performance, our ability to raise future funds, and in all likelihood the returns on an investment in our common stock.</w:t>
      </w:r>
    </w:p>
    <w:p>
      <w:pPr>
        <w:spacing w:after="0" w:line="207" w:lineRule="auto"/>
        <w:rPr>
          <w:sz w:val="20"/>
          <w:szCs w:val="20"/>
          <w:color w:val="auto"/>
        </w:rPr>
      </w:pPr>
      <w:r>
        <w:rPr>
          <w:rFonts w:ascii="Times New Roman" w:cs="Times New Roman" w:eastAsia="Times New Roman" w:hAnsi="Times New Roman"/>
          <w:sz w:val="16"/>
          <w:szCs w:val="16"/>
          <w:color w:val="auto"/>
        </w:rPr>
        <w:t>Moreover, with respect to the historical returns of our investment funds:</w:t>
      </w:r>
    </w:p>
    <w:p>
      <w:pPr>
        <w:ind w:right="2480"/>
        <w:spacing w:after="0" w:line="203" w:lineRule="auto"/>
        <w:rPr>
          <w:sz w:val="20"/>
          <w:szCs w:val="20"/>
          <w:color w:val="auto"/>
        </w:rPr>
      </w:pPr>
      <w:r>
        <w:rPr>
          <w:rFonts w:ascii="Times New Roman" w:cs="Times New Roman" w:eastAsia="Times New Roman" w:hAnsi="Times New Roman"/>
          <w:sz w:val="16"/>
          <w:szCs w:val="16"/>
          <w:color w:val="auto"/>
        </w:rPr>
        <w:t>•our historical returns derive largely from the performance of our existing funds, and we may create new funds in the future that reflect a different asset mix and different investment strategies, as well as a varied geographic and industry exposure as compared to our present funds, and any such new funds could have lower returns than our existing or previous funds;</w:t>
      </w:r>
    </w:p>
    <w:p>
      <w:pPr>
        <w:spacing w:after="0" w:line="2" w:lineRule="exact"/>
        <w:rPr>
          <w:sz w:val="20"/>
          <w:szCs w:val="20"/>
          <w:color w:val="auto"/>
        </w:rPr>
      </w:pPr>
    </w:p>
    <w:p>
      <w:pPr>
        <w:ind w:right="2720"/>
        <w:spacing w:after="0" w:line="209" w:lineRule="auto"/>
        <w:rPr>
          <w:sz w:val="20"/>
          <w:szCs w:val="20"/>
          <w:color w:val="auto"/>
        </w:rPr>
      </w:pPr>
      <w:r>
        <w:rPr>
          <w:rFonts w:ascii="Times New Roman" w:cs="Times New Roman" w:eastAsia="Times New Roman" w:hAnsi="Times New Roman"/>
          <w:sz w:val="16"/>
          <w:szCs w:val="16"/>
          <w:color w:val="auto"/>
        </w:rPr>
        <w:t>•the performance of our carry funds reflects our valuation of the unrealized investments held in those funds using assumptions that we believe are reasonable under the circumstances, but the actual realized return on these investments will depend on, among other factors, future operating results and the value of assets and market conditions at the time of disposition all of which may differ from the assumptions on which the valuations in our historical returns are based, which may adversely affect the ultimate value realized from those unrealized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640"/>
        <w:spacing w:after="0" w:line="203" w:lineRule="auto"/>
        <w:rPr>
          <w:sz w:val="20"/>
          <w:szCs w:val="20"/>
          <w:color w:val="auto"/>
        </w:rPr>
      </w:pPr>
      <w:r>
        <w:rPr>
          <w:rFonts w:ascii="Times New Roman" w:cs="Times New Roman" w:eastAsia="Times New Roman" w:hAnsi="Times New Roman"/>
          <w:sz w:val="16"/>
          <w:szCs w:val="16"/>
          <w:color w:val="auto"/>
        </w:rPr>
        <w:t>•in recent years, there has been increased competition for private equity investment opportunities resulting from the increased amount of capital invested in alternative investment funds, high liquidity in debt markets, and strong equity markets, and the increased competition for investments may reduce our returns in the future;</w:t>
      </w:r>
    </w:p>
    <w:p>
      <w:pPr>
        <w:spacing w:after="0" w:line="2" w:lineRule="exact"/>
        <w:rPr>
          <w:sz w:val="20"/>
          <w:szCs w:val="20"/>
          <w:color w:val="auto"/>
        </w:rPr>
      </w:pPr>
    </w:p>
    <w:p>
      <w:pPr>
        <w:jc w:val="both"/>
        <w:ind w:right="2840"/>
        <w:spacing w:after="0" w:line="203" w:lineRule="auto"/>
        <w:rPr>
          <w:sz w:val="20"/>
          <w:szCs w:val="20"/>
          <w:color w:val="auto"/>
        </w:rPr>
      </w:pPr>
      <w:r>
        <w:rPr>
          <w:rFonts w:ascii="Times New Roman" w:cs="Times New Roman" w:eastAsia="Times New Roman" w:hAnsi="Times New Roman"/>
          <w:sz w:val="16"/>
          <w:szCs w:val="16"/>
          <w:color w:val="auto"/>
        </w:rPr>
        <w:t>•the rates of returns of some of our funds in certain years have been positively influenced by a number of investments that experienced rapid and substantial increases in value following the dates on which those investments were made, which may not occur with respect to future investments;</w:t>
      </w:r>
    </w:p>
    <w:p>
      <w:pPr>
        <w:spacing w:after="0" w:line="1" w:lineRule="exact"/>
        <w:rPr>
          <w:sz w:val="20"/>
          <w:szCs w:val="20"/>
          <w:color w:val="auto"/>
        </w:rPr>
      </w:pPr>
    </w:p>
    <w:p>
      <w:pPr>
        <w:ind w:right="2500"/>
        <w:spacing w:after="0" w:line="203" w:lineRule="auto"/>
        <w:rPr>
          <w:sz w:val="20"/>
          <w:szCs w:val="20"/>
          <w:color w:val="auto"/>
        </w:rPr>
      </w:pPr>
      <w:r>
        <w:rPr>
          <w:rFonts w:ascii="Times New Roman" w:cs="Times New Roman" w:eastAsia="Times New Roman" w:hAnsi="Times New Roman"/>
          <w:sz w:val="16"/>
          <w:szCs w:val="16"/>
          <w:color w:val="auto"/>
        </w:rPr>
        <w:t>•our investment funds’ returns in some years have benefited from investment opportunities and general market conditions, including lower interest rates and rates of inflation than present market conditions, that may have been significantly more favorable for generating positive performance than current market conditions or market conditions that we may experience in the future and may not repeat themselves;</w:t>
      </w:r>
    </w:p>
    <w:p>
      <w:pPr>
        <w:spacing w:after="0" w:line="2" w:lineRule="exact"/>
        <w:rPr>
          <w:sz w:val="20"/>
          <w:szCs w:val="20"/>
          <w:color w:val="auto"/>
        </w:rPr>
      </w:pPr>
    </w:p>
    <w:p>
      <w:pPr>
        <w:ind w:right="2960"/>
        <w:spacing w:after="0" w:line="203" w:lineRule="auto"/>
        <w:rPr>
          <w:sz w:val="20"/>
          <w:szCs w:val="20"/>
          <w:color w:val="auto"/>
        </w:rPr>
      </w:pPr>
      <w:r>
        <w:rPr>
          <w:rFonts w:ascii="Times New Roman" w:cs="Times New Roman" w:eastAsia="Times New Roman" w:hAnsi="Times New Roman"/>
          <w:sz w:val="16"/>
          <w:szCs w:val="16"/>
          <w:color w:val="auto"/>
        </w:rPr>
        <w:t>•our current or future investment funds might not be able to avail themselves of comparable investment opportunities or market conditions, and the circumstances under which our funds may make future investments may differ significantly from those conditions prevailing in the past;</w:t>
      </w:r>
    </w:p>
    <w:p>
      <w:pPr>
        <w:spacing w:after="0" w:line="1" w:lineRule="exact"/>
        <w:rPr>
          <w:sz w:val="20"/>
          <w:szCs w:val="20"/>
          <w:color w:val="auto"/>
        </w:rPr>
      </w:pPr>
    </w:p>
    <w:p>
      <w:pPr>
        <w:ind w:right="2680"/>
        <w:spacing w:after="0" w:line="203" w:lineRule="auto"/>
        <w:rPr>
          <w:sz w:val="20"/>
          <w:szCs w:val="20"/>
          <w:color w:val="auto"/>
        </w:rPr>
      </w:pPr>
      <w:r>
        <w:rPr>
          <w:rFonts w:ascii="Times New Roman" w:cs="Times New Roman" w:eastAsia="Times New Roman" w:hAnsi="Times New Roman"/>
          <w:sz w:val="16"/>
          <w:szCs w:val="16"/>
          <w:color w:val="auto"/>
        </w:rPr>
        <w:t>•newly established funds may generate lower returns during the period that they take to deploy their capital; and</w:t>
      </w:r>
    </w:p>
    <w:p>
      <w:pPr>
        <w:spacing w:after="0" w:line="1"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•the introduction of fund-level leverage in certain more recent funds has increased the rates of returns in those funds compared to what they would have been without the use of such leverage.</w:t>
      </w:r>
    </w:p>
    <w:p>
      <w:pPr>
        <w:spacing w:after="0" w:line="204" w:lineRule="auto"/>
        <w:rPr>
          <w:sz w:val="20"/>
          <w:szCs w:val="20"/>
          <w:color w:val="auto"/>
        </w:rPr>
      </w:pPr>
      <w:r>
        <w:rPr>
          <w:rFonts w:ascii="Times New Roman" w:cs="Times New Roman" w:eastAsia="Times New Roman" w:hAnsi="Times New Roman"/>
          <w:sz w:val="16"/>
          <w:szCs w:val="16"/>
          <w:color w:val="auto"/>
        </w:rPr>
        <w:t>Our performance in recent years generally has benefited from recent high multiples and asset prices. In the current</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market environment, we expect that earning such returns on new investments will be much more difficult than in the past and the future internal rate of return for any current or future fund may vary considerably from the historical internal rate of return generated by any particular fund or for our funds as a whole. Future returns also will be affected by the risks described elsewhere in this Annual Report on Form 10-K, including risks of the industries and businesses in which a particular fund invests. See Part II, Item 7 “Management’s Discussion and Analysis of Financial Condition and Results of Operations— Segment Analysis—Fund Performance Metrics” for additional information.</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Risk management activities may adversely affect the return on our and our funds’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When managing our exposure to market risks, we may (on our own behalf or on behalf of our funds) from time to time</w:t>
      </w:r>
    </w:p>
    <w:p>
      <w:pPr>
        <w:sectPr>
          <w:pgSz w:w="11900" w:h="16840" w:orient="portrait"/>
          <w:cols w:equalWidth="0" w:num="1">
            <w:col w:w="9400"/>
          </w:cols>
          <w:pgMar w:left="1060" w:top="557" w:right="1440" w:bottom="80" w:gutter="0" w:footer="0" w:header="0"/>
        </w:sectPr>
      </w:pPr>
    </w:p>
    <w:bookmarkStart w:id="50" w:name="page51"/>
    <w:bookmarkEnd w:id="50"/>
    <w:p>
      <w:pPr>
        <w:ind w:right="1420"/>
        <w:spacing w:after="0" w:line="205" w:lineRule="auto"/>
        <w:rPr>
          <w:sz w:val="20"/>
          <w:szCs w:val="20"/>
          <w:color w:val="auto"/>
        </w:rPr>
      </w:pPr>
      <w:r>
        <w:rPr>
          <w:rFonts w:ascii="Times New Roman" w:cs="Times New Roman" w:eastAsia="Times New Roman" w:hAnsi="Times New Roman"/>
          <w:sz w:val="16"/>
          <w:szCs w:val="16"/>
          <w:color w:val="auto"/>
        </w:rPr>
        <w:t>use forward contracts, options, swaps, caps, collars, and floors or pursue other strategies or use other forms of derivative instruments to limit our exposure to changes in the relative values of investments that may result from market developments, including changes in prevailing interest rates, currency exchange rates, and commodity prices. The use of derivative financial instruments and other risk management strategies may not be properly designed to hedge, manage, or otherwise reduce the risks we have identified. In addition, we may not be able to identify, or may not have fully identified, all applicable material market risks to which we are exposed. We also may choose not to hedge, in whole or in part, any of the risks that have been identified. The success of any hedging or other derivatives transactions generally will depend on our ability to correctly predict market changes, the degree of correlation between price movements of a derivative instrument, the position being hedged, the creditworthiness of the counterparty, and other factors, some of which may be beyond our ability to hedge. As a result, while we may enter into a transaction in order to reduce our exposure to market risks, the unintended market changes may result in poorer overall investment performance than if it had not been executed. Such transactions may also limit the opportunity for gain if the value of a hedged position increases.</w:t>
      </w:r>
    </w:p>
    <w:p>
      <w:pPr>
        <w:spacing w:after="0" w:line="5" w:lineRule="exact"/>
        <w:rPr>
          <w:sz w:val="20"/>
          <w:szCs w:val="20"/>
          <w:color w:val="auto"/>
        </w:rPr>
      </w:pPr>
    </w:p>
    <w:p>
      <w:pPr>
        <w:ind w:right="1400" w:firstLine="576"/>
        <w:spacing w:after="0" w:line="203" w:lineRule="auto"/>
        <w:rPr>
          <w:sz w:val="20"/>
          <w:szCs w:val="20"/>
          <w:color w:val="auto"/>
        </w:rPr>
      </w:pPr>
      <w:r>
        <w:rPr>
          <w:rFonts w:ascii="Times New Roman" w:cs="Times New Roman" w:eastAsia="Times New Roman" w:hAnsi="Times New Roman"/>
          <w:sz w:val="16"/>
          <w:szCs w:val="16"/>
          <w:color w:val="auto"/>
        </w:rPr>
        <w:t>While such hedging arrangements may reduce certain risks, such arrangements themselves may entail certain other risks. These arrangements may require the posting of cash collateral at a time when a fund has insufficient cash or illiquid assets such that the posting of the cash is either impossible or requires the sale of assets at prices that do not reflect their underlying value. In addition, if our derivative counterparties or clearinghouses fail to meet their obligations with respect to the posting of cash collateral, our efforts to mitigate certain risks may be ineffective. These hedging arrangements also may generate significant transaction costs, including potential tax costs, which reduce the returns generated by a fund.</w:t>
      </w:r>
    </w:p>
    <w:p>
      <w:pPr>
        <w:spacing w:after="0" w:line="206" w:lineRule="auto"/>
        <w:rPr>
          <w:sz w:val="20"/>
          <w:szCs w:val="20"/>
          <w:color w:val="auto"/>
        </w:rPr>
      </w:pPr>
      <w:r>
        <w:rPr>
          <w:rFonts w:ascii="Times New Roman" w:cs="Times New Roman" w:eastAsia="Times New Roman" w:hAnsi="Times New Roman"/>
          <w:sz w:val="16"/>
          <w:szCs w:val="16"/>
          <w:color w:val="auto"/>
        </w:rPr>
        <w:t>In addition, the regulation of derivatives and commodity interest transactions in the United States and other countries</w:t>
      </w:r>
    </w:p>
    <w:p>
      <w:pPr>
        <w:spacing w:after="0" w:line="1" w:lineRule="exact"/>
        <w:rPr>
          <w:sz w:val="20"/>
          <w:szCs w:val="20"/>
          <w:color w:val="auto"/>
        </w:rPr>
      </w:pPr>
    </w:p>
    <w:p>
      <w:pPr>
        <w:ind w:right="1540"/>
        <w:spacing w:after="0" w:line="268" w:lineRule="auto"/>
        <w:rPr>
          <w:sz w:val="20"/>
          <w:szCs w:val="20"/>
          <w:color w:val="auto"/>
        </w:rPr>
      </w:pPr>
      <w:r>
        <w:rPr>
          <w:rFonts w:ascii="Times New Roman" w:cs="Times New Roman" w:eastAsia="Times New Roman" w:hAnsi="Times New Roman"/>
          <w:sz w:val="14"/>
          <w:szCs w:val="14"/>
          <w:color w:val="auto"/>
        </w:rPr>
        <w:t>is a rapidly changing area of law and is subject to ongoing modification by governmental and judicial action. Newly instituted and amended regulations could significantly increase the cost of entering into derivative contracts (including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32" w:lineRule="auto"/>
        <w:rPr>
          <w:sz w:val="20"/>
          <w:szCs w:val="20"/>
          <w:color w:val="auto"/>
        </w:rPr>
      </w:pPr>
      <w:r>
        <w:rPr>
          <w:rFonts w:ascii="Times New Roman" w:cs="Times New Roman" w:eastAsia="Times New Roman" w:hAnsi="Times New Roman"/>
          <w:sz w:val="14"/>
          <w:szCs w:val="14"/>
          <w:color w:val="auto"/>
        </w:rPr>
        <w:t>requirements to post collateral, which could negatively impact available liquidity), materially alter the terms of derivative contracts, reduce the availability of derivatives to protect against risks, reduce our ability to restructure our existing derivative contracts, and increase our exposure to less creditworthy counterparties. Moreover, the CFTC may in the future require certain foreign exchange products to be subject to mandatory clearing, which could increase the cost of entering into currency hedges.</w:t>
      </w:r>
    </w:p>
    <w:p>
      <w:pPr>
        <w:spacing w:after="0" w:line="2"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Trade negotiations and related government actions may create regulatory uncertainty for our funds’ portfolio companies and our investment strategies and adversely affect the profitability of our funds’ portfolio companies.</w:t>
      </w:r>
    </w:p>
    <w:p>
      <w:pPr>
        <w:spacing w:after="0" w:line="204" w:lineRule="auto"/>
        <w:rPr>
          <w:sz w:val="20"/>
          <w:szCs w:val="20"/>
          <w:color w:val="auto"/>
        </w:rPr>
      </w:pPr>
      <w:r>
        <w:rPr>
          <w:rFonts w:ascii="Times New Roman" w:cs="Times New Roman" w:eastAsia="Times New Roman" w:hAnsi="Times New Roman"/>
          <w:sz w:val="16"/>
          <w:szCs w:val="16"/>
          <w:color w:val="auto"/>
        </w:rPr>
        <w:t>In recent years, the U.S. government has indicated its intent to alter its approach to international trade policy and, in</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some cases, to renegotiate, or potentially terminate, certain existing bilateral or multi-lateral trade agreements and treaties with foreign countries, and has made proposals and taken actions related thereto. For example, the U.S. government has imposed tariffs on certain foreign goods, including from China, such as steel and aluminum. Increasingly, the new administration also has threatened or targeted broader swathes of countries with punitive trade measures, such as universal steel and aluminum tariffs and reciprocal tariffs, including against Canada, Mexico, and Europe. Some foreign governments, including China, Canada, and Mexico, have threatened or instituted retaliatory tariffs on certain U.S. goods.</w:t>
      </w:r>
    </w:p>
    <w:p>
      <w:pPr>
        <w:spacing w:after="0" w:line="206" w:lineRule="auto"/>
        <w:rPr>
          <w:sz w:val="20"/>
          <w:szCs w:val="20"/>
          <w:color w:val="auto"/>
        </w:rPr>
      </w:pPr>
      <w:r>
        <w:rPr>
          <w:rFonts w:ascii="Times New Roman" w:cs="Times New Roman" w:eastAsia="Times New Roman" w:hAnsi="Times New Roman"/>
          <w:sz w:val="16"/>
          <w:szCs w:val="16"/>
          <w:color w:val="auto"/>
        </w:rPr>
        <w:t>In addition, the United States has implemented several economic sanctions programs and export controls that</w:t>
      </w:r>
    </w:p>
    <w:p>
      <w:pPr>
        <w:spacing w:after="0" w:line="1" w:lineRule="exact"/>
        <w:rPr>
          <w:sz w:val="20"/>
          <w:szCs w:val="20"/>
          <w:color w:val="auto"/>
        </w:rPr>
      </w:pPr>
    </w:p>
    <w:p>
      <w:pPr>
        <w:ind w:right="1480"/>
        <w:spacing w:after="0"/>
        <w:rPr>
          <w:sz w:val="20"/>
          <w:szCs w:val="20"/>
          <w:color w:val="auto"/>
        </w:rPr>
      </w:pPr>
      <w:r>
        <w:rPr>
          <w:rFonts w:ascii="Times New Roman" w:cs="Times New Roman" w:eastAsia="Times New Roman" w:hAnsi="Times New Roman"/>
          <w:sz w:val="14"/>
          <w:szCs w:val="14"/>
          <w:color w:val="auto"/>
        </w:rPr>
        <w:t>specifically target Chinese entities and nationals on national security grounds, including, for example, with respect to China’s response to political demonstrations in Hong Kong and China’s conduct concerning the treatment of Uyghurs and other ethnic minorities in its Xinjiang province. The United States also has implemented certain sanctions against entities participating in China’s military industrial complex and providing support to the country’s military, intelligence, and surveillance apparatuses. These sanctions impose certain restrictions on U.S. persons and entities buying or selling publicly traded securities of designated entities. Further escalation of the “trade war” between the United States and China, the countries’ inability to reach further trade agreements, or the continued use of reciprocal sanctions by each country, may negatively impact opportunities for investment as well as the rate of global growth, particularly in China, which has and continues to exhibit signs of slowing growth. Such slowing growth could adversely affect the revenues and profitability of our funds’ portfolio companies. Moreover, there is uncertainty as to any additional actions that may be taken under the new administration with respect</w:t>
      </w:r>
    </w:p>
    <w:p>
      <w:pPr>
        <w:spacing w:after="0" w:line="112"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to U.S. trade policy.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 See “Risks Related to Our Business Operations—Risks Related to the Assets We Manage—Our funds make investments in companies that are based outside of the United States, which may expose us to additional risks not typically associated with investing in companies that are based in the United States.”</w:t>
      </w:r>
    </w:p>
    <w:p>
      <w:pPr>
        <w:spacing w:after="0" w:line="3"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asset management business depends in large part on our ability to raise capital from third-party investors. If we are unable to raise capital from third-party investors, we would be unable to collect management fees or deploy their capital into investments and potentially collect carried interest, which would materially reduce our revenue and cash flow and adversely affect our financial condition.</w:t>
      </w:r>
    </w:p>
    <w:p>
      <w:pPr>
        <w:spacing w:after="0" w:line="205" w:lineRule="auto"/>
        <w:rPr>
          <w:sz w:val="20"/>
          <w:szCs w:val="20"/>
          <w:color w:val="auto"/>
        </w:rPr>
      </w:pPr>
      <w:r>
        <w:rPr>
          <w:rFonts w:ascii="Times New Roman" w:cs="Times New Roman" w:eastAsia="Times New Roman" w:hAnsi="Times New Roman"/>
          <w:sz w:val="16"/>
          <w:szCs w:val="16"/>
          <w:color w:val="auto"/>
        </w:rPr>
        <w:t>We raised $108 billion in new capital commitments in the last three years, with 2024 activity being driven by</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fundraising in our real estate business (Carlyle Real Estate Partners), our Global Credit business (including credit opportunities, third-party capital raised in our asset- backed finance business, and other diversified credit strategies), and our flagship secondaries and co-investment funds within our Global Investment Solutions segment. We cannot assure that our prior success in raising capital will continue in the future. In this respect, we anticipate the fundraising landscape will continue to be increasingly competitive as limited partners continue to reassess their portfolio allocation targets in light of market volatility and their liquidity requirements. As a result, fundraising in certain products—particularly in corporate private equity strategies —may take longer to complete and fund sizes may not meet levels they otherwise would in a more favorable market environment. Slowdowns in fundraising also may delay catch-up management fees that would be charged to fund investors in subsequent closings and smaller fund sizes have resulted in and could continue to result in lower management fees in the future. Our ability to raise capital from third- party investors depends on a number of factors, including certain factors that are</w:t>
      </w:r>
    </w:p>
    <w:p>
      <w:pPr>
        <w:sectPr>
          <w:pgSz w:w="11900" w:h="16840" w:orient="portrait"/>
          <w:cols w:equalWidth="0" w:num="1">
            <w:col w:w="9400"/>
          </w:cols>
          <w:pgMar w:left="1060" w:top="557" w:right="1440" w:bottom="160" w:gutter="0" w:footer="0" w:header="0"/>
        </w:sectPr>
      </w:pPr>
    </w:p>
    <w:bookmarkStart w:id="51" w:name="page52"/>
    <w:bookmarkEnd w:id="51"/>
    <w:p>
      <w:pPr>
        <w:ind w:right="1500"/>
        <w:spacing w:after="0" w:line="248" w:lineRule="auto"/>
        <w:rPr>
          <w:sz w:val="20"/>
          <w:szCs w:val="20"/>
          <w:color w:val="auto"/>
        </w:rPr>
      </w:pPr>
      <w:r>
        <w:rPr>
          <w:rFonts w:ascii="Times New Roman" w:cs="Times New Roman" w:eastAsia="Times New Roman" w:hAnsi="Times New Roman"/>
          <w:sz w:val="14"/>
          <w:szCs w:val="14"/>
          <w:color w:val="auto"/>
        </w:rPr>
        <w:t>outside our control. Certain of these factors, such as economic and market conditions (including the level of interest rates and stock market performance), the pace of distributions from our funds and from the funds of other asset managers, or the asset allocation rules or regulations or investment policies to which such third -party investors are subject, whether by their own policy or the laws and regulations of their respective jurisdictions, could inhibit or restrict the ability of third-party investors to make investments in our investment funds. For example, lawmakers across a number of states have put forth proposals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expressed intent to take steps to reduce or minimize the ability of state pension funds to invest in alternative asset classes, including by proposing to increase the reporting or other obligations applicable to state pension funds that invest in such asset classes. Such proposals or actions would potentially discourage investment by such state pension funds in alternative asset classes by imposing meaningful compliance burdens and costs on them, which could adversely affect our ability to raise capital from such state pension funds. Other states could potentially take similar actions, which may further impair our access to capital from an investor base that has historically represented a significant portion of our fundraising. Third-party investors in private equity, real assets, and private credit funds typically use distributions from prior</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investments to meet future capital calls. In cases where valuations of existing investments fall, the investment pace is delayed and/or the pace of distributions slows, investors may be unable or unwilling to make new commitments or fund existing commitments to third-party management investment funds such as those advised by us. Moreover, many funds sponsored by us and our competitors have in recent years invested more rapidly than in the past. As a result, investors may delay making new commitments until such time these investments start distributing capital.</w:t>
      </w:r>
    </w:p>
    <w:p>
      <w:pPr>
        <w:spacing w:after="0" w:line="206" w:lineRule="auto"/>
        <w:rPr>
          <w:sz w:val="20"/>
          <w:szCs w:val="20"/>
          <w:color w:val="auto"/>
        </w:rPr>
      </w:pPr>
      <w:r>
        <w:rPr>
          <w:rFonts w:ascii="Times New Roman" w:cs="Times New Roman" w:eastAsia="Times New Roman" w:hAnsi="Times New Roman"/>
          <w:sz w:val="16"/>
          <w:szCs w:val="16"/>
          <w:color w:val="auto"/>
        </w:rPr>
        <w:t>There can be no assurance that historical or current levels of commitments to our funds will continue. For example,</w:t>
      </w:r>
    </w:p>
    <w:p>
      <w:pPr>
        <w:ind w:right="1400"/>
        <w:spacing w:after="0" w:line="203" w:lineRule="auto"/>
        <w:rPr>
          <w:sz w:val="20"/>
          <w:szCs w:val="20"/>
          <w:color w:val="auto"/>
        </w:rPr>
      </w:pPr>
      <w:r>
        <w:rPr>
          <w:rFonts w:ascii="Times New Roman" w:cs="Times New Roman" w:eastAsia="Times New Roman" w:hAnsi="Times New Roman"/>
          <w:sz w:val="16"/>
          <w:szCs w:val="16"/>
          <w:color w:val="auto"/>
        </w:rPr>
        <w:t>there has been a shift away from defined benefit pension plans to defined contributions plans, which could reduce the amount of assets available for us to manage on behalf of certain of our clients. In addition, investors may downsize their investment allocations to alternative managers, including private funds and fund of funds vehicles, to rebalance a disproportionate weighting of their overall investment portfolio among asset classes. Investors also may seek to consolidate their investments with a smaller number of investment managers or prefer to pursue investments directly instead of investing through our funds, each of which could impact the amount of allocations they make to our funds. For example, certain institutional investors have demonstrated a preference to in -source their own investment professionals and to make direct investments in alternative assets without the assistance of alternative asset advisers like us. Such institutional investors may become our competitors and could cease to be our clients.</w:t>
      </w:r>
    </w:p>
    <w:p>
      <w:pPr>
        <w:spacing w:after="0" w:line="208" w:lineRule="auto"/>
        <w:rPr>
          <w:sz w:val="20"/>
          <w:szCs w:val="20"/>
          <w:color w:val="auto"/>
        </w:rPr>
      </w:pPr>
      <w:r>
        <w:rPr>
          <w:rFonts w:ascii="Times New Roman" w:cs="Times New Roman" w:eastAsia="Times New Roman" w:hAnsi="Times New Roman"/>
          <w:sz w:val="16"/>
          <w:szCs w:val="16"/>
          <w:color w:val="auto"/>
        </w:rPr>
        <w:t>Moreover, as some existing investors cease or significantly curtail making commitments to alternative investment</w:t>
      </w:r>
    </w:p>
    <w:p>
      <w:pPr>
        <w:ind w:right="1540"/>
        <w:spacing w:after="0" w:line="203" w:lineRule="auto"/>
        <w:rPr>
          <w:sz w:val="20"/>
          <w:szCs w:val="20"/>
          <w:color w:val="auto"/>
        </w:rPr>
      </w:pPr>
      <w:r>
        <w:rPr>
          <w:rFonts w:ascii="Times New Roman" w:cs="Times New Roman" w:eastAsia="Times New Roman" w:hAnsi="Times New Roman"/>
          <w:sz w:val="16"/>
          <w:szCs w:val="16"/>
          <w:color w:val="auto"/>
        </w:rPr>
        <w:t>funds, we may need to identify and attract new investors in order to maintain or increase the size of our investment funds. The ongoing changes in international and domestic tax regulations may adversely impact the tax neutrality of our funds, which could in turn limit investment in our funds from certain classes of investors. We are working to create avenues through which we expect to attract a new base of retail or individual investors. There can be no assurances that we can find or secure commitments from those new investors. Our ability to raise new funds could similarly be hampered if the general appeal of private equity and alternative investments were to decline.</w:t>
      </w:r>
    </w:p>
    <w:p>
      <w:pPr>
        <w:spacing w:after="0" w:line="206" w:lineRule="auto"/>
        <w:rPr>
          <w:sz w:val="20"/>
          <w:szCs w:val="20"/>
          <w:color w:val="auto"/>
        </w:rPr>
      </w:pPr>
      <w:r>
        <w:rPr>
          <w:rFonts w:ascii="Times New Roman" w:cs="Times New Roman" w:eastAsia="Times New Roman" w:hAnsi="Times New Roman"/>
          <w:sz w:val="16"/>
          <w:szCs w:val="16"/>
          <w:color w:val="auto"/>
        </w:rPr>
        <w:t>An investment in a private equity, credit, or real estate fund is more illiquid and the returns on such investment may be</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more volatile than an investment in securities for which there is a more active and transparent market. Private equity, credit, and real estate investments could fall into disfavor as a result of concerns about liquidity and short -term performance. Such concerns could be exhibited, in particular, by public pension funds, which have historically been among the largest investors in alternative assets. Concerns with liquidity could cause such public pension funds to reevaluate the appropriateness of alternative investments.</w:t>
      </w:r>
    </w:p>
    <w:p>
      <w:pPr>
        <w:spacing w:after="0" w:line="206" w:lineRule="auto"/>
        <w:rPr>
          <w:sz w:val="20"/>
          <w:szCs w:val="20"/>
          <w:color w:val="auto"/>
        </w:rPr>
      </w:pPr>
      <w:r>
        <w:rPr>
          <w:rFonts w:ascii="Times New Roman" w:cs="Times New Roman" w:eastAsia="Times New Roman" w:hAnsi="Times New Roman"/>
          <w:sz w:val="16"/>
          <w:szCs w:val="16"/>
          <w:color w:val="auto"/>
        </w:rPr>
        <w:t>In addition, the evolving preferences of our fund investors may necessitate that alternatives to the traditional</w:t>
      </w:r>
    </w:p>
    <w:p>
      <w:pPr>
        <w:ind w:right="1400"/>
        <w:spacing w:after="0"/>
        <w:rPr>
          <w:sz w:val="20"/>
          <w:szCs w:val="20"/>
          <w:color w:val="auto"/>
        </w:rPr>
      </w:pPr>
      <w:r>
        <w:rPr>
          <w:rFonts w:ascii="Times New Roman" w:cs="Times New Roman" w:eastAsia="Times New Roman" w:hAnsi="Times New Roman"/>
          <w:sz w:val="14"/>
          <w:szCs w:val="14"/>
          <w:color w:val="auto"/>
        </w:rPr>
        <w:t>investment fund structure, such as managed accounts, smaller funds, and co-investment vehicles, become a larger part of our business going forward. Certain investors also have implemented or may implement restrictions against investing in certain types of asset classes or sectors, such as hydrocarbons, which could affect our ability to raise new funds focused on those asset classes, such as funds focused on conventional energy or natural resources, and which could have a negative impact on our ability to exit certain of our energy investments or our ability to invest capital in our conventional energy funds. Given that funds focused on investing in carbon-based energy remain a part of our business (4% of total AUM as of December 31, 2024), the persistence of weakened market fundamentals in the energy sector could translate into future performance below investor expectations which, together with negative sentiments around carbon energy funds, could result in less investor demand for these funds in the future. If we were unable to raise the next generation of our energy -related funds, at the same levels or at all, our fee-paying AUM and future management fees could be adversely impacted. This could increase our cost of raising capital at the scale we have historically achieved. This also could cause an impairment of our equity method investment in NGP in the future. As of December 31, 2024, we continue to believe that our investment in NGP is not impaired.</w:t>
      </w:r>
    </w:p>
    <w:p>
      <w:pPr>
        <w:spacing w:after="0" w:line="102" w:lineRule="exact"/>
        <w:rPr>
          <w:sz w:val="20"/>
          <w:szCs w:val="20"/>
          <w:color w:val="auto"/>
        </w:rPr>
      </w:pPr>
    </w:p>
    <w:p>
      <w:pPr>
        <w:ind w:right="1440"/>
        <w:spacing w:after="0" w:line="244" w:lineRule="auto"/>
        <w:rPr>
          <w:sz w:val="20"/>
          <w:szCs w:val="20"/>
          <w:color w:val="auto"/>
        </w:rPr>
      </w:pPr>
      <w:r>
        <w:rPr>
          <w:rFonts w:ascii="Times New Roman" w:cs="Times New Roman" w:eastAsia="Times New Roman" w:hAnsi="Times New Roman"/>
          <w:sz w:val="14"/>
          <w:szCs w:val="14"/>
          <w:color w:val="auto"/>
        </w:rPr>
        <w:t>The failure to successfully raise capital commitments to new investment funds also may expose us to credit risk in respect of financing that we may provide to such funds. When existing capital commitments to a new investment fund are insufficient to fund in full a new investment fund’s participation in a transaction, we may lend money to or borrow money from financial institutions on behalf of such investment funds to bridge this difference and repay this financing with capital from</w:t>
      </w:r>
    </w:p>
    <w:p>
      <w:pPr>
        <w:sectPr>
          <w:pgSz w:w="11900" w:h="16840" w:orient="portrait"/>
          <w:cols w:equalWidth="0" w:num="1">
            <w:col w:w="9400"/>
          </w:cols>
          <w:pgMar w:left="1060" w:top="557"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subsequent investors to the fund. Our inability to identify and secure capital commitments from new investors to these funds may expose us to losses (in the case of money that we lend directly to such funds) or adversely impact our ability to repay such borrowings or otherwise have an adverse impact on our liquidity position. Moreover, if we seek to expand into other business lines, we may be unable to raise a sufficient amount of capital to adequately support such businesses. The failure of our investment funds to raise capital in sufficient amounts could result in a decrease in our AUM, as well as management fee and transaction fee revenue, or could result in a decline in the rate of growth of our AUM and management fee and transaction fee revenue, any of which could have a material adverse impact on our revenues and financial condition. Our past experience with growth of AUM provides no assurance with respect to the future.</w:t>
      </w:r>
    </w:p>
    <w:p>
      <w:pPr>
        <w:spacing w:after="0" w:line="3" w:lineRule="exact"/>
        <w:rPr>
          <w:sz w:val="20"/>
          <w:szCs w:val="20"/>
          <w:color w:val="auto"/>
        </w:rPr>
      </w:pPr>
    </w:p>
    <w:p>
      <w:pPr>
        <w:ind w:right="17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have increasingly undertaken business initiatives to increase the number and type of investment products we offer to retail investors, which could expose us to new and greater levels of risk.</w:t>
      </w:r>
    </w:p>
    <w:p>
      <w:pPr>
        <w:spacing w:after="0" w:line="1" w:lineRule="exact"/>
        <w:rPr>
          <w:sz w:val="20"/>
          <w:szCs w:val="20"/>
          <w:color w:val="auto"/>
        </w:rPr>
      </w:pPr>
    </w:p>
    <w:p>
      <w:pPr>
        <w:ind w:right="1480"/>
        <w:spacing w:after="0" w:line="232" w:lineRule="auto"/>
        <w:rPr>
          <w:sz w:val="20"/>
          <w:szCs w:val="20"/>
          <w:color w:val="auto"/>
        </w:rPr>
      </w:pPr>
      <w:r>
        <w:rPr>
          <w:rFonts w:ascii="Times New Roman" w:cs="Times New Roman" w:eastAsia="Times New Roman" w:hAnsi="Times New Roman"/>
          <w:sz w:val="14"/>
          <w:szCs w:val="14"/>
          <w:color w:val="auto"/>
        </w:rPr>
        <w:t>Although retail investors have been part of our historic distribution efforts, we have increasingly undertaken business initiatives to increase the number and type of investment products we offer to high-net-worth individuals, family offices, and mass affluent investors in the United States and other jurisdictions around the world. In particular, we create investment products designed for investment by retail investors in the United States, some of whom are not accredited investors, or similar investors in non-U.S. jurisdictions, including in Europe. In certain instances, our funds are distributed to such investors indirectly through third-party managed vehicles sponsored by brokerage firms, private banks, or third-party feeder providers, and in other instances directly to the clients of private banks, independent investment advisors, and brokers.</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Accessing retail investors and offering products directed at such investors exposes us to new and greater levels of risk, including heightened litigation and regulatory enforcement, an increased compliance burden, and more complex administration and accounting operations. We may be subject to claims related to matters such as the adequacy of disclosures, appropriateness of fees, suitability, and board of directors oversight, each which could result in civil lawsuits, regulatory penalties, and enforcement actions. Our registered investment advisers also could be subject to direct or derivative claims from a fund’s investors or board of directors for alleged mismanagement of the fund. In addition, regulatory requirements imposing limitations on the ability of affiliates of certain of our vehicles to engage in certain transactions may limit our funds’ ability to engage in otherwise attractive investment opportunities.</w:t>
      </w:r>
    </w:p>
    <w:p>
      <w:pPr>
        <w:spacing w:after="0" w:line="3" w:lineRule="exact"/>
        <w:rPr>
          <w:sz w:val="20"/>
          <w:szCs w:val="20"/>
          <w:color w:val="auto"/>
        </w:rPr>
      </w:pPr>
    </w:p>
    <w:p>
      <w:pPr>
        <w:ind w:right="1460"/>
        <w:spacing w:after="0"/>
        <w:rPr>
          <w:sz w:val="20"/>
          <w:szCs w:val="20"/>
          <w:color w:val="auto"/>
        </w:rPr>
      </w:pPr>
      <w:r>
        <w:rPr>
          <w:rFonts w:ascii="Times New Roman" w:cs="Times New Roman" w:eastAsia="Times New Roman" w:hAnsi="Times New Roman"/>
          <w:sz w:val="14"/>
          <w:szCs w:val="14"/>
          <w:color w:val="auto"/>
        </w:rPr>
        <w:t>To the extent distribution of such products is through new channels and markets, including through an increasing number of distributors with whom we engage, we may not be able to effectively monitor or control the manner of their distribution, which could result in litigation or regulatory action against us, including with respect to, among other things, claims that products distributed through such channels are distributed to investors for whom they are unsuitable, claims related to conflicts of interest or the adequacy of disclosure to investors, or claims that the products are distributed in a manner inconsistent with our regulations requirements or otherwise inappropriate manner. In addition, regulation applicable to our arrangements with such distributors and channels increases the compliance burden associated with onboarding new distributors or pursuing new distribution channels, resulting in increased cost and complexity. Although we engage in due diligence and onboarding procedures that seek to uncover issues relating to the third-party channels through which retail investors access our investment products, we do not control and have limited information regarding many of these third-party channels and thus we are exposed to risks of reputational damage, regulatory scrutiny, and legal liability to the extent such third parties improperly sell our products to investors. This risk is heightened by the continuing increase in the number of third parties through whom we distribute our investment products around the world and who we do not control. For example, in certain instances, we may be viewed by a regulator as responsible for the content of materials prepared by third 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Likewise, there is a risk that our employees involved in the direct distribution of our products, or employees who</w:t>
      </w:r>
    </w:p>
    <w:p>
      <w:pPr>
        <w:ind w:right="1460"/>
        <w:spacing w:after="0" w:line="232" w:lineRule="auto"/>
        <w:rPr>
          <w:sz w:val="20"/>
          <w:szCs w:val="20"/>
          <w:color w:val="auto"/>
        </w:rPr>
      </w:pPr>
      <w:r>
        <w:rPr>
          <w:rFonts w:ascii="Times New Roman" w:cs="Times New Roman" w:eastAsia="Times New Roman" w:hAnsi="Times New Roman"/>
          <w:sz w:val="14"/>
          <w:szCs w:val="14"/>
          <w:color w:val="auto"/>
        </w:rPr>
        <w:t>oversee independent advisors, brokerage firms, and other third parties around the world involved in distributing our products, do not follow our compliance and supervisory procedures. In addition, the distribution of such products, including through new channels whether directly or through market intermediaries, could expose us to allegations of improper conduct and/or actions by state and federal regulators in the United States and regulators in jurisdictions outside of the United States with respect to, among other things, product suitability, distributor eligibility, investor classification, compliance with securities laws, conflicts of interest, and the adequacy of disclosure to investors to whom our products are distributed through those channels. As we expand the distribution of products to retail investors outside of the United States, we are increasingly exposed</w:t>
      </w:r>
    </w:p>
    <w:p>
      <w:pPr>
        <w:spacing w:after="0" w:line="3" w:lineRule="exact"/>
        <w:rPr>
          <w:sz w:val="20"/>
          <w:szCs w:val="20"/>
          <w:color w:val="auto"/>
        </w:rPr>
      </w:pPr>
    </w:p>
    <w:p>
      <w:pPr>
        <w:ind w:right="1520"/>
        <w:spacing w:after="0" w:line="244" w:lineRule="auto"/>
        <w:rPr>
          <w:sz w:val="20"/>
          <w:szCs w:val="20"/>
          <w:color w:val="auto"/>
        </w:rPr>
      </w:pPr>
      <w:r>
        <w:rPr>
          <w:rFonts w:ascii="Times New Roman" w:cs="Times New Roman" w:eastAsia="Times New Roman" w:hAnsi="Times New Roman"/>
          <w:sz w:val="14"/>
          <w:szCs w:val="14"/>
          <w:color w:val="auto"/>
        </w:rPr>
        <w:t>to risks in non-U.S. jurisdictions. While many of the risks we face in non-U.S. jurisdictions are similar to those that we face in the distribution of products to retail investors in the United States, securities laws and other applicable regulatory regimes may be extensive, complex, and vary by jurisdiction. In addition, the distribution of products to individual investors outside of the United States may involve complex structures (such as distributor-sponsored feeder funds or nominee/omnibus investors) and</w:t>
      </w: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color w:val="auto"/>
        </w:rPr>
        <w:t>market practices that vary by local jurisdiction. As a result, this expansion subjects us to additional complexity, litigation, and</w:t>
      </w:r>
    </w:p>
    <w:p>
      <w:pPr>
        <w:sectPr>
          <w:pgSz w:w="11900" w:h="16840" w:orient="portrait"/>
          <w:cols w:equalWidth="0" w:num="1">
            <w:col w:w="9400"/>
          </w:cols>
          <w:pgMar w:left="1060" w:top="1440" w:right="1440" w:bottom="79"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color w:val="auto"/>
        </w:rPr>
        <w:t>regulatory risk.</w:t>
      </w:r>
    </w:p>
    <w:p>
      <w:pPr>
        <w:spacing w:after="0" w:line="203" w:lineRule="auto"/>
        <w:rPr>
          <w:sz w:val="20"/>
          <w:szCs w:val="20"/>
          <w:color w:val="auto"/>
        </w:rPr>
      </w:pPr>
      <w:r>
        <w:rPr>
          <w:rFonts w:ascii="Times New Roman" w:cs="Times New Roman" w:eastAsia="Times New Roman" w:hAnsi="Times New Roman"/>
          <w:sz w:val="16"/>
          <w:szCs w:val="16"/>
          <w:color w:val="auto"/>
        </w:rPr>
        <w:t>Moreover, our initiatives to expand our retail investor base, including outside of the United States, requires the</w:t>
      </w:r>
    </w:p>
    <w:p>
      <w:pPr>
        <w:jc w:val="both"/>
        <w:ind w:right="1540"/>
        <w:spacing w:after="0" w:line="232" w:lineRule="auto"/>
        <w:rPr>
          <w:sz w:val="20"/>
          <w:szCs w:val="20"/>
          <w:color w:val="auto"/>
        </w:rPr>
      </w:pPr>
      <w:r>
        <w:rPr>
          <w:rFonts w:ascii="Times New Roman" w:cs="Times New Roman" w:eastAsia="Times New Roman" w:hAnsi="Times New Roman"/>
          <w:sz w:val="14"/>
          <w:szCs w:val="14"/>
          <w:color w:val="auto"/>
        </w:rPr>
        <w:t>investment of significant time, effort, and resources, including the potential hiring of additional personnel, the implementation of new operational, compliance, and other systems and processes, and the development or implementation of new technology. Our efforts to continue to grow the assets we manage on behalf of retail investors may not be successful.</w:t>
      </w:r>
    </w:p>
    <w:p>
      <w:pPr>
        <w:spacing w:after="0" w:line="1" w:lineRule="exact"/>
        <w:rPr>
          <w:sz w:val="20"/>
          <w:szCs w:val="20"/>
          <w:color w:val="auto"/>
        </w:rPr>
      </w:pPr>
    </w:p>
    <w:p>
      <w:pPr>
        <w:ind w:right="18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investors may negotiate to pay us lower management fees and the economic terms of our future funds may be less favorable to us than those of our existing funds, which could adversely affect our revenues.</w:t>
      </w:r>
    </w:p>
    <w:p>
      <w:pPr>
        <w:spacing w:after="0" w:line="204" w:lineRule="auto"/>
        <w:rPr>
          <w:sz w:val="20"/>
          <w:szCs w:val="20"/>
          <w:color w:val="auto"/>
        </w:rPr>
      </w:pPr>
      <w:r>
        <w:rPr>
          <w:rFonts w:ascii="Times New Roman" w:cs="Times New Roman" w:eastAsia="Times New Roman" w:hAnsi="Times New Roman"/>
          <w:sz w:val="16"/>
          <w:szCs w:val="16"/>
          <w:color w:val="auto"/>
        </w:rPr>
        <w:t>In connection with raising new funds or securing additional investments in existing funds, we negotiate terms for such</w:t>
      </w:r>
    </w:p>
    <w:p>
      <w:pPr>
        <w:ind w:right="1440"/>
        <w:spacing w:after="0"/>
        <w:rPr>
          <w:sz w:val="20"/>
          <w:szCs w:val="20"/>
          <w:color w:val="auto"/>
        </w:rPr>
      </w:pPr>
      <w:r>
        <w:rPr>
          <w:rFonts w:ascii="Times New Roman" w:cs="Times New Roman" w:eastAsia="Times New Roman" w:hAnsi="Times New Roman"/>
          <w:sz w:val="14"/>
          <w:szCs w:val="14"/>
          <w:color w:val="auto"/>
        </w:rPr>
        <w:t>funds and investments with existing and potential investors. The outcome of such negotiations could result in our agreement to terms that are materially less favorable to us than the terms of prior funds we have advised or funds advised by our competitors. Such terms could restrict our ability to raise investment funds with investment objectives or strategies that compete with existing funds, reduce fee revenues we earn, reduce the percentage of profits on third-party capital that we share in or add expenses and obligations for us in managing the fund, or increase our potential liabilities, all of which could ultimately reduce our profitability. In addition, a change in terms that increases the amount of fee revenue the fund investors are entitled to could result in a significant decline in revenue generated from transaction fees. For instance, our current generations of U.S., Europe, and Asia buyout funds have increased the percentage of transaction fees that are shared with fund investors from 80% to 100% of the allocable fees we generate. To the extent we change our fee practices for other successor funds, we could experience a meaningful decline in the amount of transaction fee revenue we earn. In particular, if our fund investors do not continue to agree that we are permitted to retain fees we derive from capital markets transactions involving our portfolio companies, the ability of our GCM group to produce fee revenue could be significantly hindered.</w:t>
      </w:r>
    </w:p>
    <w:p>
      <w:pPr>
        <w:spacing w:after="0" w:line="102" w:lineRule="exact"/>
        <w:rPr>
          <w:sz w:val="20"/>
          <w:szCs w:val="20"/>
          <w:color w:val="auto"/>
        </w:rPr>
      </w:pPr>
    </w:p>
    <w:p>
      <w:pPr>
        <w:ind w:right="1460"/>
        <w:spacing w:after="0" w:line="232" w:lineRule="auto"/>
        <w:rPr>
          <w:sz w:val="20"/>
          <w:szCs w:val="20"/>
          <w:color w:val="auto"/>
        </w:rPr>
      </w:pPr>
      <w:r>
        <w:rPr>
          <w:rFonts w:ascii="Times New Roman" w:cs="Times New Roman" w:eastAsia="Times New Roman" w:hAnsi="Times New Roman"/>
          <w:sz w:val="14"/>
          <w:szCs w:val="14"/>
          <w:color w:val="auto"/>
        </w:rPr>
        <w:t>In addition, as institutional investors increasingly consolidate their relationships with investment firms and competition becomes more acute, we may receive more requests to modify the terms of our new funds, including reductions in management fees. Any agreement to changes in terms less favorable to us could result in a material decrease in our profitability.</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Moreover, certain institutional investors have publicly criticized certain fund fee and expense structures, including management fees. We have received and expect to continue to confront requests from a variety of investors and groups representing investors to decrease fees and to modify our carried interest and incentive fee structures, which could result in a reduction in or delay in the timing of receipt of the fees and carried interest and incentive fees we earn. In addition to negotiating the overall fund rate of the management fees offered, certain fund investors have negotiated alternative management fee structures in several of our investment funds. For example, certain funds have offered a management fee rate discount for certain investors that came into the first closing of each fund. In certain cases, we have agreed to charge management fees based on invested capital or net asset value as opposed charging management fees on committed capital. Further, the SEC’s focus on certain fund fee and expense arrangements may lead to increased publicity that could cause fund investors to further resist certain fees and expense reimbursements. Any modification of our existing fee or carry arrangements or the fee or carry structures for new investment funds could adversely affect our results of operations. See “Risks Related to Our Business Operations—Risks Related to the Assets We Manage—The asset management business is intensely competitive.”</w:t>
      </w:r>
    </w:p>
    <w:p>
      <w:pPr>
        <w:spacing w:after="0" w:line="102" w:lineRule="exact"/>
        <w:rPr>
          <w:sz w:val="20"/>
          <w:szCs w:val="20"/>
          <w:color w:val="auto"/>
        </w:rPr>
      </w:pPr>
    </w:p>
    <w:p>
      <w:pPr>
        <w:ind w:right="19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may need to pay “giveback” obligations if and when they are triggered under the governing agreements with our investors.</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If, at the end of any of the life of our Global Private Equity and Global Credit carry funds (or earlier with respect to certain of our funds), the carry fund has not achieved investment returns that (in most cases) exceed the preferred return threshold or (in almost all cases) the general partner receives net profits over the life of the fund in excess of its allocable share under the applicable partnership agreement, we will be obligated to repay an amount equal to the extent to which carried interest that previously was distributed to us exceeds the amounts to which we are ultimately entitled. This repayment obligation is known as a “giveback” obligation. As of December 31, 2024, we had accrued a giveback obligation of $44.0 million, representing the giveback obligation that would need to be paid by the firm if the carry funds were liquidated at their current fair values at that date, and of which approximately $32.5 million is attributable to us. The remaining obligations are related to amounts previously distributed to our senior Carlyle professionals, the majority of which relates to the accrued giveback obligation from CSP III and the Legacy Energy Funds.</w:t>
      </w:r>
    </w:p>
    <w:p>
      <w:pPr>
        <w:spacing w:after="0" w:line="4" w:lineRule="exact"/>
        <w:rPr>
          <w:sz w:val="20"/>
          <w:szCs w:val="20"/>
          <w:color w:val="auto"/>
        </w:rPr>
      </w:pPr>
    </w:p>
    <w:p>
      <w:pPr>
        <w:ind w:right="1860"/>
        <w:spacing w:after="0" w:line="268" w:lineRule="auto"/>
        <w:rPr>
          <w:sz w:val="20"/>
          <w:szCs w:val="20"/>
          <w:color w:val="auto"/>
        </w:rPr>
      </w:pPr>
      <w:r>
        <w:rPr>
          <w:rFonts w:ascii="Times New Roman" w:cs="Times New Roman" w:eastAsia="Times New Roman" w:hAnsi="Times New Roman"/>
          <w:sz w:val="14"/>
          <w:szCs w:val="14"/>
          <w:color w:val="auto"/>
        </w:rPr>
        <w:t>When payment of a giveback obligation is anticipated (or “realized”), the portion of this liability that is expected to be borne by the common stockholders (i.e., the amount not expected to be funded by Carlyle professionals) has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40"/>
        <w:spacing w:after="0" w:line="203" w:lineRule="auto"/>
        <w:rPr>
          <w:sz w:val="20"/>
          <w:szCs w:val="20"/>
          <w:color w:val="auto"/>
        </w:rPr>
      </w:pPr>
      <w:r>
        <w:rPr>
          <w:rFonts w:ascii="Times New Roman" w:cs="Times New Roman" w:eastAsia="Times New Roman" w:hAnsi="Times New Roman"/>
          <w:sz w:val="16"/>
          <w:szCs w:val="16"/>
          <w:color w:val="auto"/>
        </w:rPr>
        <w:t>reducing our Distributable Earnings. Any remaining giveback obligation required to be funded on behalf of our funds would generally be due upon the liquidation of the remaining assets from the funds.</w:t>
      </w:r>
    </w:p>
    <w:p>
      <w:pPr>
        <w:spacing w:after="0" w:line="204" w:lineRule="auto"/>
        <w:rPr>
          <w:sz w:val="20"/>
          <w:szCs w:val="20"/>
          <w:color w:val="auto"/>
        </w:rPr>
      </w:pPr>
      <w:r>
        <w:rPr>
          <w:rFonts w:ascii="Times New Roman" w:cs="Times New Roman" w:eastAsia="Times New Roman" w:hAnsi="Times New Roman"/>
          <w:sz w:val="16"/>
          <w:szCs w:val="16"/>
          <w:color w:val="auto"/>
        </w:rPr>
        <w:t>If, as of December 31, 2024, all of the investments held by our carry funds were deemed worthless, the amount of</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realized and distributed carried interest subject to potential giveback would have been $1.4 billion, on an after- tax basis where applicable. As of December 31, 2024, we have realized $256.5 million in aggregate giveback obligations since inception, which were funded primarily through collection of employee receivables related to giveback obligations and from Carlyle professionals and other non-controlling interests for their portion of the obligation. Of the $256.5 million in aggregate giveback obligations realized from inception to December 31, 2024, $86.5 million was attributable to Carlyle. See Part II, Item 7 “Management’s Discussion and Analysis of Financial Condition and Results of Operations—Key Financial Measures— Investment Income.”</w:t>
      </w:r>
    </w:p>
    <w:p>
      <w:pPr>
        <w:spacing w:after="0" w:line="207" w:lineRule="auto"/>
        <w:rPr>
          <w:sz w:val="20"/>
          <w:szCs w:val="20"/>
          <w:color w:val="auto"/>
        </w:rPr>
      </w:pPr>
      <w:r>
        <w:rPr>
          <w:rFonts w:ascii="Times New Roman" w:cs="Times New Roman" w:eastAsia="Times New Roman" w:hAnsi="Times New Roman"/>
          <w:sz w:val="16"/>
          <w:szCs w:val="16"/>
          <w:color w:val="auto"/>
        </w:rPr>
        <w:t>Although a giveback obligation is specific to each person who received a distribution, and not a joint obligation, the</w:t>
      </w:r>
    </w:p>
    <w:p>
      <w:pPr>
        <w:ind w:right="1420"/>
        <w:spacing w:after="0" w:line="237" w:lineRule="auto"/>
        <w:rPr>
          <w:sz w:val="20"/>
          <w:szCs w:val="20"/>
          <w:color w:val="auto"/>
        </w:rPr>
      </w:pPr>
      <w:r>
        <w:rPr>
          <w:rFonts w:ascii="Times New Roman" w:cs="Times New Roman" w:eastAsia="Times New Roman" w:hAnsi="Times New Roman"/>
          <w:sz w:val="14"/>
          <w:szCs w:val="14"/>
          <w:color w:val="auto"/>
        </w:rPr>
        <w:t>governing agreements of our funds generally provide that to the extent a recipient does not fund his or her respective share, then we may have to fund such additional amounts beyond the amount of carried interest we retained, although we generally will retain the right to pursue any remedies that we have under such governing agreements against those carried interest recipients who fail to fund their obligations. As of December 31, 2024, approximately $11.5 million of our $44.0 million accrued giveback obligation is attributable to various current and former senior Carlyle professionals. We have historically withheld a portion of the cash from carried interest distributions to individual senior Carlyle professionals and other employees as security for their potential giveback obligations. We may need to use or reserve cash to repay such giveback obligations instead of using the cash for other purposes. See Part I, Item 1 “Business—Structure and Operation of Our Investment Funds—Incentive Arrangements / Fee Structure” and Part II, Item 7 “Management’s Discussion and Analysis of Financial Condition and Results</w:t>
      </w:r>
    </w:p>
    <w:p>
      <w:pPr>
        <w:sectPr>
          <w:pgSz w:w="11900" w:h="16840" w:orient="portrait"/>
          <w:cols w:equalWidth="0" w:num="1">
            <w:col w:w="9400"/>
          </w:cols>
          <w:pgMar w:left="1060" w:top="547" w:right="1440" w:bottom="0" w:gutter="0" w:footer="0" w:header="0"/>
        </w:sectPr>
      </w:pPr>
    </w:p>
    <w:bookmarkStart w:id="54" w:name="page55"/>
    <w:bookmarkEnd w:id="54"/>
    <w:p>
      <w:pPr>
        <w:ind w:right="1520"/>
        <w:spacing w:after="0" w:line="211" w:lineRule="auto"/>
        <w:rPr>
          <w:sz w:val="20"/>
          <w:szCs w:val="20"/>
          <w:color w:val="auto"/>
        </w:rPr>
      </w:pPr>
      <w:r>
        <w:rPr>
          <w:rFonts w:ascii="Times New Roman" w:cs="Times New Roman" w:eastAsia="Times New Roman" w:hAnsi="Times New Roman"/>
          <w:sz w:val="16"/>
          <w:szCs w:val="16"/>
          <w:color w:val="auto"/>
        </w:rPr>
        <w:t>of Operations—Contractual Obligations—Contingent Obligations (Giveback)” and Notes 2, Summary of Significant Accounting Policies, and 8, Commitments and Contingencies, to the consolidated financial statements in Part II, Item 8 of this Annual Report on Form 10- K.</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Third- party investors in substantially all of our carry funds have the right to remove the general partner of the fund for cause, to accelerate the liquidation date of the investment fund without cause by a simple majority vote, and to terminate the investment period under certain circumstances and investors in certain of the investment funds we advise may redeem their investments. These events would lead to a decrease in our revenues, which could be substantial.</w:t>
      </w:r>
    </w:p>
    <w:p>
      <w:pPr>
        <w:spacing w:after="0" w:line="205" w:lineRule="auto"/>
        <w:rPr>
          <w:sz w:val="20"/>
          <w:szCs w:val="20"/>
          <w:color w:val="auto"/>
        </w:rPr>
      </w:pPr>
      <w:r>
        <w:rPr>
          <w:rFonts w:ascii="Times New Roman" w:cs="Times New Roman" w:eastAsia="Times New Roman" w:hAnsi="Times New Roman"/>
          <w:sz w:val="16"/>
          <w:szCs w:val="16"/>
          <w:color w:val="auto"/>
        </w:rPr>
        <w:t>The governing agreements of almost all of our carry funds, other than our AlpInvest funds as discussed below, provide</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that, subject to certain conditions, third-party investors in those funds have the right to remove the general partner of the fund for cause or to accelerate the liquidation date of the investment fund without cause by a simple majority vote. In addition, our investment vehicles that are structured as “funds of one,” or separately managed accounts, have a single investor or a few affiliated investors that typically have the right to terminate the investment period or cause a dissolution of the vehicle under certain circumstances. These actions would result in a reduction in management fees we would earn from such investment funds, vehicles, or accounts, and could result in a significant reduction in the expected amounts of total carried interest and incentive fees from those investment funds, vehicles, or accounts. Carried interest and incentive fees could be significantly reduced as a result of our inability to maximize the value of investments by an investment fund during the liquidation process or in the event of the triggering of a “giveback” obligation. Finally, the applicable investment funds, vehicles, or accounts would cease to exist after completion of liquidation and winding-up.</w:t>
      </w:r>
    </w:p>
    <w:p>
      <w:pPr>
        <w:spacing w:after="0" w:line="209" w:lineRule="auto"/>
        <w:rPr>
          <w:sz w:val="20"/>
          <w:szCs w:val="20"/>
          <w:color w:val="auto"/>
        </w:rPr>
      </w:pPr>
      <w:r>
        <w:rPr>
          <w:rFonts w:ascii="Times New Roman" w:cs="Times New Roman" w:eastAsia="Times New Roman" w:hAnsi="Times New Roman"/>
          <w:sz w:val="16"/>
          <w:szCs w:val="16"/>
          <w:color w:val="auto"/>
        </w:rPr>
        <w:t>In addition, the governing agreements of certain of our investment funds provide that in the event certain “key</w:t>
      </w:r>
    </w:p>
    <w:p>
      <w:pPr>
        <w:ind w:right="1520"/>
        <w:spacing w:after="0" w:line="203" w:lineRule="auto"/>
        <w:rPr>
          <w:sz w:val="20"/>
          <w:szCs w:val="20"/>
          <w:color w:val="auto"/>
        </w:rPr>
      </w:pPr>
      <w:r>
        <w:rPr>
          <w:rFonts w:ascii="Times New Roman" w:cs="Times New Roman" w:eastAsia="Times New Roman" w:hAnsi="Times New Roman"/>
          <w:sz w:val="16"/>
          <w:szCs w:val="16"/>
          <w:color w:val="auto"/>
        </w:rPr>
        <w:t>persons” in our investment funds do not meet specified time commitments with regard to managing the fund (for example, certain of the investment professionals serving on the investment committee or advising the fund), then investors in certain funds have the right to vote to terminate the investment period by a simple majority vote in accordance with specified procedures, accelerate the withdrawal of their capital on an investor -by-investor basis, or the fund’s investment period will automatically terminate and the vote of a simple majority of investors is required to restart it. While we believe that our investment professionals have appropriate incentives to remain in their respective positions, based on equity ownership, profit participation, and other contractual provisions, we are not able to guarantee the ongoing participation of the management team members in respect of our funds. In addition to having a significant negative impact on our revenue, earnings, and cash flow, the occurrence of a key person event with respect to any of our investment funds would likely result in significant reputational damage to us and could negatively impact our future fundraising efforts.</w:t>
      </w:r>
    </w:p>
    <w:p>
      <w:pPr>
        <w:spacing w:after="0" w:line="209" w:lineRule="auto"/>
        <w:rPr>
          <w:sz w:val="20"/>
          <w:szCs w:val="20"/>
          <w:color w:val="auto"/>
        </w:rPr>
      </w:pPr>
      <w:r>
        <w:rPr>
          <w:rFonts w:ascii="Times New Roman" w:cs="Times New Roman" w:eastAsia="Times New Roman" w:hAnsi="Times New Roman"/>
          <w:sz w:val="16"/>
          <w:szCs w:val="16"/>
          <w:color w:val="auto"/>
        </w:rPr>
        <w:t>AlpInvest funds generally provide for automatic suspension of the investment period if there is a key person event with</w:t>
      </w:r>
    </w:p>
    <w:p>
      <w:pPr>
        <w:ind w:right="1440"/>
        <w:spacing w:after="0" w:line="268" w:lineRule="auto"/>
        <w:rPr>
          <w:sz w:val="20"/>
          <w:szCs w:val="20"/>
          <w:color w:val="auto"/>
        </w:rPr>
      </w:pPr>
      <w:r>
        <w:rPr>
          <w:rFonts w:ascii="Times New Roman" w:cs="Times New Roman" w:eastAsia="Times New Roman" w:hAnsi="Times New Roman"/>
          <w:sz w:val="14"/>
          <w:szCs w:val="14"/>
          <w:color w:val="auto"/>
        </w:rPr>
        <w:t>the vote of a supermajority of investors required to restart it and the right of a simple majority or a supermajority of investors to remove the general partner with cause and, in some cases, without cause, but generally have not provided for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20"/>
        <w:spacing w:after="0" w:line="203" w:lineRule="auto"/>
        <w:rPr>
          <w:sz w:val="20"/>
          <w:szCs w:val="20"/>
          <w:color w:val="auto"/>
        </w:rPr>
      </w:pPr>
      <w:r>
        <w:rPr>
          <w:rFonts w:ascii="Times New Roman" w:cs="Times New Roman" w:eastAsia="Times New Roman" w:hAnsi="Times New Roman"/>
          <w:sz w:val="16"/>
          <w:szCs w:val="16"/>
          <w:color w:val="auto"/>
        </w:rPr>
        <w:t>without cause. Where AlpInvest funds include “key person” provisions, they are focused on specific, existing AlpInvest personnel, as applicable.</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Moreover, because our investment funds generally have an adviser that is registered under the Advisers Act, the management agreements of each of our investment funds would be terminated upon an “assignment” to a third- party of these agreements without appropriate investor consent, which assignment may be deemed to occur in the event these advisers were to experience a change of control. We cannot be certain that consents required to assignments of our investment management agreements will be obtained if a change of control occurs. “Assignment” of these agreements without investor consent could cause us to lose the fees we earn from such investment funds.</w:t>
      </w:r>
    </w:p>
    <w:p>
      <w:pPr>
        <w:spacing w:after="0" w:line="3"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Third-party investors in our investment funds with commitment-based structures may not satisfy their contractual obligation to fund capital calls when requested by us, which could adversely affect a fund’s operations and performance.</w:t>
      </w:r>
    </w:p>
    <w:p>
      <w:pPr>
        <w:spacing w:after="0" w:line="204" w:lineRule="auto"/>
        <w:rPr>
          <w:sz w:val="20"/>
          <w:szCs w:val="20"/>
          <w:color w:val="auto"/>
        </w:rPr>
      </w:pPr>
      <w:r>
        <w:rPr>
          <w:rFonts w:ascii="Times New Roman" w:cs="Times New Roman" w:eastAsia="Times New Roman" w:hAnsi="Times New Roman"/>
          <w:sz w:val="16"/>
          <w:szCs w:val="16"/>
          <w:color w:val="auto"/>
        </w:rPr>
        <w:t>Investors in our carry funds make capital commitments to those funds that we are entitled to call from those investors</w:t>
      </w:r>
    </w:p>
    <w:p>
      <w:pPr>
        <w:spacing w:after="0" w:line="1" w:lineRule="exact"/>
        <w:rPr>
          <w:sz w:val="20"/>
          <w:szCs w:val="20"/>
          <w:color w:val="auto"/>
        </w:rPr>
      </w:pPr>
    </w:p>
    <w:p>
      <w:pPr>
        <w:ind w:right="1520"/>
        <w:spacing w:after="0"/>
        <w:rPr>
          <w:sz w:val="20"/>
          <w:szCs w:val="20"/>
          <w:color w:val="auto"/>
        </w:rPr>
      </w:pPr>
      <w:r>
        <w:rPr>
          <w:rFonts w:ascii="Times New Roman" w:cs="Times New Roman" w:eastAsia="Times New Roman" w:hAnsi="Times New Roman"/>
          <w:sz w:val="14"/>
          <w:szCs w:val="14"/>
          <w:color w:val="auto"/>
        </w:rPr>
        <w:t>at any time during prescribed periods. We depend on investors fulfilling their commitments when we call capital from them in order for those funds to consummate investments and otherwise pay their obligations (for example, management fees) when due. Any investor that did not fund a capital call would generally be subject to several possible penalties, including having a significant amount of its existing investment forfeited in that fund. However, the impact of the penalty is directly correlated to the amount of capital previously invested by the investor in the fund and if an investor has invested little or no capital, for instance, early in the life of the fund, then the forfeiture penalty may not be as meaningful. Investors also may negotiate for lesser or reduced penalties at the outset of the fund, thereby inhibiting our ability to enforce the funding of a capital call. Our use of subscription lines of credit to purchase an investment prior to calling capital from fund investors could increase the prevalence of defaulting limited partners. Should the value of an investment funded through a fund line -of- credit decline, particularly early in a fund’s life cycle where minimal capital has been contributed by the fund’s investors, a limited partner may decide not to fund its commitment. In addition, third-party investors typically use distributions from prior investments to meet future capital calls. In cases where valuations of investors’ existing investments fall and the pace of distributions slows, investors may be unable to make new commitments to third-party managed investment funds such as those advised by us. If investors were to fail to satisfy a significant amount of capital calls for any particular fund or funds, the operation and performance of those funds could be materially and adversely affected.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our failure to comply with applicable pay-to-play laws, regulations, and/or policies adopted by a number</w:t>
      </w:r>
    </w:p>
    <w:p>
      <w:pPr>
        <w:ind w:right="1440"/>
        <w:spacing w:after="0" w:line="203" w:lineRule="auto"/>
        <w:rPr>
          <w:sz w:val="20"/>
          <w:szCs w:val="20"/>
          <w:color w:val="auto"/>
        </w:rPr>
      </w:pPr>
      <w:r>
        <w:rPr>
          <w:rFonts w:ascii="Times New Roman" w:cs="Times New Roman" w:eastAsia="Times New Roman" w:hAnsi="Times New Roman"/>
          <w:sz w:val="16"/>
          <w:szCs w:val="16"/>
          <w:color w:val="auto"/>
        </w:rPr>
        <w:t>of states and municipal pension funds, as well as the New York Attorney General’s Public Pension Fund Reform Code of Conduct, may, in certain instances, excuse a public pension fund investor from its obligation to make further capital contributions relating to all or any part of an investment or allow it to withdraw from the fund. If a public pension fund investor were to seek to be excused from funding a significant amount of capital calls for any particular fund or funds, the operation and performance of those funds could be materially and adversely affected.</w:t>
      </w:r>
    </w:p>
    <w:p>
      <w:pPr>
        <w:spacing w:after="0" w:line="2"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spacing w:after="0" w:line="205" w:lineRule="auto"/>
        <w:rPr>
          <w:sz w:val="20"/>
          <w:szCs w:val="20"/>
          <w:color w:val="auto"/>
        </w:rPr>
      </w:pPr>
      <w:r>
        <w:rPr>
          <w:rFonts w:ascii="Times New Roman" w:cs="Times New Roman" w:eastAsia="Times New Roman" w:hAnsi="Times New Roman"/>
          <w:sz w:val="16"/>
          <w:szCs w:val="16"/>
          <w:color w:val="auto"/>
        </w:rPr>
        <w:t>There are often no readily ascertainable market prices for a substantial majority of illiquid investments of our</w:t>
      </w:r>
    </w:p>
    <w:p>
      <w:pPr>
        <w:ind w:right="1420"/>
        <w:spacing w:after="0" w:line="268" w:lineRule="auto"/>
        <w:rPr>
          <w:sz w:val="20"/>
          <w:szCs w:val="20"/>
          <w:color w:val="auto"/>
        </w:rPr>
      </w:pPr>
      <w:r>
        <w:rPr>
          <w:rFonts w:ascii="Times New Roman" w:cs="Times New Roman" w:eastAsia="Times New Roman" w:hAnsi="Times New Roman"/>
          <w:sz w:val="14"/>
          <w:szCs w:val="14"/>
          <w:color w:val="auto"/>
        </w:rPr>
        <w:t>investment funds. We determine the fair value of the investments of each of our investment funds at least quarterly based on the fair value guidelines set forth by generally accepted accounting principles in the United States (“U.S. GAAP”). The fair value</w:t>
      </w:r>
    </w:p>
    <w:p>
      <w:pPr>
        <w:sectPr>
          <w:pgSz w:w="11900" w:h="16840" w:orient="portrait"/>
          <w:cols w:equalWidth="0" w:num="1">
            <w:col w:w="9400"/>
          </w:cols>
          <w:pgMar w:left="1060" w:top="557" w:right="1440" w:bottom="73" w:gutter="0" w:footer="0" w:header="0"/>
        </w:sectPr>
      </w:pPr>
    </w:p>
    <w:bookmarkStart w:id="55" w:name="page56"/>
    <w:bookmarkEnd w:id="55"/>
    <w:p>
      <w:pPr>
        <w:ind w:right="1500"/>
        <w:spacing w:after="0" w:line="237" w:lineRule="auto"/>
        <w:rPr>
          <w:sz w:val="20"/>
          <w:szCs w:val="20"/>
          <w:color w:val="auto"/>
        </w:rPr>
      </w:pPr>
      <w:r>
        <w:rPr>
          <w:rFonts w:ascii="Times New Roman" w:cs="Times New Roman" w:eastAsia="Times New Roman" w:hAnsi="Times New Roman"/>
          <w:sz w:val="14"/>
          <w:szCs w:val="14"/>
          <w:color w:val="auto"/>
        </w:rPr>
        <w:t>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ind w:right="1520"/>
        <w:spacing w:after="0" w:line="238" w:lineRule="auto"/>
        <w:rPr>
          <w:sz w:val="20"/>
          <w:szCs w:val="20"/>
          <w:color w:val="auto"/>
        </w:rPr>
      </w:pPr>
      <w:r>
        <w:rPr>
          <w:rFonts w:ascii="Times New Roman" w:cs="Times New Roman" w:eastAsia="Times New Roman" w:hAnsi="Times New Roman"/>
          <w:sz w:val="14"/>
          <w:szCs w:val="14"/>
          <w:color w:val="auto"/>
        </w:rPr>
        <w:t>Investments for which market prices are not observable include, but are not limited to, illiquid investments in operating companies, real estate, energy ventures, infrastructure projects, structured vehicles, and other funds, and encompass all components of the capital structure, including equity, mezzanine, debt, preferred equity, and derivative instruments such as options and warrants. Fair values of such investments are determined by reference to the market approach (i.e., multiplying a key performance metric of the investee company or asset, such as EBITDA, by a relevant valuation multiple observed in the range of comparable public entities or transactions, adjusted by management as appropriate for differences between the investment and the referenced comparables), the income approach (i.e., discounting projected future cash flows of the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60"/>
        <w:spacing w:after="0" w:line="203" w:lineRule="auto"/>
        <w:rPr>
          <w:sz w:val="20"/>
          <w:szCs w:val="20"/>
          <w:color w:val="auto"/>
        </w:rPr>
      </w:pPr>
      <w:r>
        <w:rPr>
          <w:rFonts w:ascii="Times New Roman" w:cs="Times New Roman" w:eastAsia="Times New Roman" w:hAnsi="Times New Roman"/>
          <w:sz w:val="16"/>
          <w:szCs w:val="16"/>
          <w:color w:val="auto"/>
        </w:rPr>
        <w:t>company or asset and/or capitalizing representative stabilized cash flows of the investee company or asset), and other methodologies such as prices provided by reputable dealers or pricing services, option pricing models, replacement costs, and estimates of net asset value for fund interests.</w:t>
      </w:r>
    </w:p>
    <w:p>
      <w:pPr>
        <w:spacing w:after="0" w:line="205" w:lineRule="auto"/>
        <w:rPr>
          <w:sz w:val="20"/>
          <w:szCs w:val="20"/>
          <w:color w:val="auto"/>
        </w:rPr>
      </w:pPr>
      <w:r>
        <w:rPr>
          <w:rFonts w:ascii="Times New Roman" w:cs="Times New Roman" w:eastAsia="Times New Roman" w:hAnsi="Times New Roman"/>
          <w:sz w:val="16"/>
          <w:szCs w:val="16"/>
          <w:color w:val="auto"/>
        </w:rPr>
        <w:t>The determination of fair value using these methodologies takes into consideration a range of factors including but not</w:t>
      </w:r>
    </w:p>
    <w:p>
      <w:pPr>
        <w:ind w:right="1420"/>
        <w:spacing w:after="0"/>
        <w:rPr>
          <w:sz w:val="20"/>
          <w:szCs w:val="20"/>
          <w:color w:val="auto"/>
        </w:rPr>
      </w:pPr>
      <w:r>
        <w:rPr>
          <w:rFonts w:ascii="Times New Roman" w:cs="Times New Roman" w:eastAsia="Times New Roman" w:hAnsi="Times New Roman"/>
          <w:sz w:val="14"/>
          <w:szCs w:val="14"/>
          <w:color w:val="auto"/>
        </w:rPr>
        <w:t>limited to the price at which the investment was acquired, the nature of the investment, local market conditions, the multiples of comparable securities, current and projected operating performance, and financing transactions subsequent to the acquisition of the investment. These valuation methodologies involve a significant degree of subjective management judgment. For example, as to investments that we share with another sponsor, we may apply a different valuation methodology or factors or derive a different value than such other sponsor does and/or derive a different value than the other sponsor has derived on the same investment, which could cause some investors and regulators to question our valuations. In this respect, the SEC continues to focus on issues related to valuation of private investment vehicles, including consistent application of the methodology, disclosure, and conflicts of interest, in its enforcement, examination, and rulemaking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Because there is significant uncertainty in the valuation of, or in the stability of the value of, illiquid investments, the</w:t>
      </w:r>
    </w:p>
    <w:p>
      <w:pPr>
        <w:ind w:right="1520"/>
        <w:spacing w:after="0" w:line="203" w:lineRule="auto"/>
        <w:rPr>
          <w:sz w:val="20"/>
          <w:szCs w:val="20"/>
          <w:color w:val="auto"/>
        </w:rPr>
      </w:pPr>
      <w:r>
        <w:rPr>
          <w:rFonts w:ascii="Times New Roman" w:cs="Times New Roman" w:eastAsia="Times New Roman" w:hAnsi="Times New Roman"/>
          <w:sz w:val="16"/>
          <w:szCs w:val="16"/>
          <w:color w:val="auto"/>
        </w:rPr>
        <w:t>fair values of such investments as reflected in an investment fund’s net asset value do not necessarily reflect the prices that would be obtained by us on behalf of the investment fund when such investments are realized. Realizations at values significantly lower than the values at which investments had been reflected in prior fund net asset values would result in reduced earnings or losses for the applicable fund, and potentially the loss of carried interest and incentive fees. Changes in values attributed to investments from quarter to quarter may result in volatility in the net asset values and results of operations that we report from period to period. In addition, a situation where asset values turn out to be materially different than values reflected in prior fund net asset values could cause investors to lose confidence in us, which could in turn result in difficulty in raising additional funds.</w:t>
      </w:r>
    </w:p>
    <w:p>
      <w:pPr>
        <w:spacing w:after="0" w:line="3"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due diligence process that we undertake in connection with investments by our investment funds may not reveal all facts that may be relevant in connection with an investment.</w:t>
      </w:r>
    </w:p>
    <w:p>
      <w:pPr>
        <w:spacing w:after="0" w:line="204" w:lineRule="auto"/>
        <w:rPr>
          <w:sz w:val="20"/>
          <w:szCs w:val="20"/>
          <w:color w:val="auto"/>
        </w:rPr>
      </w:pPr>
      <w:r>
        <w:rPr>
          <w:rFonts w:ascii="Times New Roman" w:cs="Times New Roman" w:eastAsia="Times New Roman" w:hAnsi="Times New Roman"/>
          <w:sz w:val="16"/>
          <w:szCs w:val="16"/>
          <w:color w:val="auto"/>
        </w:rPr>
        <w:t>Before making private equity and other investments, we conduct due diligence that we deem reasonable and</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appropriate based on the known facts and circumstances applicable to each investment. The objective of the due diligence process is to identify attractive investment opportunities based on known facts and circumstances and initial risk assessment surrounding an investment and, depending on our ownership or control of private equity investments, prepare a framework that may be used from the date of an acquisition to drive operational achievement and value creation. When conducting due diligence, we may be required to evaluate important and complex business, financial, regulatory, tax, accounting, environmental (including climate change), social, governance, and legal issues. Outside consultants, legal advisors, accountants, and investment banks may be involved in the due diligence process to varying degrees depending on the type of investment. Nevertheless, when conducting due diligence and making an assessment regarding an investment, we rely on the resources available to us, including information provided by the target of the investment and, in some circumstances, third - party investigations and analysis. The due diligence process may at times be subjective. Due to intense competition in the marketplace, we may have less time than in the past to complete our due diligence or our competitors may review less due diligence thereby increasing the speed with which they complete their review. We cannot be certain that the due diligence investigation we carry out with respect to any investment opportunity will reveal or highlight all relevant facts that may be necessary or helpful in evaluating such investment opportunity. In this respect, information and data provided or utilized by third-party advisors during diligence may be incomplete, inaccurate, or unavailable, and may cause us to incorrectly identify, prioritize, assess, or analyze or omit to examine in detail the investee entity’s ESG practices and/or related risks and opportunities.</w:t>
      </w:r>
    </w:p>
    <w:p>
      <w:pPr>
        <w:spacing w:after="0" w:line="7" w:lineRule="exact"/>
        <w:rPr>
          <w:sz w:val="20"/>
          <w:szCs w:val="20"/>
          <w:color w:val="auto"/>
        </w:rPr>
      </w:pPr>
    </w:p>
    <w:p>
      <w:pPr>
        <w:ind w:right="1420"/>
        <w:spacing w:after="0" w:line="206" w:lineRule="auto"/>
        <w:rPr>
          <w:sz w:val="20"/>
          <w:szCs w:val="20"/>
          <w:color w:val="auto"/>
        </w:rPr>
      </w:pPr>
      <w:r>
        <w:rPr>
          <w:rFonts w:ascii="Times New Roman" w:cs="Times New Roman" w:eastAsia="Times New Roman" w:hAnsi="Times New Roman"/>
          <w:sz w:val="16"/>
          <w:szCs w:val="16"/>
          <w:color w:val="auto"/>
        </w:rPr>
        <w:t>The due diligence process in connection with carve-out transactions may underestimate the complexity and/or level of dependence a business has on its parent company and affiliated entities. Given that a carve- out business often does not have financial statements that accurately reflect its true financial performance as a stand-alone business, due diligence assessments of such investments can be particularly difficult. Instances of fraud, accounting irregularities and other improper, illegal, or deceptive practices can be difficult to detect, and fraud and other deceptive practices can be widespread in certain jurisdictions. Several of our funds invest in emerging market countries that may not have established laws and regulations that are as stringent as in more developed nations, or where existing laws and regulations may not be consistently enforced. For example, our funds invest throughout jurisdictions that have material perceptions of corruption according to international rating standards, such as China, India, Indonesia, Latin America, MENA, and Sub -Saharan Africa. Similarly, our funds invest in companies in the United States and other jurisdictions and regions with low perceived corruption but whose business may be conducted in other high- risk jurisdictions.</w:t>
      </w:r>
    </w:p>
    <w:p>
      <w:pPr>
        <w:sectPr>
          <w:pgSz w:w="11900" w:h="16840" w:orient="portrait"/>
          <w:cols w:equalWidth="0" w:num="1">
            <w:col w:w="9400"/>
          </w:cols>
          <w:pgMar w:left="1060" w:top="557" w:right="1440" w:bottom="82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Due diligence on investment opportunities in these jurisdictions is frequently more complicated because consistent and uniform commercial practices in such locations may not be developed or our access to information may be very limited. Fraud, accounting irregularities, and deceptive practices can be especially difficult to detect in such locations. In addition, investment opportunities may arise in companies that have historic and/or unresolved regulatory, tax, fraud or accounting related investigations, audits or inquiries, and/or have been subjected to public accusations of improper behavior. However, even heightened and specific due diligence and investigations with respect to such matters may not reveal or highlight all relevant facts that may be necessary or helpful in evaluating such investment opportunity and/or will be able to accurately identify, assess, and quantify settlements, enforcement actions, and judgments that may arise and which could have a material adverse effect on the portfolio company’s business, financial condition, and operations, as well as potential significant harm to the portfolio company’s reputation and prospects. We cannot be certain that our due diligence investigations will result in investments being successful or that the actual financial performance of an investment will not fall short of the financial projections we used when evaluating that investment. Failure to identify risks associated with our investments could have a material adverse effect on our business.</w:t>
      </w:r>
    </w:p>
    <w:p>
      <w:pPr>
        <w:spacing w:after="0" w:line="5"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consummate or successfully integrate development opportunities, acquisitions, or joint ventures that we pursue.</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We may, from time to time, seek to engage in selective development or acquisition of asset management businesses or other businesses complementary to our business where we think we can add substantial value or generate substantial returns. We may not be able to identify or consummate such opportunities, including due to competition for such opportunities, our ability to accurately value such opportunities, and the need to negotiate acceptable terms and obtain requisite approvals and licenses from relevant governmental authorities, for such opportunities. In addition, even if we are able to identify and successfully complete an acquisition, we may encounter unexpected difficulties or incur unexpected costs associated with integrating and overseeing the operations of the new businesses.</w:t>
      </w:r>
    </w:p>
    <w:p>
      <w:pPr>
        <w:spacing w:after="0" w:line="3"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Dependence on significant leverage in investments by our funds could adversely affect our ability to achieve attractive rates of return on those investments.</w:t>
      </w:r>
    </w:p>
    <w:p>
      <w:pPr>
        <w:spacing w:after="0" w:line="204" w:lineRule="auto"/>
        <w:rPr>
          <w:sz w:val="20"/>
          <w:szCs w:val="20"/>
          <w:color w:val="auto"/>
        </w:rPr>
      </w:pPr>
      <w:r>
        <w:rPr>
          <w:rFonts w:ascii="Times New Roman" w:cs="Times New Roman" w:eastAsia="Times New Roman" w:hAnsi="Times New Roman"/>
          <w:sz w:val="16"/>
          <w:szCs w:val="16"/>
          <w:color w:val="auto"/>
        </w:rPr>
        <w:t>Many of our carry funds’ investments rely heavily on the use of leverage, and our ability to achieve attractive rates of</w:t>
      </w:r>
    </w:p>
    <w:p>
      <w:pPr>
        <w:spacing w:after="0" w:line="1" w:lineRule="exact"/>
        <w:rPr>
          <w:sz w:val="20"/>
          <w:szCs w:val="20"/>
          <w:color w:val="auto"/>
        </w:rPr>
      </w:pPr>
    </w:p>
    <w:p>
      <w:pPr>
        <w:ind w:right="1500"/>
        <w:spacing w:after="0" w:line="232" w:lineRule="auto"/>
        <w:rPr>
          <w:sz w:val="20"/>
          <w:szCs w:val="20"/>
          <w:color w:val="auto"/>
        </w:rPr>
      </w:pPr>
      <w:r>
        <w:rPr>
          <w:rFonts w:ascii="Times New Roman" w:cs="Times New Roman" w:eastAsia="Times New Roman" w:hAnsi="Times New Roman"/>
          <w:sz w:val="14"/>
          <w:szCs w:val="14"/>
          <w:color w:val="auto"/>
        </w:rPr>
        <w:t>return on investments will depend on our ability to access sufficient sources of indebtedness at attractive rates. For example, in many private equity investments, indebtedness may constitute and historically has constituted up to 70% or more of a portfolio company’s or real estate asset’s total debt and equity capitalization, including debt that may be incurred in connection with the investment, whether incurred at or above the investment-level entity. The absence of available sources of sufficient debt financing for extended periods of time could therefore materially and adversely affect our Global Private Equity businesses. An increase in either the general levels of interest rates or in the risk spread demanded by sources of indebtedness</w:t>
      </w:r>
    </w:p>
    <w:p>
      <w:pPr>
        <w:spacing w:after="0" w:line="3"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would make it more expensive to finance those investments, thereby reducing returns. While increases in interest rates may lead to higher risk adjusted returns for our Global Credit business, when coupled with restrictions on the deductibility of interest expense, such increases also may lead to higher default rates and lower valuations of existing assets and cause deployment of capital to slow, cash flow issues, and/or credit challenges if such interest rates have not otherwise been fixed or hedged. Increases in interest rates also could make it more difficult to locate and consummate private equity investments because other potential buyers, including operating companies acting as strategic buyers, may be able to bid for an asset at a higher price due to a lower overall cost of capital or their ability to benefit from a higher amount of cost savings following the acquisition of the asset. See “Risks Related to our Company—Adverse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 In addition, a portion of the indebtedness used to finance private equity investments often includes leveraged loans and high -yield and other debt securities issued in the public capital markets and debt instruments privately placed with institutional investors in the private capital markets. Availability of capital from the leveraged loan, high-yield, and private debt markets is subject to significant volatility, and there may be times when we might not be able to access those markets at attractive rates, or at all, when completing an investment. Certain investments also may be financed through borrowings on fund-level debt facilities, which may or may not be available for a refinancing at the end of their respective terms. Moreover, to the extent there is a reduction in the availability of financing for extended periods of time, the purchasing power of a prospective buyer may be more limited, adversely impacting the fair value of our funds’ investments and thereby reducing the acquisition price. Finally, recent developments in U.S. and international tax policy have significantly limited the availability of income tax deductions for interest payments on leverage used to finance some of our funds’ investments. Interest deductibility rules continue to evolve, and further restrictions and changes are anticipated in the U.S. and other jurisdictions. See “Risks Related to Taxation—</w:t>
      </w:r>
    </w:p>
    <w:p>
      <w:pPr>
        <w:sectPr>
          <w:pgSz w:w="11900" w:h="16840" w:orient="portrait"/>
          <w:cols w:equalWidth="0" w:num="1">
            <w:col w:w="9400"/>
          </w:cols>
          <w:pgMar w:left="1060" w:top="1440"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70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00"/>
        <w:spacing w:after="0" w:line="203" w:lineRule="auto"/>
        <w:rPr>
          <w:sz w:val="20"/>
          <w:szCs w:val="20"/>
          <w:color w:val="auto"/>
        </w:rPr>
      </w:pPr>
      <w:r>
        <w:rPr>
          <w:rFonts w:ascii="Times New Roman" w:cs="Times New Roman" w:eastAsia="Times New Roman" w:hAnsi="Times New Roman"/>
          <w:sz w:val="16"/>
          <w:szCs w:val="16"/>
          <w:color w:val="auto"/>
        </w:rPr>
        <w:t>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 Such restrictions could reduce the after-tax rates of return on the affected investments, which may have an adverse impact on our business and financial results.</w:t>
      </w:r>
    </w:p>
    <w:p>
      <w:pPr>
        <w:spacing w:after="0" w:line="205" w:lineRule="auto"/>
        <w:rPr>
          <w:sz w:val="20"/>
          <w:szCs w:val="20"/>
          <w:color w:val="auto"/>
        </w:rPr>
      </w:pPr>
      <w:r>
        <w:rPr>
          <w:rFonts w:ascii="Times New Roman" w:cs="Times New Roman" w:eastAsia="Times New Roman" w:hAnsi="Times New Roman"/>
          <w:sz w:val="16"/>
          <w:szCs w:val="16"/>
          <w:color w:val="auto"/>
        </w:rPr>
        <w:t>Investments in highly leveraged entities also are inherently more sensitive to declines in revenue, increases in expenses</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and interest rates, and adverse economic, market, and industry developments. Moreover, the incurrence of a significant amount of indebtedness by an entity could, among other things:</w:t>
      </w:r>
    </w:p>
    <w:p>
      <w:pPr>
        <w:spacing w:after="0" w:line="1"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•subject the entity to a number of restrictive covenants, terms, and conditions, any violation of which could be viewed by creditors as an event of default and could materially impact our ability to realize value from the investment;</w:t>
      </w:r>
    </w:p>
    <w:p>
      <w:pPr>
        <w:spacing w:after="0" w:line="1"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•allow even moderate reductions in operating cash flow to render the entity unable to service its indebtedness, leading to a bankruptcy or other reorganization of the entity and a loss of part or all of the equity investment in it;</w:t>
      </w:r>
    </w:p>
    <w:p>
      <w:pPr>
        <w:spacing w:after="0" w:line="1"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•give rise to an obligation to make mandatory prepayments of debt using excess cash flow, which might limit the entity’s ability to respond to changing industry conditions to the extent additional cash is needed for the response, to make unplanned but necessary capital expenditures, or to take advantage of growth opportunities; •limit the entity’s ability to adjust to changing market conditions, thereby placing it at a competitive disadvantage compared to its competitors that have relatively less debt;</w:t>
      </w:r>
    </w:p>
    <w:p>
      <w:pPr>
        <w:spacing w:after="0" w:line="2" w:lineRule="exact"/>
        <w:rPr>
          <w:sz w:val="20"/>
          <w:szCs w:val="20"/>
          <w:color w:val="auto"/>
        </w:rPr>
      </w:pPr>
    </w:p>
    <w:p>
      <w:pPr>
        <w:ind w:right="2880"/>
        <w:spacing w:after="0" w:line="203" w:lineRule="auto"/>
        <w:rPr>
          <w:sz w:val="20"/>
          <w:szCs w:val="20"/>
          <w:color w:val="auto"/>
        </w:rPr>
      </w:pPr>
      <w:r>
        <w:rPr>
          <w:rFonts w:ascii="Times New Roman" w:cs="Times New Roman" w:eastAsia="Times New Roman" w:hAnsi="Times New Roman"/>
          <w:sz w:val="16"/>
          <w:szCs w:val="16"/>
          <w:color w:val="auto"/>
        </w:rPr>
        <w:t>•limit the entity’s ability to engage in strategic acquisitions that might be necessary to generate attractive returns or further growth; and</w:t>
      </w:r>
    </w:p>
    <w:p>
      <w:pPr>
        <w:spacing w:after="0" w:line="1" w:lineRule="exact"/>
        <w:rPr>
          <w:sz w:val="20"/>
          <w:szCs w:val="20"/>
          <w:color w:val="auto"/>
        </w:rPr>
      </w:pPr>
    </w:p>
    <w:p>
      <w:pPr>
        <w:ind w:right="2980"/>
        <w:spacing w:after="0" w:line="203" w:lineRule="auto"/>
        <w:rPr>
          <w:sz w:val="20"/>
          <w:szCs w:val="20"/>
          <w:color w:val="auto"/>
        </w:rPr>
      </w:pPr>
      <w:r>
        <w:rPr>
          <w:rFonts w:ascii="Times New Roman" w:cs="Times New Roman" w:eastAsia="Times New Roman" w:hAnsi="Times New Roman"/>
          <w:sz w:val="16"/>
          <w:szCs w:val="16"/>
          <w:color w:val="auto"/>
        </w:rPr>
        <w:t>•limit the entity’s ability to obtain additional financing or increase the cost of obtaining such financing, including for capital expenditures, working capital or other general corporate purposes.</w:t>
      </w:r>
    </w:p>
    <w:p>
      <w:pPr>
        <w:spacing w:after="0" w:line="204" w:lineRule="auto"/>
        <w:rPr>
          <w:sz w:val="20"/>
          <w:szCs w:val="20"/>
          <w:color w:val="auto"/>
        </w:rPr>
      </w:pPr>
      <w:r>
        <w:rPr>
          <w:rFonts w:ascii="Times New Roman" w:cs="Times New Roman" w:eastAsia="Times New Roman" w:hAnsi="Times New Roman"/>
          <w:sz w:val="16"/>
          <w:szCs w:val="16"/>
          <w:color w:val="auto"/>
        </w:rPr>
        <w:t>As a result, the risk of loss associated with a leveraged entity generally is greater than for companies with</w:t>
      </w:r>
    </w:p>
    <w:p>
      <w:pPr>
        <w:spacing w:after="0" w:line="204" w:lineRule="auto"/>
        <w:rPr>
          <w:sz w:val="20"/>
          <w:szCs w:val="20"/>
          <w:color w:val="auto"/>
        </w:rPr>
      </w:pPr>
      <w:r>
        <w:rPr>
          <w:rFonts w:ascii="Times New Roman" w:cs="Times New Roman" w:eastAsia="Times New Roman" w:hAnsi="Times New Roman"/>
          <w:sz w:val="16"/>
          <w:szCs w:val="16"/>
          <w:color w:val="auto"/>
        </w:rPr>
        <w:t>comparatively less debt. Similarly, the leveraged nature of the investments of our real assets funds increases the risk that a</w:t>
      </w:r>
    </w:p>
    <w:p>
      <w:pPr>
        <w:spacing w:after="0" w:line="203" w:lineRule="auto"/>
        <w:rPr>
          <w:sz w:val="20"/>
          <w:szCs w:val="20"/>
          <w:color w:val="auto"/>
        </w:rPr>
      </w:pPr>
      <w:r>
        <w:rPr>
          <w:rFonts w:ascii="Times New Roman" w:cs="Times New Roman" w:eastAsia="Times New Roman" w:hAnsi="Times New Roman"/>
          <w:sz w:val="16"/>
          <w:szCs w:val="16"/>
          <w:color w:val="auto"/>
        </w:rPr>
        <w:t>decline in the fair value of the underlying real estate or tangible assets will result in their abandonment or foreclosure.</w:t>
      </w:r>
    </w:p>
    <w:p>
      <w:pPr>
        <w:spacing w:after="0" w:line="204" w:lineRule="auto"/>
        <w:rPr>
          <w:sz w:val="20"/>
          <w:szCs w:val="20"/>
          <w:color w:val="auto"/>
        </w:rPr>
      </w:pPr>
      <w:r>
        <w:rPr>
          <w:rFonts w:ascii="Times New Roman" w:cs="Times New Roman" w:eastAsia="Times New Roman" w:hAnsi="Times New Roman"/>
          <w:sz w:val="16"/>
          <w:szCs w:val="16"/>
          <w:color w:val="auto"/>
        </w:rPr>
        <w:t>When our Global Private Equity funds’ portfolio investments reach the point when debt incurred to finance those</w:t>
      </w:r>
    </w:p>
    <w:p>
      <w:pPr>
        <w:spacing w:after="0" w:line="232" w:lineRule="auto"/>
        <w:rPr>
          <w:sz w:val="20"/>
          <w:szCs w:val="20"/>
          <w:color w:val="auto"/>
        </w:rPr>
      </w:pPr>
      <w:r>
        <w:rPr>
          <w:rFonts w:ascii="Times New Roman" w:cs="Times New Roman" w:eastAsia="Times New Roman" w:hAnsi="Times New Roman"/>
          <w:sz w:val="14"/>
          <w:szCs w:val="14"/>
          <w:color w:val="auto"/>
        </w:rPr>
        <w:t>investments matures in significant amounts and must either be repaid or refinanced, those investments may suffer materially if</w:t>
      </w:r>
    </w:p>
    <w:p>
      <w:pPr>
        <w:spacing w:after="0" w:line="204" w:lineRule="auto"/>
        <w:rPr>
          <w:sz w:val="20"/>
          <w:szCs w:val="20"/>
          <w:color w:val="auto"/>
        </w:rPr>
      </w:pPr>
      <w:r>
        <w:rPr>
          <w:rFonts w:ascii="Times New Roman" w:cs="Times New Roman" w:eastAsia="Times New Roman" w:hAnsi="Times New Roman"/>
          <w:sz w:val="16"/>
          <w:szCs w:val="16"/>
          <w:color w:val="auto"/>
        </w:rPr>
        <w:t>they have not generated sufficient cash flow to repay maturing debt and there is insufficient capacity and availability in the</w:t>
      </w:r>
    </w:p>
    <w:p>
      <w:pPr>
        <w:spacing w:after="0" w:line="233" w:lineRule="auto"/>
        <w:rPr>
          <w:sz w:val="20"/>
          <w:szCs w:val="20"/>
          <w:color w:val="auto"/>
        </w:rPr>
      </w:pPr>
      <w:r>
        <w:rPr>
          <w:rFonts w:ascii="Times New Roman" w:cs="Times New Roman" w:eastAsia="Times New Roman" w:hAnsi="Times New Roman"/>
          <w:sz w:val="14"/>
          <w:szCs w:val="14"/>
          <w:color w:val="auto"/>
        </w:rPr>
        <w:t>financing markets to permit them to refinance maturing debt on satisfactory terms, or at all. If a limited availability of financing</w:t>
      </w:r>
    </w:p>
    <w:p>
      <w:pPr>
        <w:spacing w:after="0" w:line="232" w:lineRule="auto"/>
        <w:rPr>
          <w:sz w:val="20"/>
          <w:szCs w:val="20"/>
          <w:color w:val="auto"/>
        </w:rPr>
      </w:pPr>
      <w:r>
        <w:rPr>
          <w:rFonts w:ascii="Times New Roman" w:cs="Times New Roman" w:eastAsia="Times New Roman" w:hAnsi="Times New Roman"/>
          <w:sz w:val="14"/>
          <w:szCs w:val="14"/>
          <w:color w:val="auto"/>
        </w:rPr>
        <w:t>for such purposes were to persist for an extended period of time, when significant amounts of the debt incurred to finance our</w:t>
      </w:r>
    </w:p>
    <w:p>
      <w:pPr>
        <w:spacing w:after="0" w:line="204" w:lineRule="auto"/>
        <w:rPr>
          <w:sz w:val="20"/>
          <w:szCs w:val="20"/>
          <w:color w:val="auto"/>
        </w:rPr>
      </w:pPr>
      <w:r>
        <w:rPr>
          <w:rFonts w:ascii="Times New Roman" w:cs="Times New Roman" w:eastAsia="Times New Roman" w:hAnsi="Times New Roman"/>
          <w:sz w:val="16"/>
          <w:szCs w:val="16"/>
          <w:color w:val="auto"/>
        </w:rPr>
        <w:t>Global Private Equity funds’ portfolio investments came due, these funds could be materially and adversely affected.</w:t>
      </w:r>
    </w:p>
    <w:p>
      <w:pPr>
        <w:spacing w:after="0" w:line="203" w:lineRule="auto"/>
        <w:rPr>
          <w:sz w:val="20"/>
          <w:szCs w:val="20"/>
          <w:color w:val="auto"/>
        </w:rPr>
      </w:pPr>
      <w:r>
        <w:rPr>
          <w:rFonts w:ascii="Times New Roman" w:cs="Times New Roman" w:eastAsia="Times New Roman" w:hAnsi="Times New Roman"/>
          <w:sz w:val="16"/>
          <w:szCs w:val="16"/>
          <w:color w:val="auto"/>
        </w:rPr>
        <w:t>Many of our Global Credit funds may choose to use leverage as part of their respective investment programs and</w:t>
      </w:r>
    </w:p>
    <w:p>
      <w:pPr>
        <w:spacing w:after="0" w:line="1" w:lineRule="exact"/>
        <w:rPr>
          <w:sz w:val="20"/>
          <w:szCs w:val="20"/>
          <w:color w:val="auto"/>
        </w:rPr>
      </w:pPr>
    </w:p>
    <w:p>
      <w:pPr>
        <w:ind w:right="1520"/>
        <w:spacing w:after="0"/>
        <w:rPr>
          <w:sz w:val="20"/>
          <w:szCs w:val="20"/>
          <w:color w:val="auto"/>
        </w:rPr>
      </w:pPr>
      <w:r>
        <w:rPr>
          <w:rFonts w:ascii="Times New Roman" w:cs="Times New Roman" w:eastAsia="Times New Roman" w:hAnsi="Times New Roman"/>
          <w:sz w:val="14"/>
          <w:szCs w:val="14"/>
          <w:color w:val="auto"/>
        </w:rPr>
        <w:t>regularly borrow a substantial amount of their capital. The use of leverage poses a significant degree of risk and enhances the possibility of a significant loss in the value of the investment portfolio. A fund may borrow money from time to time to purchase or carry securities or may enter into derivative transactions (such as total return swaps) with counterparties that have embedded leverage. The interest expense and other costs incurred in connection with such borrowing may not be recovered by appreciation in the securities purchased or carried and will be lost, and the timing and magnitude of such losses may be accelerated or exacerbated, in the event of a decline in the market value of such securities. Gains realized with borrowed funds may cause the fund’s net asset value to increase at a faster rate than would be the case without borrowings. However, if investment results fail to cover the cost of borrowings, the fund’s net asset value could also decrease faster than if there had been no borrowings. Increases in interest rates also could decrease the value of fixed-rate debt investment that our investment funds make. In addition, to the extent that any changes in tax law make debt financing less attractive to certain categories of borrowers, this could adversely affect the investment opportunities for our credit-focused funds.</w:t>
      </w:r>
    </w:p>
    <w:p>
      <w:pPr>
        <w:spacing w:after="0" w:line="107" w:lineRule="exact"/>
        <w:rPr>
          <w:sz w:val="20"/>
          <w:szCs w:val="20"/>
          <w:color w:val="auto"/>
        </w:rPr>
      </w:pPr>
    </w:p>
    <w:p>
      <w:pPr>
        <w:ind w:right="2520"/>
        <w:spacing w:after="0" w:line="222" w:lineRule="auto"/>
        <w:rPr>
          <w:sz w:val="20"/>
          <w:szCs w:val="20"/>
          <w:color w:val="auto"/>
        </w:rPr>
      </w:pPr>
      <w:r>
        <w:rPr>
          <w:rFonts w:ascii="Times New Roman" w:cs="Times New Roman" w:eastAsia="Times New Roman" w:hAnsi="Times New Roman"/>
          <w:sz w:val="16"/>
          <w:szCs w:val="16"/>
          <w:color w:val="auto"/>
        </w:rPr>
        <w:t>Any of the foregoing circumstances could have a material adverse effect on our results of operations, financial condition, and cash flow.</w:t>
      </w:r>
    </w:p>
    <w:p>
      <w:pPr>
        <w:sectPr>
          <w:pgSz w:w="11900" w:h="16840" w:orient="portrait"/>
          <w:cols w:equalWidth="0" w:num="1">
            <w:col w:w="9400"/>
          </w:cols>
          <w:pgMar w:left="1060" w:top="1171" w:right="1440"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High interest rates and challenging debt market conditions have negatively impacted and could continue to negatively impact the values of certain assets or investments and the ability of our funds and their portfolio companies to access the capital markets, which could adversely affect investment and realization opportunities, lead to lower-yielding investments, and potentially decrease our net income.</w:t>
      </w:r>
    </w:p>
    <w:p>
      <w:pPr>
        <w:spacing w:after="0" w:line="2" w:lineRule="exact"/>
        <w:rPr>
          <w:sz w:val="20"/>
          <w:szCs w:val="20"/>
          <w:color w:val="auto"/>
        </w:rPr>
      </w:pPr>
    </w:p>
    <w:p>
      <w:pPr>
        <w:ind w:right="1420"/>
        <w:spacing w:after="0" w:line="238" w:lineRule="auto"/>
        <w:rPr>
          <w:sz w:val="20"/>
          <w:szCs w:val="20"/>
          <w:color w:val="auto"/>
        </w:rPr>
      </w:pPr>
      <w:r>
        <w:rPr>
          <w:rFonts w:ascii="Times New Roman" w:cs="Times New Roman" w:eastAsia="Times New Roman" w:hAnsi="Times New Roman"/>
          <w:sz w:val="14"/>
          <w:szCs w:val="14"/>
          <w:color w:val="auto"/>
        </w:rPr>
        <w:t>In 2022 and 2023, in light of increasing inflation, the U.S. Federal Reserve increased interest rates eleven times. Since September 2024, the Federal Reserve has reduced the policy rate by 100 basis points as of December 31, 2024. However, market participants remain uncertain about how long interest rates will stay near current levels. Base interest rates may not decline as much as anticipated or could even increase again if inflation reaccelerates. Credit spreads, which currently sit near historic lows, could widen and thus increase the all-in financing rate even with reduced policy rates. Rising interest rates create downward pressure on the price of real estate and the value of fixed- rate debt investments made by our funds. In addition, our funds have faced, and could continue to face, difficulty in realizing value from investments due to sustained challenges in the exit environment as a result of wide bid-ask spreads driven by uncertainty around future levels of interest rates. Finally, shifts in</w:t>
      </w:r>
    </w:p>
    <w:p>
      <w:pPr>
        <w:sectPr>
          <w:pgSz w:w="11900" w:h="16840" w:orient="portrait"/>
          <w:cols w:equalWidth="0" w:num="1">
            <w:col w:w="9400"/>
          </w:cols>
          <w:pgMar w:left="1060" w:top="1171" w:right="1440" w:bottom="67" w:gutter="0" w:footer="0" w:header="0"/>
          <w:type w:val="continuous"/>
        </w:sectPr>
      </w:pPr>
    </w:p>
    <w:bookmarkStart w:id="58" w:name="page59"/>
    <w:bookmarkEnd w:id="58"/>
    <w:p>
      <w:pPr>
        <w:ind w:right="1660"/>
        <w:spacing w:after="0" w:line="215" w:lineRule="auto"/>
        <w:rPr>
          <w:sz w:val="20"/>
          <w:szCs w:val="20"/>
          <w:color w:val="auto"/>
        </w:rPr>
      </w:pPr>
      <w:r>
        <w:rPr>
          <w:rFonts w:ascii="Times New Roman" w:cs="Times New Roman" w:eastAsia="Times New Roman" w:hAnsi="Times New Roman"/>
          <w:sz w:val="16"/>
          <w:szCs w:val="16"/>
          <w:color w:val="auto"/>
        </w:rPr>
        <w:t>interest rate trajectories that do not align with existing market expectations may subsequently spark equity and credit market volatility that negatively affects portfolio company, asset, and fund-level performance.</w:t>
      </w:r>
    </w:p>
    <w:p>
      <w:pPr>
        <w:ind w:right="1460"/>
        <w:spacing w:after="0" w:line="203" w:lineRule="auto"/>
        <w:rPr>
          <w:sz w:val="20"/>
          <w:szCs w:val="20"/>
          <w:color w:val="auto"/>
        </w:rPr>
      </w:pPr>
      <w:r>
        <w:rPr>
          <w:rFonts w:ascii="Times New Roman" w:cs="Times New Roman" w:eastAsia="Times New Roman" w:hAnsi="Times New Roman"/>
          <w:sz w:val="16"/>
          <w:szCs w:val="16"/>
          <w:color w:val="auto"/>
        </w:rPr>
        <w:t>An increase in interest rates has and could continue to increase the cost of debt financing for the transactions our funds pursue. In addition, a significant contraction or weakening in the market for debt financing or other adverse change relating to the terms of debt financing (such as, for example, higher equity requirements and/or more restrictive covenants), particularly in the area of acquisition financings for private equity and real estate transactions, could have a material adverse effect on our business. For example, a portion of the indebtedness used to finance certain fund investments often includes high-yield debt securities issued in the capital markets. Availability of capital from the high - yield debt markets is subject to significant volatility, and there may be times when we might not be able to access those markets at attractive rates, or at all, when completing an investment. Moreover, the financing of acquisitions or the operations of our funds’ portfolio companies with debt may become less attractive due to limitations on the deductibility of corporate interest expense. See “Risks Related to Taxation—Changes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w:t>
      </w:r>
    </w:p>
    <w:p>
      <w:pPr>
        <w:spacing w:after="0" w:line="210" w:lineRule="auto"/>
        <w:rPr>
          <w:sz w:val="20"/>
          <w:szCs w:val="20"/>
          <w:color w:val="auto"/>
        </w:rPr>
      </w:pPr>
      <w:r>
        <w:rPr>
          <w:rFonts w:ascii="Times New Roman" w:cs="Times New Roman" w:eastAsia="Times New Roman" w:hAnsi="Times New Roman"/>
          <w:sz w:val="16"/>
          <w:szCs w:val="16"/>
          <w:color w:val="auto"/>
        </w:rPr>
        <w:t>If our funds are unable to obtain committed debt financing for potential acquisitions, can only obtain debt financing at</w:t>
      </w:r>
    </w:p>
    <w:p>
      <w:pPr>
        <w:ind w:right="1480"/>
        <w:spacing w:after="0" w:line="203" w:lineRule="auto"/>
        <w:rPr>
          <w:sz w:val="20"/>
          <w:szCs w:val="20"/>
          <w:color w:val="auto"/>
        </w:rPr>
      </w:pPr>
      <w:r>
        <w:rPr>
          <w:rFonts w:ascii="Times New Roman" w:cs="Times New Roman" w:eastAsia="Times New Roman" w:hAnsi="Times New Roman"/>
          <w:sz w:val="16"/>
          <w:szCs w:val="16"/>
          <w:color w:val="auto"/>
        </w:rPr>
        <w:t>an increased interest rate or on unfavorable terms or the ability to deduct corporate interest expense is substantially limited, our funds may face increased competition from strategic buyers of assets who may have an overall lower cost of capital or the ability to benefit from a higher amount of cost savings following an acquisition, or may have difficulty completing otherwise profitable acquisitions or may generate profits that are lower than would otherwise be the case, each of which could lead to a decrease in our funds’ performance and therefore our revenues. In addition, rising interest rates, coupled with periods of significant equity and credit market volatility, may potentially make it more difficult for us to find attractive opportunities for our funds to exit and realize value from their existing investments.</w:t>
      </w:r>
    </w:p>
    <w:p>
      <w:pPr>
        <w:spacing w:after="0" w:line="207" w:lineRule="auto"/>
        <w:rPr>
          <w:sz w:val="20"/>
          <w:szCs w:val="20"/>
          <w:color w:val="auto"/>
        </w:rPr>
      </w:pPr>
      <w:r>
        <w:rPr>
          <w:rFonts w:ascii="Times New Roman" w:cs="Times New Roman" w:eastAsia="Times New Roman" w:hAnsi="Times New Roman"/>
          <w:sz w:val="16"/>
          <w:szCs w:val="16"/>
          <w:color w:val="auto"/>
        </w:rPr>
        <w:t>Our funds’ portfolio companies also regularly utilize the corporate debt markets to obtain financing for their</w:t>
      </w:r>
    </w:p>
    <w:p>
      <w:pPr>
        <w:ind w:right="1480"/>
        <w:spacing w:after="0" w:line="203" w:lineRule="auto"/>
        <w:rPr>
          <w:sz w:val="20"/>
          <w:szCs w:val="20"/>
          <w:color w:val="auto"/>
        </w:rPr>
      </w:pPr>
      <w:r>
        <w:rPr>
          <w:rFonts w:ascii="Times New Roman" w:cs="Times New Roman" w:eastAsia="Times New Roman" w:hAnsi="Times New Roman"/>
          <w:sz w:val="16"/>
          <w:szCs w:val="16"/>
          <w:color w:val="auto"/>
        </w:rPr>
        <w:t>operations. To the extent monetary policy, tax, or other regulatory changes or difficult credit markets render such financing 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3" w:lineRule="exact"/>
        <w:rPr>
          <w:sz w:val="20"/>
          <w:szCs w:val="20"/>
          <w:color w:val="auto"/>
        </w:rPr>
      </w:pPr>
    </w:p>
    <w:p>
      <w:pPr>
        <w:ind w:right="18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funds invest in relatively high-risk, illiquid assets, and we may fail to realize any profits from these activities for a considerable period of time or lose some or all of our principal investments.</w:t>
      </w:r>
    </w:p>
    <w:p>
      <w:pPr>
        <w:spacing w:after="0" w:line="1" w:lineRule="exact"/>
        <w:rPr>
          <w:sz w:val="20"/>
          <w:szCs w:val="20"/>
          <w:color w:val="auto"/>
        </w:rPr>
      </w:pPr>
    </w:p>
    <w:p>
      <w:pPr>
        <w:ind w:right="1460"/>
        <w:spacing w:after="0" w:line="237" w:lineRule="auto"/>
        <w:rPr>
          <w:sz w:val="20"/>
          <w:szCs w:val="20"/>
          <w:color w:val="auto"/>
        </w:rPr>
      </w:pPr>
      <w:r>
        <w:rPr>
          <w:rFonts w:ascii="Times New Roman" w:cs="Times New Roman" w:eastAsia="Times New Roman" w:hAnsi="Times New Roman"/>
          <w:sz w:val="14"/>
          <w:szCs w:val="14"/>
          <w:color w:val="auto"/>
        </w:rPr>
        <w:t>Many of our investment funds invest in securities that are not publicly traded. In many of those cases, our investment funds may be prohibited by contract or by applicable securities laws from selling such securities for a period of time. Our investment funds will generally not be able to sell these securities publicly unless their sale is registered under applicable securities laws, or unless an exemption from such registration is available. The ability of many of our investment funds, particularly our private equity funds, to dispose of investments is heavily dependent on the public equity markets. For example, the ability to realize any value from an investment may depend upon the ability to complete an initial public offering of the portfolio company in which such investment is held. Even if the securities are publicly traded, large holdings of securities can often be disposed of only over a substantial length of time, exposing the investment returns to risks of downward movement in market prices during the intended disposition period. In addition, because the investment strategy of many of our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40"/>
        <w:spacing w:after="0" w:line="203" w:lineRule="auto"/>
        <w:rPr>
          <w:sz w:val="20"/>
          <w:szCs w:val="20"/>
          <w:color w:val="auto"/>
        </w:rPr>
      </w:pPr>
      <w:r>
        <w:rPr>
          <w:rFonts w:ascii="Times New Roman" w:cs="Times New Roman" w:eastAsia="Times New Roman" w:hAnsi="Times New Roman"/>
          <w:sz w:val="16"/>
          <w:szCs w:val="16"/>
          <w:color w:val="auto"/>
        </w:rPr>
        <w:t>particularly our private equity and real estate funds, often entails our having representation on our funds’ public portfolio company boards, our funds may be restricted in their ability to effect such sales during certain periods of time. Accordingly, under certain conditions, our investment funds may be forced to either sell securities at lower prices than they had expected to realize or defer, potentially for a considerable period of time, sales that they had planned to make.</w:t>
      </w:r>
    </w:p>
    <w:p>
      <w:pPr>
        <w:spacing w:after="0" w:line="2" w:lineRule="exact"/>
        <w:rPr>
          <w:sz w:val="20"/>
          <w:szCs w:val="20"/>
          <w:color w:val="auto"/>
        </w:rPr>
      </w:pPr>
    </w:p>
    <w:p>
      <w:pPr>
        <w:ind w:right="1820"/>
        <w:spacing w:after="0" w:line="203" w:lineRule="auto"/>
        <w:rPr>
          <w:sz w:val="20"/>
          <w:szCs w:val="20"/>
          <w:color w:val="auto"/>
        </w:rPr>
      </w:pPr>
      <w:r>
        <w:rPr>
          <w:rFonts w:ascii="Times New Roman" w:cs="Times New Roman" w:eastAsia="Times New Roman" w:hAnsi="Times New Roman"/>
          <w:sz w:val="16"/>
          <w:szCs w:val="16"/>
          <w:color w:val="auto"/>
        </w:rPr>
        <w:t>We have made and expect to continue to make significant principal investments in our current and future investment funds. Contributing capital to these investment funds is risky, and we may lose some or the entire principal amount of our investments.</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Our investment funds make investments in companies that we do not control.</w:t>
      </w:r>
    </w:p>
    <w:p>
      <w:pPr>
        <w:spacing w:after="0" w:line="203" w:lineRule="auto"/>
        <w:rPr>
          <w:sz w:val="20"/>
          <w:szCs w:val="20"/>
          <w:color w:val="auto"/>
        </w:rPr>
      </w:pPr>
      <w:r>
        <w:rPr>
          <w:rFonts w:ascii="Times New Roman" w:cs="Times New Roman" w:eastAsia="Times New Roman" w:hAnsi="Times New Roman"/>
          <w:sz w:val="16"/>
          <w:szCs w:val="16"/>
          <w:color w:val="auto"/>
        </w:rPr>
        <w:t>Investments by many of our investment funds will include debt instruments and equity securities of companies that we</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do not control. Such instruments and securities may be acquired by our investment funds through trading activities or through purchases of securities from the issuer. In addition, our funds may acquire minority equity interests in large transactions, which may be structured as “consortium transactions” due to the size of the investment and the amount of capital required to be invested. A consortium transaction involves an equity investment in which two or more private equity or other firms serve together or collectively as equity sponsors. We have participated in several consortium transactions due to the increased size of many of the transactions in which we are involved and may continue to do so in the future. Consortium transactions generally entail a reduced level of control by our firm over the investment, because governance rights must be shared with the other consortium sponsors. Accordingly, we may not be able to control decisions relating to a consortium investment, including decisions relating to the management and operation of the company and the timing and nature of any exit. Our funds may also dispose of a portion of their majority equity investments in portfolio companies over time in a manner that results in the funds retaining a minority investment. Those investments may be subject to the risk that the company in which the investment is made may make business, tax, legal, financial, or management decisions with which we do not agree or that the majority stakeholders or the management of the company may take risks or otherwise act in a manner that does not serve our interests. If any of the foregoing were to occur, the value of investments by our funds could decrease and our financial condition, results of operations, and cash flow could suffer as a result.</w:t>
      </w:r>
    </w:p>
    <w:p>
      <w:pPr>
        <w:spacing w:after="0" w:line="6"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investment funds may invest in assets denominated in currencies that differ from the currency in which the fund is denominated.</w:t>
      </w:r>
    </w:p>
    <w:p>
      <w:pPr>
        <w:spacing w:after="0" w:line="1" w:lineRule="exact"/>
        <w:rPr>
          <w:sz w:val="20"/>
          <w:szCs w:val="20"/>
          <w:color w:val="auto"/>
        </w:rPr>
      </w:pPr>
    </w:p>
    <w:p>
      <w:pPr>
        <w:ind w:right="1500"/>
        <w:spacing w:after="0" w:line="241" w:lineRule="auto"/>
        <w:rPr>
          <w:sz w:val="20"/>
          <w:szCs w:val="20"/>
          <w:color w:val="auto"/>
        </w:rPr>
      </w:pPr>
      <w:r>
        <w:rPr>
          <w:rFonts w:ascii="Times New Roman" w:cs="Times New Roman" w:eastAsia="Times New Roman" w:hAnsi="Times New Roman"/>
          <w:sz w:val="14"/>
          <w:szCs w:val="14"/>
          <w:color w:val="auto"/>
        </w:rPr>
        <w:t>When our investment funds invest in assets denominated in currencies that differ from the functional currency of the relevant fund, fluctuations in currency rates could impact the performance of such investment funds. For example, Carlyle sponsors U.S. dollar-denominated funds that invest in assets denominated in foreign currencies such as our buyout and growth funds in Asia. In the event that the U.S. dollar appreciates, the market value of the investments in these funds will decline even if the underlying investments perform well in local currency. In addition, our buyout and growth funds in Europe and certain</w:t>
      </w:r>
    </w:p>
    <w:p>
      <w:pPr>
        <w:sectPr>
          <w:pgSz w:w="11900" w:h="16840" w:orient="portrait"/>
          <w:cols w:equalWidth="0" w:num="1">
            <w:col w:w="9400"/>
          </w:cols>
          <w:pgMar w:left="1060" w:top="557" w:right="1440" w:bottom="8" w:gutter="0" w:footer="0" w:header="0"/>
        </w:sectPr>
      </w:pPr>
    </w:p>
    <w:bookmarkStart w:id="59" w:name="page60"/>
    <w:bookmarkEnd w:id="59"/>
    <w:p>
      <w:pPr>
        <w:jc w:val="both"/>
        <w:ind w:right="2060"/>
        <w:spacing w:after="0" w:line="211" w:lineRule="auto"/>
        <w:rPr>
          <w:sz w:val="20"/>
          <w:szCs w:val="20"/>
          <w:color w:val="auto"/>
        </w:rPr>
      </w:pPr>
      <w:r>
        <w:rPr>
          <w:rFonts w:ascii="Times New Roman" w:cs="Times New Roman" w:eastAsia="Times New Roman" w:hAnsi="Times New Roman"/>
          <w:sz w:val="16"/>
          <w:szCs w:val="16"/>
          <w:color w:val="auto"/>
        </w:rPr>
        <w:t>AlpInvest funds are Euro-denominated and may have investments denominated in U.S. dollar, British pound, or other currencies. In the event the Euro appreciates, the market value of investments in these funds would decline even if the underlying investments perform well in local currency.</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We may employ hedging techniques to manage these risks, but we can offer no assurance that such strategies will be effective or tax efficient</w:t>
      </w:r>
      <w:r>
        <w:rPr>
          <w:rFonts w:ascii="Times New Roman" w:cs="Times New Roman" w:eastAsia="Times New Roman" w:hAnsi="Times New Roman"/>
          <w:sz w:val="16"/>
          <w:szCs w:val="16"/>
          <w:color w:val="1F497D"/>
        </w:rPr>
        <w:t>.</w:t>
      </w:r>
      <w:r>
        <w:rPr>
          <w:rFonts w:ascii="Times New Roman" w:cs="Times New Roman" w:eastAsia="Times New Roman" w:hAnsi="Times New Roman"/>
          <w:sz w:val="16"/>
          <w:szCs w:val="16"/>
          <w:color w:val="auto"/>
        </w:rPr>
        <w:t xml:space="preserve"> If we engage in hedging transactions, we may be exposed to additional risks associated with such transactions. See “Risks Related to Our Business Operations—Risks Related to the Assets We Manage—Risk management activities may adversely affect the return on our and our funds’ investments” and “Risks Related to Regulation and Litigation— Financial regulations and changes thereto in the United States could adversely affect our business and the possibility of increased regulatory focus could result in additional burdens and expenses on our business.”</w:t>
      </w:r>
    </w:p>
    <w:p>
      <w:pPr>
        <w:spacing w:after="0" w:line="3"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funds make investments in companies that are based outside of the United States, which may expose us to additional risks not typically associated with investing in companies that are based in the United States.</w:t>
      </w:r>
    </w:p>
    <w:p>
      <w:pPr>
        <w:spacing w:after="0" w:line="1"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Many of our investment funds invest a significant portion of their assets in the equity, debt, loans, or other securities of issuers that are headquartered outside of the United States. International investments have increased and we expect will continue to increase as a proportion of certain of our funds’ portfolios in the future. Investments in non-U.S. securities involve certain factors not typically associated with investing in U.S. securities, including risks relating to:</w:t>
      </w:r>
    </w:p>
    <w:p>
      <w:pPr>
        <w:spacing w:after="0" w:line="2" w:lineRule="exact"/>
        <w:rPr>
          <w:sz w:val="20"/>
          <w:szCs w:val="20"/>
          <w:color w:val="auto"/>
        </w:rPr>
      </w:pPr>
    </w:p>
    <w:p>
      <w:pPr>
        <w:ind w:right="2600"/>
        <w:spacing w:after="0" w:line="268" w:lineRule="auto"/>
        <w:rPr>
          <w:sz w:val="20"/>
          <w:szCs w:val="20"/>
          <w:color w:val="auto"/>
        </w:rPr>
      </w:pPr>
      <w:r>
        <w:rPr>
          <w:rFonts w:ascii="Times New Roman" w:cs="Times New Roman" w:eastAsia="Times New Roman" w:hAnsi="Times New Roman"/>
          <w:sz w:val="14"/>
          <w:szCs w:val="14"/>
          <w:color w:val="auto"/>
        </w:rPr>
        <w:t>•certain economic and political risks, including potential exchange control regulations and restrictions on our non-U.S. investments and repatriation of profits on investments or of capital invested, the risks of war,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920"/>
        <w:spacing w:after="0" w:line="203" w:lineRule="auto"/>
        <w:rPr>
          <w:sz w:val="20"/>
          <w:szCs w:val="20"/>
          <w:color w:val="auto"/>
        </w:rPr>
      </w:pPr>
      <w:r>
        <w:rPr>
          <w:rFonts w:ascii="Times New Roman" w:cs="Times New Roman" w:eastAsia="Times New Roman" w:hAnsi="Times New Roman"/>
          <w:sz w:val="16"/>
          <w:szCs w:val="16"/>
          <w:color w:val="auto"/>
        </w:rPr>
        <w:t>terrorist attacks, political, economic, or social instability, the possibility of expropriation or confiscatory taxation, and adverse economic and political developments;</w:t>
      </w:r>
    </w:p>
    <w:p>
      <w:pPr>
        <w:spacing w:after="0" w:line="1" w:lineRule="exact"/>
        <w:rPr>
          <w:sz w:val="20"/>
          <w:szCs w:val="20"/>
          <w:color w:val="auto"/>
        </w:rPr>
      </w:pPr>
    </w:p>
    <w:p>
      <w:pPr>
        <w:ind w:right="2740"/>
        <w:spacing w:after="0" w:line="203" w:lineRule="auto"/>
        <w:rPr>
          <w:sz w:val="20"/>
          <w:szCs w:val="20"/>
          <w:color w:val="auto"/>
        </w:rPr>
      </w:pPr>
      <w:r>
        <w:rPr>
          <w:rFonts w:ascii="Times New Roman" w:cs="Times New Roman" w:eastAsia="Times New Roman" w:hAnsi="Times New Roman"/>
          <w:sz w:val="16"/>
          <w:szCs w:val="16"/>
          <w:color w:val="auto"/>
        </w:rPr>
        <w:t>•the imposition of non-U.S. taxes on gains from the sale of investments or other distributions by our funds; •the absence of uniform accounting, auditing, and financial reporting standards, practices, and disclosure requirements and less government supervision and regulation;</w:t>
      </w:r>
    </w:p>
    <w:p>
      <w:pPr>
        <w:spacing w:after="0" w:line="1" w:lineRule="exact"/>
        <w:rPr>
          <w:sz w:val="20"/>
          <w:szCs w:val="20"/>
          <w:color w:val="auto"/>
        </w:rPr>
      </w:pPr>
    </w:p>
    <w:p>
      <w:pPr>
        <w:ind w:right="2880"/>
        <w:spacing w:after="0" w:line="203" w:lineRule="auto"/>
        <w:rPr>
          <w:sz w:val="20"/>
          <w:szCs w:val="20"/>
          <w:color w:val="auto"/>
        </w:rPr>
      </w:pPr>
      <w:r>
        <w:rPr>
          <w:rFonts w:ascii="Times New Roman" w:cs="Times New Roman" w:eastAsia="Times New Roman" w:hAnsi="Times New Roman"/>
          <w:sz w:val="16"/>
          <w:szCs w:val="16"/>
          <w:color w:val="auto"/>
        </w:rPr>
        <w:t>•changes in laws or clarifications to existing laws that could impact our tax treaty positions, which could adversely impact the returns on our investments;</w:t>
      </w:r>
    </w:p>
    <w:p>
      <w:pPr>
        <w:spacing w:after="0" w:line="1" w:lineRule="exact"/>
        <w:rPr>
          <w:sz w:val="20"/>
          <w:szCs w:val="20"/>
          <w:color w:val="auto"/>
        </w:rPr>
      </w:pPr>
    </w:p>
    <w:p>
      <w:pPr>
        <w:ind w:right="3260"/>
        <w:spacing w:after="0" w:line="203" w:lineRule="auto"/>
        <w:rPr>
          <w:sz w:val="20"/>
          <w:szCs w:val="20"/>
          <w:color w:val="auto"/>
        </w:rPr>
      </w:pPr>
      <w:r>
        <w:rPr>
          <w:rFonts w:ascii="Times New Roman" w:cs="Times New Roman" w:eastAsia="Times New Roman" w:hAnsi="Times New Roman"/>
          <w:sz w:val="16"/>
          <w:szCs w:val="16"/>
          <w:color w:val="auto"/>
        </w:rPr>
        <w:t>•limitations on the deductibility of interest for income tax purposes in certain jurisdictions; •differences in the legal and regulatory environment or enhanced legal and regulatory compliance; •limitations on borrowings to be used to fund acquisitions or dividends;</w:t>
      </w:r>
    </w:p>
    <w:p>
      <w:pPr>
        <w:spacing w:after="0" w:line="1" w:lineRule="exact"/>
        <w:rPr>
          <w:sz w:val="20"/>
          <w:szCs w:val="20"/>
          <w:color w:val="auto"/>
        </w:rPr>
      </w:pPr>
    </w:p>
    <w:p>
      <w:pPr>
        <w:ind w:right="2460"/>
        <w:spacing w:after="0" w:line="203" w:lineRule="auto"/>
        <w:rPr>
          <w:sz w:val="20"/>
          <w:szCs w:val="20"/>
          <w:color w:val="auto"/>
        </w:rPr>
      </w:pPr>
      <w:r>
        <w:rPr>
          <w:rFonts w:ascii="Times New Roman" w:cs="Times New Roman" w:eastAsia="Times New Roman" w:hAnsi="Times New Roman"/>
          <w:sz w:val="16"/>
          <w:szCs w:val="16"/>
          <w:color w:val="auto"/>
        </w:rPr>
        <w:t>•political hostility to investments by foreign or private equity investors, including increased risk of government expropriation;</w:t>
      </w:r>
    </w:p>
    <w:p>
      <w:pPr>
        <w:spacing w:after="0" w:line="204" w:lineRule="auto"/>
        <w:rPr>
          <w:sz w:val="20"/>
          <w:szCs w:val="20"/>
          <w:color w:val="auto"/>
        </w:rPr>
      </w:pPr>
      <w:r>
        <w:rPr>
          <w:rFonts w:ascii="Times New Roman" w:cs="Times New Roman" w:eastAsia="Times New Roman" w:hAnsi="Times New Roman"/>
          <w:sz w:val="16"/>
          <w:szCs w:val="16"/>
          <w:color w:val="auto"/>
        </w:rPr>
        <w:t>•less liquid markets;</w:t>
      </w:r>
    </w:p>
    <w:p>
      <w:pPr>
        <w:spacing w:after="0" w:line="1" w:lineRule="exact"/>
        <w:rPr>
          <w:sz w:val="20"/>
          <w:szCs w:val="20"/>
          <w:color w:val="auto"/>
        </w:rPr>
      </w:pPr>
    </w:p>
    <w:p>
      <w:pPr>
        <w:jc w:val="both"/>
        <w:ind w:right="2580"/>
        <w:spacing w:after="0" w:line="203" w:lineRule="auto"/>
        <w:rPr>
          <w:sz w:val="20"/>
          <w:szCs w:val="20"/>
          <w:color w:val="auto"/>
        </w:rPr>
      </w:pPr>
      <w:r>
        <w:rPr>
          <w:rFonts w:ascii="Times New Roman" w:cs="Times New Roman" w:eastAsia="Times New Roman" w:hAnsi="Times New Roman"/>
          <w:sz w:val="16"/>
          <w:szCs w:val="16"/>
          <w:color w:val="auto"/>
        </w:rPr>
        <w:t>•reliance on a more limited number of commodity inputs, service providers, and/or distribution mechanisms; •adverse fluctuations in currency exchange rates and costs associated with conversion of investment principal and income from one currency into another;</w:t>
      </w:r>
    </w:p>
    <w:p>
      <w:pPr>
        <w:spacing w:after="0" w:line="1" w:lineRule="exact"/>
        <w:rPr>
          <w:sz w:val="20"/>
          <w:szCs w:val="20"/>
          <w:color w:val="auto"/>
        </w:rPr>
      </w:pPr>
    </w:p>
    <w:p>
      <w:pPr>
        <w:ind w:right="3400"/>
        <w:spacing w:after="0" w:line="203" w:lineRule="auto"/>
        <w:rPr>
          <w:sz w:val="20"/>
          <w:szCs w:val="20"/>
          <w:color w:val="auto"/>
        </w:rPr>
      </w:pPr>
      <w:r>
        <w:rPr>
          <w:rFonts w:ascii="Times New Roman" w:cs="Times New Roman" w:eastAsia="Times New Roman" w:hAnsi="Times New Roman"/>
          <w:sz w:val="16"/>
          <w:szCs w:val="16"/>
          <w:color w:val="auto"/>
        </w:rPr>
        <w:t>•more volatile or challenging market or economic conditions, including higher rates of inflation; •higher transaction costs;</w:t>
      </w:r>
    </w:p>
    <w:p>
      <w:pPr>
        <w:spacing w:after="0" w:line="204" w:lineRule="auto"/>
        <w:rPr>
          <w:sz w:val="20"/>
          <w:szCs w:val="20"/>
          <w:color w:val="auto"/>
        </w:rPr>
      </w:pPr>
      <w:r>
        <w:rPr>
          <w:rFonts w:ascii="Times New Roman" w:cs="Times New Roman" w:eastAsia="Times New Roman" w:hAnsi="Times New Roman"/>
          <w:sz w:val="16"/>
          <w:szCs w:val="16"/>
          <w:color w:val="auto"/>
        </w:rPr>
        <w:t>•less government supervision of exchanges, brokers, and issuers;</w:t>
      </w:r>
    </w:p>
    <w:p>
      <w:pPr>
        <w:spacing w:after="0" w:line="1" w:lineRule="exact"/>
        <w:rPr>
          <w:sz w:val="20"/>
          <w:szCs w:val="20"/>
          <w:color w:val="auto"/>
        </w:rPr>
      </w:pPr>
    </w:p>
    <w:p>
      <w:pPr>
        <w:ind w:right="2500"/>
        <w:spacing w:after="0" w:line="203" w:lineRule="auto"/>
        <w:rPr>
          <w:sz w:val="20"/>
          <w:szCs w:val="20"/>
          <w:color w:val="auto"/>
        </w:rPr>
      </w:pPr>
      <w:r>
        <w:rPr>
          <w:rFonts w:ascii="Times New Roman" w:cs="Times New Roman" w:eastAsia="Times New Roman" w:hAnsi="Times New Roman"/>
          <w:sz w:val="16"/>
          <w:szCs w:val="16"/>
          <w:color w:val="auto"/>
        </w:rPr>
        <w:t>•less developed bankruptcy, limited liability company, corporate, partnership, and other laws (which may have the effect of disregarding or otherwise circumventing the limited liability structures potentially causing the actions or liabilities of one fund or a portfolio company to adversely impact us or an unrelated fund or portfolio company);</w:t>
      </w:r>
    </w:p>
    <w:p>
      <w:pPr>
        <w:spacing w:after="0" w:line="2" w:lineRule="exact"/>
        <w:rPr>
          <w:sz w:val="20"/>
          <w:szCs w:val="20"/>
          <w:color w:val="auto"/>
        </w:rPr>
      </w:pPr>
    </w:p>
    <w:p>
      <w:pPr>
        <w:ind w:right="2720"/>
        <w:spacing w:after="0" w:line="203" w:lineRule="auto"/>
        <w:rPr>
          <w:sz w:val="20"/>
          <w:szCs w:val="20"/>
          <w:color w:val="auto"/>
        </w:rPr>
      </w:pPr>
      <w:r>
        <w:rPr>
          <w:rFonts w:ascii="Times New Roman" w:cs="Times New Roman" w:eastAsia="Times New Roman" w:hAnsi="Times New Roman"/>
          <w:sz w:val="16"/>
          <w:szCs w:val="16"/>
          <w:color w:val="auto"/>
        </w:rPr>
        <w:t>•difficulty in enforcing contractual obligations (including, for example, purchase agreements and insurance policies);</w:t>
      </w:r>
    </w:p>
    <w:p>
      <w:pPr>
        <w:spacing w:after="0" w:line="204" w:lineRule="auto"/>
        <w:rPr>
          <w:sz w:val="20"/>
          <w:szCs w:val="20"/>
          <w:color w:val="auto"/>
        </w:rPr>
      </w:pPr>
      <w:r>
        <w:rPr>
          <w:rFonts w:ascii="Times New Roman" w:cs="Times New Roman" w:eastAsia="Times New Roman" w:hAnsi="Times New Roman"/>
          <w:sz w:val="16"/>
          <w:szCs w:val="16"/>
          <w:color w:val="auto"/>
        </w:rPr>
        <w:t>•less stringent requirements relating to fiduciary duties;</w:t>
      </w:r>
    </w:p>
    <w:p>
      <w:pPr>
        <w:spacing w:after="0" w:line="204" w:lineRule="auto"/>
        <w:rPr>
          <w:sz w:val="20"/>
          <w:szCs w:val="20"/>
          <w:color w:val="auto"/>
        </w:rPr>
      </w:pPr>
      <w:r>
        <w:rPr>
          <w:rFonts w:ascii="Times New Roman" w:cs="Times New Roman" w:eastAsia="Times New Roman" w:hAnsi="Times New Roman"/>
          <w:sz w:val="16"/>
          <w:szCs w:val="16"/>
          <w:color w:val="auto"/>
        </w:rPr>
        <w:t>•fewer investor protections and less publicly available information about companies in certain non-U.S.</w:t>
      </w:r>
    </w:p>
    <w:p>
      <w:pPr>
        <w:spacing w:after="0" w:line="203" w:lineRule="auto"/>
        <w:rPr>
          <w:sz w:val="20"/>
          <w:szCs w:val="20"/>
          <w:color w:val="auto"/>
        </w:rPr>
      </w:pPr>
      <w:r>
        <w:rPr>
          <w:rFonts w:ascii="Times New Roman" w:cs="Times New Roman" w:eastAsia="Times New Roman" w:hAnsi="Times New Roman"/>
          <w:sz w:val="16"/>
          <w:szCs w:val="16"/>
          <w:color w:val="auto"/>
        </w:rPr>
        <w:t>markets; and</w:t>
      </w:r>
    </w:p>
    <w:p>
      <w:pPr>
        <w:spacing w:after="0" w:line="204" w:lineRule="auto"/>
        <w:rPr>
          <w:sz w:val="20"/>
          <w:szCs w:val="20"/>
          <w:color w:val="auto"/>
        </w:rPr>
      </w:pPr>
      <w:r>
        <w:rPr>
          <w:rFonts w:ascii="Times New Roman" w:cs="Times New Roman" w:eastAsia="Times New Roman" w:hAnsi="Times New Roman"/>
          <w:sz w:val="16"/>
          <w:szCs w:val="16"/>
          <w:color w:val="auto"/>
        </w:rPr>
        <w:t>•greater price volatility.</w:t>
      </w:r>
    </w:p>
    <w:p>
      <w:pPr>
        <w:spacing w:after="0" w:line="203" w:lineRule="auto"/>
        <w:rPr>
          <w:sz w:val="20"/>
          <w:szCs w:val="20"/>
          <w:color w:val="auto"/>
        </w:rPr>
      </w:pPr>
      <w:r>
        <w:rPr>
          <w:rFonts w:ascii="Times New Roman" w:cs="Times New Roman" w:eastAsia="Times New Roman" w:hAnsi="Times New Roman"/>
          <w:sz w:val="16"/>
          <w:szCs w:val="16"/>
          <w:color w:val="auto"/>
        </w:rPr>
        <w:t>In addition, investments in companies that are based outside of the United States may be negatively impacted by</w:t>
      </w:r>
    </w:p>
    <w:p>
      <w:pPr>
        <w:spacing w:after="0" w:line="1" w:lineRule="exact"/>
        <w:rPr>
          <w:sz w:val="20"/>
          <w:szCs w:val="20"/>
          <w:color w:val="auto"/>
        </w:rPr>
      </w:pPr>
    </w:p>
    <w:p>
      <w:pPr>
        <w:ind w:right="1460"/>
        <w:spacing w:after="0" w:line="213" w:lineRule="auto"/>
        <w:rPr>
          <w:sz w:val="20"/>
          <w:szCs w:val="20"/>
          <w:color w:val="auto"/>
        </w:rPr>
      </w:pPr>
      <w:r>
        <w:rPr>
          <w:rFonts w:ascii="Times New Roman" w:cs="Times New Roman" w:eastAsia="Times New Roman" w:hAnsi="Times New Roman"/>
          <w:sz w:val="16"/>
          <w:szCs w:val="16"/>
          <w:color w:val="auto"/>
        </w:rPr>
        <w:t>restrictions on international trade or the recent or potential imposition of tariffs. See “Risks Related to Our Business Operations —Risks Related to the Assets We Manage—Trade negotiations and related government actions may create regulatory uncertainty for our funds’ portfolio companies and our investment strategies and adversely affect the profitability of our funds’ portfolio companies.”</w:t>
      </w:r>
    </w:p>
    <w:p>
      <w:pPr>
        <w:sectPr>
          <w:pgSz w:w="11900" w:h="16840" w:orient="portrait"/>
          <w:cols w:equalWidth="0" w:num="1">
            <w:col w:w="9400"/>
          </w:cols>
          <w:pgMar w:left="1060" w:top="557" w:right="1440"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equity investments and some of our debt investments rank junior to investments made by others, exposing us to greater risk of losing our investment.</w:t>
      </w:r>
    </w:p>
    <w:p>
      <w:pPr>
        <w:spacing w:after="0" w:line="204" w:lineRule="auto"/>
        <w:rPr>
          <w:sz w:val="20"/>
          <w:szCs w:val="20"/>
          <w:color w:val="auto"/>
        </w:rPr>
      </w:pPr>
      <w:r>
        <w:rPr>
          <w:rFonts w:ascii="Times New Roman" w:cs="Times New Roman" w:eastAsia="Times New Roman" w:hAnsi="Times New Roman"/>
          <w:sz w:val="16"/>
          <w:szCs w:val="16"/>
          <w:color w:val="auto"/>
        </w:rPr>
        <w:t>In many cases, the companies in which we or our funds invest have, or are permitted to have, outstanding indebtedness</w:t>
      </w:r>
    </w:p>
    <w:p>
      <w:pPr>
        <w:spacing w:after="0" w:line="1" w:lineRule="exact"/>
        <w:rPr>
          <w:sz w:val="20"/>
          <w:szCs w:val="20"/>
          <w:color w:val="auto"/>
        </w:rPr>
      </w:pPr>
    </w:p>
    <w:p>
      <w:pPr>
        <w:ind w:right="1400"/>
        <w:spacing w:after="0"/>
        <w:rPr>
          <w:sz w:val="20"/>
          <w:szCs w:val="20"/>
          <w:color w:val="auto"/>
        </w:rPr>
      </w:pPr>
      <w:r>
        <w:rPr>
          <w:rFonts w:ascii="Times New Roman" w:cs="Times New Roman" w:eastAsia="Times New Roman" w:hAnsi="Times New Roman"/>
          <w:sz w:val="14"/>
          <w:szCs w:val="14"/>
          <w:color w:val="auto"/>
        </w:rPr>
        <w:t>or equity securities that rank senior to our or our fund’s investment. By their terms, such instruments may provide that their holders are entitled to receive payments of distributions, interest, or principal on or before the dates on which payments are to be made in respect of our or our fund’s investment. In the event of insolvency, liquidation, dissolution, reorganization, or bankruptcy of a company in which an investment is made, holders of securities ranking senior to our investment would typically be entitled to receive payment in full before distributions could be made in respect of our investment. In addition, debt investments made by us or our funds in our portfolio companies may be equitably subordinated to the debt investments made by third parties in our portfolio companies. After repaying senior security holders, the company may not have any remaining assets to use for repaying amounts owed in respect of our investment. To the extent that any assets remain, holders of claims that rank equally with our investment would be entitled to share on an equal and ratable basis in distributions that are made out of those assets. Moreover, during periods of financial distress or following insolvency, the ability of us or our funds to influence a company’s affairs and to take actions to protect an investment will likely be substantially less than that of the senior creditors.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of our fund investments may be concentrated in particular asset types or geographic regions, which could</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exacerbate any negative performance of those funds to the extent those concentrated investments perform poorly.</w:t>
      </w:r>
    </w:p>
    <w:p>
      <w:pPr>
        <w:spacing w:after="0" w:line="204" w:lineRule="auto"/>
        <w:rPr>
          <w:sz w:val="20"/>
          <w:szCs w:val="20"/>
          <w:color w:val="auto"/>
        </w:rPr>
      </w:pPr>
      <w:r>
        <w:rPr>
          <w:rFonts w:ascii="Times New Roman" w:cs="Times New Roman" w:eastAsia="Times New Roman" w:hAnsi="Times New Roman"/>
          <w:sz w:val="16"/>
          <w:szCs w:val="16"/>
          <w:color w:val="auto"/>
        </w:rPr>
        <w:t>The governing agreements of our investment funds contain only limited investment restrictions and only limited</w:t>
      </w:r>
    </w:p>
    <w:p>
      <w:pPr>
        <w:spacing w:after="0" w:line="232" w:lineRule="auto"/>
        <w:rPr>
          <w:sz w:val="20"/>
          <w:szCs w:val="20"/>
          <w:color w:val="auto"/>
        </w:rPr>
      </w:pPr>
      <w:r>
        <w:rPr>
          <w:rFonts w:ascii="Times New Roman" w:cs="Times New Roman" w:eastAsia="Times New Roman" w:hAnsi="Times New Roman"/>
          <w:sz w:val="14"/>
          <w:szCs w:val="14"/>
          <w:color w:val="auto"/>
        </w:rPr>
        <w:t>requirements as to diversification of fund investments, either by geographic region or asset type. For example, we advise funds</w:t>
      </w:r>
    </w:p>
    <w:p>
      <w:pPr>
        <w:spacing w:after="0" w:line="204" w:lineRule="auto"/>
        <w:rPr>
          <w:sz w:val="20"/>
          <w:szCs w:val="20"/>
          <w:color w:val="auto"/>
        </w:rPr>
      </w:pPr>
      <w:r>
        <w:rPr>
          <w:rFonts w:ascii="Times New Roman" w:cs="Times New Roman" w:eastAsia="Times New Roman" w:hAnsi="Times New Roman"/>
          <w:sz w:val="16"/>
          <w:szCs w:val="16"/>
          <w:color w:val="auto"/>
        </w:rPr>
        <w:t>that invest predominantly in the United States, Europe, Asia, and Japan, and we advise funds that invest in a single industry</w:t>
      </w:r>
    </w:p>
    <w:p>
      <w:pPr>
        <w:spacing w:after="0" w:line="232" w:lineRule="auto"/>
        <w:rPr>
          <w:sz w:val="20"/>
          <w:szCs w:val="20"/>
          <w:color w:val="auto"/>
        </w:rPr>
      </w:pPr>
      <w:r>
        <w:rPr>
          <w:rFonts w:ascii="Times New Roman" w:cs="Times New Roman" w:eastAsia="Times New Roman" w:hAnsi="Times New Roman"/>
          <w:sz w:val="14"/>
          <w:szCs w:val="14"/>
          <w:color w:val="auto"/>
        </w:rPr>
        <w:t>sector, such as financial services, aviation, and power. During periods of difficult market conditions, slowdowns, or increased</w:t>
      </w:r>
    </w:p>
    <w:p>
      <w:pPr>
        <w:spacing w:after="0" w:line="204" w:lineRule="auto"/>
        <w:rPr>
          <w:sz w:val="20"/>
          <w:szCs w:val="20"/>
          <w:color w:val="auto"/>
        </w:rPr>
      </w:pPr>
      <w:r>
        <w:rPr>
          <w:rFonts w:ascii="Times New Roman" w:cs="Times New Roman" w:eastAsia="Times New Roman" w:hAnsi="Times New Roman"/>
          <w:sz w:val="16"/>
          <w:szCs w:val="16"/>
          <w:color w:val="auto"/>
        </w:rPr>
        <w:t>borrower defaults in those sectors or geographic regions, decreased revenue, difficulty in obtaining access to financing, and</w:t>
      </w:r>
    </w:p>
    <w:p>
      <w:pPr>
        <w:spacing w:after="0" w:line="232" w:lineRule="auto"/>
        <w:rPr>
          <w:sz w:val="20"/>
          <w:szCs w:val="20"/>
          <w:color w:val="auto"/>
        </w:rPr>
      </w:pPr>
      <w:r>
        <w:rPr>
          <w:rFonts w:ascii="Times New Roman" w:cs="Times New Roman" w:eastAsia="Times New Roman" w:hAnsi="Times New Roman"/>
          <w:sz w:val="14"/>
          <w:szCs w:val="14"/>
          <w:color w:val="auto"/>
        </w:rPr>
        <w:t>increased funding costs experienced by our funds may be exacerbated by this concentration of investments, which could result</w:t>
      </w:r>
    </w:p>
    <w:p>
      <w:pPr>
        <w:spacing w:after="0" w:line="233" w:lineRule="auto"/>
        <w:rPr>
          <w:sz w:val="20"/>
          <w:szCs w:val="20"/>
          <w:color w:val="auto"/>
        </w:rPr>
      </w:pPr>
      <w:r>
        <w:rPr>
          <w:rFonts w:ascii="Times New Roman" w:cs="Times New Roman" w:eastAsia="Times New Roman" w:hAnsi="Times New Roman"/>
          <w:sz w:val="14"/>
          <w:szCs w:val="14"/>
          <w:color w:val="auto"/>
        </w:rPr>
        <w:t>in lower investment returns for our funds. Such concentration may increase the risk that events affecting a specific geographic</w:t>
      </w:r>
    </w:p>
    <w:p>
      <w:pPr>
        <w:spacing w:after="0" w:line="233" w:lineRule="auto"/>
        <w:rPr>
          <w:sz w:val="20"/>
          <w:szCs w:val="20"/>
          <w:color w:val="auto"/>
        </w:rPr>
      </w:pPr>
      <w:r>
        <w:rPr>
          <w:rFonts w:ascii="Times New Roman" w:cs="Times New Roman" w:eastAsia="Times New Roman" w:hAnsi="Times New Roman"/>
          <w:sz w:val="14"/>
          <w:szCs w:val="14"/>
          <w:color w:val="auto"/>
        </w:rPr>
        <w:t>region or asset type could have an adverse or disparate impact on such investment funds, as compared to funds that invest more</w:t>
      </w:r>
    </w:p>
    <w:p>
      <w:pPr>
        <w:spacing w:after="0" w:line="232" w:lineRule="auto"/>
        <w:rPr>
          <w:sz w:val="20"/>
          <w:szCs w:val="20"/>
          <w:color w:val="auto"/>
        </w:rPr>
      </w:pPr>
      <w:r>
        <w:rPr>
          <w:rFonts w:ascii="Times New Roman" w:cs="Times New Roman" w:eastAsia="Times New Roman" w:hAnsi="Times New Roman"/>
          <w:sz w:val="14"/>
          <w:szCs w:val="14"/>
          <w:color w:val="auto"/>
        </w:rPr>
        <w:t>broadly. Idiosyncratic factors impacting specific companies or securities can materially affect fund performance depending on</w:t>
      </w:r>
    </w:p>
    <w:p>
      <w:pPr>
        <w:spacing w:after="0" w:line="204" w:lineRule="auto"/>
        <w:rPr>
          <w:sz w:val="20"/>
          <w:szCs w:val="20"/>
          <w:color w:val="auto"/>
        </w:rPr>
      </w:pPr>
      <w:r>
        <w:rPr>
          <w:rFonts w:ascii="Times New Roman" w:cs="Times New Roman" w:eastAsia="Times New Roman" w:hAnsi="Times New Roman"/>
          <w:sz w:val="16"/>
          <w:szCs w:val="16"/>
          <w:color w:val="auto"/>
        </w:rPr>
        <w:t>the size of the position.</w:t>
      </w:r>
    </w:p>
    <w:p>
      <w:pPr>
        <w:ind w:right="14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Certain of our investment funds may invest in securities of companies that are experiencing significant financial or business difficulties, including companies involved in bankruptcy or other reorganization and liquidation proceedings. Such investments may be subject to a greater risk of poor performance or loss.</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Certain of our investment funds, especially our distressed funds, may invest in business enterprises involved in work-outs, liquidations, reorganizations, bankruptcies, and similar transactions, and may purchase high risk receivables. An investment in such business enterprises entails the risk that the transaction in which such business enterprise is involved either will be unsuccessful, will take considerable time, or will result in a distribution of cash or a new security the value of which will be less than the purchase price to the fund of the security or other financial instrument in respect of which such distribution is received. In addition, if an anticipated transaction does not in fact occur, the fund may be required to sell its investment at a loss. Investments in troubled companies may also be adversely affected by U.S. federal and state laws relating to, among other things, fraudulent conveyances, voidable preferences, lender liability, and a bankruptcy court’s discretionary power to disallow, subordinate, or disenfranchise particular claims. Investments in securities and private claims of troubled companies made in connection with an attempt to influence a restructuring proposal or plan of reorganization in a bankruptcy case may also involve substantial litigation, which has the potential to adversely impact us or unrelated funds or portfolio companies. Due to the substantial uncertainty concerning the outcome of transactions involving financially troubled companies, there is a potential risk of loss by a fund of its entire investment in such company.</w:t>
      </w:r>
    </w:p>
    <w:p>
      <w:pPr>
        <w:spacing w:after="0" w:line="5"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In addition, at least one federal circuit court has determined that an investment fund could be liable for ERISA Title IV pension obligations (including withdrawal liability incurred with respect to union multiemployer plans) of its portfolio companies, if such fund is a “trade or business” and the fund’s ownership interest in the portfolio company is significant enough to bring the investment fund within the portfolio company’s “controlled group.” While a number of cases have held that managing investments is not a “trade or business” for tax purposes, the circuit court in this case concluded the investment fund could be a “trade or business” for ERISA purposes based on certain factors, including the fund’s level of involvement in the management of its portfolio companies and the nature of its management fee arrangements. Litigation related to the circuit court’s decision suggests that additional factors may be relevant for purposes of determining whether an investment fund could face “controlled group” liability under ERISA, including the structure of the investment and the nature of the fund’s relationship with other affiliated investors and co-investors in the portfolio company. Moreover, regardless of whether an</w:t>
      </w:r>
    </w:p>
    <w:p>
      <w:pPr>
        <w:sectPr>
          <w:pgSz w:w="11900" w:h="16840" w:orient="portrait"/>
          <w:cols w:equalWidth="0" w:num="1">
            <w:col w:w="9400"/>
          </w:cols>
          <w:pgMar w:left="106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40"/>
        <w:spacing w:after="0" w:line="203" w:lineRule="auto"/>
        <w:rPr>
          <w:sz w:val="20"/>
          <w:szCs w:val="20"/>
          <w:color w:val="auto"/>
        </w:rPr>
      </w:pPr>
      <w:r>
        <w:rPr>
          <w:rFonts w:ascii="Times New Roman" w:cs="Times New Roman" w:eastAsia="Times New Roman" w:hAnsi="Times New Roman"/>
          <w:sz w:val="16"/>
          <w:szCs w:val="16"/>
          <w:color w:val="auto"/>
        </w:rPr>
        <w:t>investment fund is determined to be a “trade or business” for purposes of ERISA, a court might hold that one of the fund’s portfolio companies could become jointly and severally liable for another portfolio company’s unfunded pension liabilities pursuant to the ERISA “controlled group” rules, depending upon the relevant investment structures and ownership interests as noted above.</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Contingent liabilities could harm fund performance.</w:t>
      </w:r>
    </w:p>
    <w:p>
      <w:pPr>
        <w:spacing w:after="0" w:line="204" w:lineRule="auto"/>
        <w:rPr>
          <w:sz w:val="20"/>
          <w:szCs w:val="20"/>
          <w:color w:val="auto"/>
        </w:rPr>
      </w:pPr>
      <w:r>
        <w:rPr>
          <w:rFonts w:ascii="Times New Roman" w:cs="Times New Roman" w:eastAsia="Times New Roman" w:hAnsi="Times New Roman"/>
          <w:sz w:val="16"/>
          <w:szCs w:val="16"/>
          <w:color w:val="auto"/>
        </w:rPr>
        <w:t>We may cause our funds to acquire an investment that is subject to contingent liabilities. Such contingent liabilities</w:t>
      </w:r>
    </w:p>
    <w:p>
      <w:pPr>
        <w:ind w:right="1400"/>
        <w:spacing w:after="0" w:line="203" w:lineRule="auto"/>
        <w:rPr>
          <w:sz w:val="20"/>
          <w:szCs w:val="20"/>
          <w:color w:val="auto"/>
        </w:rPr>
      </w:pPr>
      <w:r>
        <w:rPr>
          <w:rFonts w:ascii="Times New Roman" w:cs="Times New Roman" w:eastAsia="Times New Roman" w:hAnsi="Times New Roman"/>
          <w:sz w:val="16"/>
          <w:szCs w:val="16"/>
          <w:color w:val="auto"/>
        </w:rPr>
        <w:t>could be unknown to us at the time of acquisition or, if they are known to us, we may not accurately assess or protect against the risks that they present. Acquired contingent liabilities could therefore result in unforeseen losses for our funds. In addition,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Accordingly, the inaccuracy of representations and warranties made by a fund could harm such fund’s performance.</w:t>
      </w:r>
    </w:p>
    <w:p>
      <w:pPr>
        <w:spacing w:after="0" w:line="3"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We are reliant on third-party service providers for certain aspects of our business and are subject to risks in using prime brokers, custodians, counterparties, administrators, and other agents.</w:t>
      </w:r>
    </w:p>
    <w:p>
      <w:pPr>
        <w:spacing w:after="0" w:line="204" w:lineRule="auto"/>
        <w:rPr>
          <w:sz w:val="20"/>
          <w:szCs w:val="20"/>
          <w:color w:val="auto"/>
        </w:rPr>
      </w:pPr>
      <w:r>
        <w:rPr>
          <w:rFonts w:ascii="Times New Roman" w:cs="Times New Roman" w:eastAsia="Times New Roman" w:hAnsi="Times New Roman"/>
          <w:sz w:val="16"/>
          <w:szCs w:val="16"/>
          <w:color w:val="auto"/>
        </w:rPr>
        <w:t>We are reliant on other third-party service providers for certain technology platforms that facilitate the continued</w:t>
      </w:r>
    </w:p>
    <w:p>
      <w:pPr>
        <w:spacing w:after="0" w:line="1" w:lineRule="exact"/>
        <w:rPr>
          <w:sz w:val="20"/>
          <w:szCs w:val="20"/>
          <w:color w:val="auto"/>
        </w:rPr>
      </w:pPr>
    </w:p>
    <w:p>
      <w:pPr>
        <w:jc w:val="both"/>
        <w:ind w:right="1500"/>
        <w:spacing w:after="0" w:line="203" w:lineRule="auto"/>
        <w:rPr>
          <w:sz w:val="20"/>
          <w:szCs w:val="20"/>
          <w:color w:val="auto"/>
        </w:rPr>
      </w:pPr>
      <w:r>
        <w:rPr>
          <w:rFonts w:ascii="Times New Roman" w:cs="Times New Roman" w:eastAsia="Times New Roman" w:hAnsi="Times New Roman"/>
          <w:sz w:val="16"/>
          <w:szCs w:val="16"/>
          <w:color w:val="auto"/>
        </w:rPr>
        <w:t>operation of our business, including cloud-based services. We generally have less control over the delivery of such third-party services and, as a result, may face disruptions to our ability to operate our business as a result of interruptions of such services. A prolonged global failure of cloud services provided to us could result in cascading systems failures. In addition, we may not be able to adapt our information systems and technology to accommodate our growth, or the cost of maintaining such systems may increase materially from its current level, which could have a material adverse effect on us.</w:t>
      </w:r>
    </w:p>
    <w:p>
      <w:pPr>
        <w:spacing w:after="0" w:line="206" w:lineRule="auto"/>
        <w:rPr>
          <w:sz w:val="20"/>
          <w:szCs w:val="20"/>
          <w:color w:val="auto"/>
        </w:rPr>
      </w:pPr>
      <w:r>
        <w:rPr>
          <w:rFonts w:ascii="Times New Roman" w:cs="Times New Roman" w:eastAsia="Times New Roman" w:hAnsi="Times New Roman"/>
          <w:sz w:val="16"/>
          <w:szCs w:val="16"/>
          <w:color w:val="auto"/>
        </w:rPr>
        <w:t>Many of our funds depend on the services of prime brokers, custodians, counterparties, administrators, and other</w:t>
      </w:r>
    </w:p>
    <w:p>
      <w:pPr>
        <w:ind w:right="1480"/>
        <w:spacing w:after="0" w:line="203" w:lineRule="auto"/>
        <w:rPr>
          <w:sz w:val="20"/>
          <w:szCs w:val="20"/>
          <w:color w:val="auto"/>
        </w:rPr>
      </w:pPr>
      <w:r>
        <w:rPr>
          <w:rFonts w:ascii="Times New Roman" w:cs="Times New Roman" w:eastAsia="Times New Roman" w:hAnsi="Times New Roman"/>
          <w:sz w:val="16"/>
          <w:szCs w:val="16"/>
          <w:color w:val="auto"/>
        </w:rPr>
        <w:t>agents, including to carry out certain securities and derivatives transactions. The terms of these contracts are often customized and complex, and many of these arrangements occur in markets or relate to products that are subject to limited or no regulatory oversight. Some of our funds utilize prime brokerage arrangements with a relatively limited number of counterparties, which has the effect of concentrating the transaction volume (and related counterparty default risk) of these funds with these counterparties. 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w:t>
      </w:r>
    </w:p>
    <w:p>
      <w:pPr>
        <w:spacing w:after="0" w:line="4" w:lineRule="exact"/>
        <w:rPr>
          <w:sz w:val="20"/>
          <w:szCs w:val="20"/>
          <w:color w:val="auto"/>
        </w:rPr>
      </w:pPr>
    </w:p>
    <w:p>
      <w:pPr>
        <w:ind w:right="1520"/>
        <w:spacing w:after="0"/>
        <w:rPr>
          <w:sz w:val="20"/>
          <w:szCs w:val="20"/>
          <w:color w:val="auto"/>
        </w:rPr>
      </w:pPr>
      <w:r>
        <w:rPr>
          <w:rFonts w:ascii="Times New Roman" w:cs="Times New Roman" w:eastAsia="Times New Roman" w:hAnsi="Times New Roman"/>
          <w:sz w:val="14"/>
          <w:szCs w:val="14"/>
          <w:color w:val="auto"/>
        </w:rPr>
        <w:t>In addition, our risk management process may not accurately anticipate the impact of market stress or counterparty financial condition and, as a result, we may not have taken sufficient action to reduce our risks effectively. Default risk may arise from events or circumstances that are difficult to detect, foresee, or evaluate. Moreover, concerns about, or a default by, one large participant could lead to significant liquidity problems for other participants, which may in turn expose us to significant losses. Although we have risk management processes to ensure that we are not exposed to a single counterparty for significant periods of time, given the large number and size of our funds, we often have large positions with a single counterparty. For example, most of our funds have credit lines. If the lender under one or more of those credit lines were to become insolvent, we may have difficulty replacing the credit line and one or more of our funds may face liquidity problems. In the event of a counterparty default, particularly a default by a major investment bank or a default by a counterparty</w:t>
      </w:r>
    </w:p>
    <w:p>
      <w:pPr>
        <w:spacing w:after="0" w:line="117"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businesses, results of operation, and financial condition. In addition, under certain local clearing and settlement regimes in Europe, we or our funds could be subject to settlement discipline fines. See “Risks Related to Our Business Operations—Risks Related to the Assets We Manage—Our funds make investments in companies that are based outside of the United States, which may expose us to additional risks not typically associated with investing in companies that are based in the United States.”</w:t>
      </w:r>
    </w:p>
    <w:p>
      <w:pPr>
        <w:spacing w:after="0" w:line="207" w:lineRule="auto"/>
        <w:rPr>
          <w:sz w:val="20"/>
          <w:szCs w:val="20"/>
          <w:color w:val="auto"/>
        </w:rPr>
      </w:pPr>
      <w:r>
        <w:rPr>
          <w:rFonts w:ascii="Times New Roman" w:cs="Times New Roman" w:eastAsia="Times New Roman" w:hAnsi="Times New Roman"/>
          <w:sz w:val="16"/>
          <w:szCs w:val="16"/>
          <w:color w:val="auto"/>
        </w:rPr>
        <w:t>In the event of the insolvency of a prime broker, custodian, counterparty, or any other party that is holding assets of</w:t>
      </w:r>
    </w:p>
    <w:p>
      <w:pPr>
        <w:spacing w:after="0"/>
        <w:rPr>
          <w:sz w:val="20"/>
          <w:szCs w:val="20"/>
          <w:color w:val="auto"/>
        </w:rPr>
      </w:pPr>
      <w:r>
        <w:rPr>
          <w:rFonts w:ascii="Times New Roman" w:cs="Times New Roman" w:eastAsia="Times New Roman" w:hAnsi="Times New Roman"/>
          <w:sz w:val="16"/>
          <w:szCs w:val="16"/>
          <w:color w:val="auto"/>
        </w:rPr>
        <w:t>our funds as collateral, our funds might not be able to recover equivalent assets in full as they will rank among the prime</w:t>
      </w:r>
    </w:p>
    <w:p>
      <w:pPr>
        <w:sectPr>
          <w:pgSz w:w="11900" w:h="16840" w:orient="portrait"/>
          <w:cols w:equalWidth="0" w:num="1">
            <w:col w:w="9400"/>
          </w:cols>
          <w:pgMar w:left="1060" w:top="1440" w:right="144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44" w:lineRule="auto"/>
        <w:rPr>
          <w:sz w:val="20"/>
          <w:szCs w:val="20"/>
          <w:color w:val="auto"/>
        </w:rPr>
      </w:pPr>
      <w:r>
        <w:rPr>
          <w:rFonts w:ascii="Times New Roman" w:cs="Times New Roman" w:eastAsia="Times New Roman" w:hAnsi="Times New Roman"/>
          <w:sz w:val="14"/>
          <w:szCs w:val="14"/>
          <w:color w:val="auto"/>
        </w:rPr>
        <w:t>broker’s, custodian’s, or counterparty’s unsecured creditors in relation to the assets held as collateral. In addition, our funds’ cash held with a prime broker, custodian, or counterparty generally will not be segregated from the prime broker’s, custodian’s, or counterparty’s own cash, and our funds may therefore rank as unsecured creditors in relation thereto. If our derivatives transactions are cleared through a derivatives clearing organization, the CFTC has issued final rules regulating the segregation</w:t>
      </w:r>
    </w:p>
    <w:p>
      <w:pPr>
        <w:sectPr>
          <w:pgSz w:w="11900" w:h="16840" w:orient="portrait"/>
          <w:cols w:equalWidth="0" w:num="1">
            <w:col w:w="9400"/>
          </w:cols>
          <w:pgMar w:left="1060" w:top="1440" w:right="1440" w:bottom="138" w:gutter="0" w:footer="0" w:header="0"/>
          <w:type w:val="continuous"/>
        </w:sectPr>
      </w:pPr>
    </w:p>
    <w:bookmarkStart w:id="62" w:name="page63"/>
    <w:bookmarkEnd w:id="62"/>
    <w:p>
      <w:pPr>
        <w:ind w:right="1440"/>
        <w:spacing w:after="0" w:line="241" w:lineRule="auto"/>
        <w:rPr>
          <w:sz w:val="20"/>
          <w:szCs w:val="20"/>
          <w:color w:val="auto"/>
        </w:rPr>
      </w:pPr>
      <w:r>
        <w:rPr>
          <w:rFonts w:ascii="Times New Roman" w:cs="Times New Roman" w:eastAsia="Times New Roman" w:hAnsi="Times New Roman"/>
          <w:sz w:val="14"/>
          <w:szCs w:val="14"/>
          <w:color w:val="auto"/>
        </w:rPr>
        <w:t>and protection of collateral posted by customers of cleared and uncleared swaps. The CFTC is also working to provide new guidance regarding prime broker arrangements and intermediation generally with regard to trading on swap execution facilities. The counterparty risks that we face have increased in complexity and magnitude over time. For example, in certain</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areas the number of counterparties we face has increased and may continue to increase, which may result in increased complexity and monitoring costs. Conversely, in certain other areas, the consolidation and elimination of counterparties has increased our concentration of counterparty risk and decreased the universe of potential counterparties, and our funds are generally not restricted from dealing with any particular counterparty or from concentrating any or all of their transactions with one counterparty. In addition, counterparties have in the past and may in the future react to market volatility by tightening underwriting standards and increasing margin requirements for all categories of financing, which may decrease the overall amount of leverage available and increase the costs of borrowing.</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Our investments are subject to a number of inherent and significant risks.</w:t>
      </w:r>
    </w:p>
    <w:p>
      <w:pPr>
        <w:ind w:right="2520"/>
        <w:spacing w:after="0" w:line="203" w:lineRule="auto"/>
        <w:rPr>
          <w:sz w:val="20"/>
          <w:szCs w:val="20"/>
          <w:color w:val="auto"/>
        </w:rPr>
      </w:pPr>
      <w:r>
        <w:rPr>
          <w:rFonts w:ascii="Times New Roman" w:cs="Times New Roman" w:eastAsia="Times New Roman" w:hAnsi="Times New Roman"/>
          <w:sz w:val="16"/>
          <w:szCs w:val="16"/>
          <w:color w:val="auto"/>
        </w:rPr>
        <w:t>Our results are highly dependent on our continued ability to generate attractive returns from our investments. Investments made by our business segments involve a number of significant risks, including the following: •we advise funds that invest in businesses that operate in a variety of industries that are subject to extensive domestic and foreign regulation, such as the telecommunications industry, the aerospace, defense and government services industry, the life sciences industry, and the healthcare industry (including companies that supply equipment and services to governmental agencies), that may involve greater risk due to rapidly changing market and governmental conditions in those sectors;</w:t>
      </w:r>
    </w:p>
    <w:p>
      <w:pPr>
        <w:spacing w:after="0" w:line="3"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•significant failures of our investments to comply with laws and regulations applicable to them may expose us to liabilities, fines, or penalties, could affect the ability of our funds to invest in other companies in certain industries in the future, and could harm our reputation;</w:t>
      </w:r>
    </w:p>
    <w:p>
      <w:pPr>
        <w:spacing w:after="0" w:line="1" w:lineRule="exact"/>
        <w:rPr>
          <w:sz w:val="20"/>
          <w:szCs w:val="20"/>
          <w:color w:val="auto"/>
        </w:rPr>
      </w:pPr>
    </w:p>
    <w:p>
      <w:pPr>
        <w:jc w:val="both"/>
        <w:ind w:right="2660"/>
        <w:spacing w:after="0" w:line="203" w:lineRule="auto"/>
        <w:rPr>
          <w:sz w:val="20"/>
          <w:szCs w:val="20"/>
          <w:color w:val="auto"/>
        </w:rPr>
      </w:pPr>
      <w:r>
        <w:rPr>
          <w:rFonts w:ascii="Times New Roman" w:cs="Times New Roman" w:eastAsia="Times New Roman" w:hAnsi="Times New Roman"/>
          <w:sz w:val="16"/>
          <w:szCs w:val="16"/>
          <w:color w:val="auto"/>
        </w:rPr>
        <w:t>•companies in which investments are made may have limited financial resources and may be unable to meet their obligations, which may be accompanied by a deterioration in the value of their equity securities or any collateral or guarantees provided with respect to their debt;</w:t>
      </w:r>
    </w:p>
    <w:p>
      <w:pPr>
        <w:spacing w:after="0" w:line="1"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•companies or assets in which investments are made are more likely to depend on the management talents and efforts of a small group of persons and, as a result, the death, disability, resignation, or termination of one or more of those persons could have a material adverse impact on their business and prospects and the investment made;</w:t>
      </w:r>
    </w:p>
    <w:p>
      <w:pPr>
        <w:spacing w:after="0" w:line="2" w:lineRule="exact"/>
        <w:rPr>
          <w:sz w:val="20"/>
          <w:szCs w:val="20"/>
          <w:color w:val="auto"/>
        </w:rPr>
      </w:pPr>
    </w:p>
    <w:p>
      <w:pPr>
        <w:ind w:right="2800"/>
        <w:spacing w:after="0" w:line="203" w:lineRule="auto"/>
        <w:rPr>
          <w:sz w:val="20"/>
          <w:szCs w:val="20"/>
          <w:color w:val="auto"/>
        </w:rPr>
      </w:pPr>
      <w:r>
        <w:rPr>
          <w:rFonts w:ascii="Times New Roman" w:cs="Times New Roman" w:eastAsia="Times New Roman" w:hAnsi="Times New Roman"/>
          <w:sz w:val="16"/>
          <w:szCs w:val="16"/>
          <w:color w:val="auto"/>
        </w:rPr>
        <w:t>•companies in which investments are made may be businesses or divisions acquired from larger operating entities that may require a rebuilding or replacement of financial reporting, information technology, operations, and other areas;</w:t>
      </w:r>
    </w:p>
    <w:p>
      <w:pPr>
        <w:spacing w:after="0" w:line="1" w:lineRule="exact"/>
        <w:rPr>
          <w:sz w:val="20"/>
          <w:szCs w:val="20"/>
          <w:color w:val="auto"/>
        </w:rPr>
      </w:pPr>
    </w:p>
    <w:p>
      <w:pPr>
        <w:ind w:right="2680"/>
        <w:spacing w:after="0" w:line="203" w:lineRule="auto"/>
        <w:rPr>
          <w:sz w:val="20"/>
          <w:szCs w:val="20"/>
          <w:color w:val="auto"/>
        </w:rPr>
      </w:pPr>
      <w:r>
        <w:rPr>
          <w:rFonts w:ascii="Times New Roman" w:cs="Times New Roman" w:eastAsia="Times New Roman" w:hAnsi="Times New Roman"/>
          <w:sz w:val="16"/>
          <w:szCs w:val="16"/>
          <w:color w:val="auto"/>
        </w:rPr>
        <w:t>•companies or assets in which investments are made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2" w:lineRule="exact"/>
        <w:rPr>
          <w:sz w:val="20"/>
          <w:szCs w:val="20"/>
          <w:color w:val="auto"/>
        </w:rPr>
      </w:pPr>
    </w:p>
    <w:p>
      <w:pPr>
        <w:ind w:right="2540"/>
        <w:spacing w:after="0" w:line="232" w:lineRule="auto"/>
        <w:rPr>
          <w:sz w:val="20"/>
          <w:szCs w:val="20"/>
          <w:color w:val="auto"/>
        </w:rPr>
      </w:pPr>
      <w:r>
        <w:rPr>
          <w:rFonts w:ascii="Times New Roman" w:cs="Times New Roman" w:eastAsia="Times New Roman" w:hAnsi="Times New Roman"/>
          <w:sz w:val="14"/>
          <w:szCs w:val="14"/>
          <w:color w:val="auto"/>
        </w:rPr>
        <w:t>•instances of fraud, corruption, and other deceptive practices committed by senior management of portfolio companies in which our funds invest may undermine our due diligence efforts with respect to such companies and, upon the discovery of such fraud, negatively affect the valuation of a fund’s investments as well as contribute to overall market volatility that can negatively impact a fund’s investment program;</w:t>
      </w:r>
    </w:p>
    <w:p>
      <w:pPr>
        <w:spacing w:after="0" w:line="2" w:lineRule="exact"/>
        <w:rPr>
          <w:sz w:val="20"/>
          <w:szCs w:val="20"/>
          <w:color w:val="auto"/>
        </w:rPr>
      </w:pPr>
    </w:p>
    <w:p>
      <w:pPr>
        <w:ind w:right="2640"/>
        <w:spacing w:after="0" w:line="216" w:lineRule="auto"/>
        <w:rPr>
          <w:sz w:val="20"/>
          <w:szCs w:val="20"/>
          <w:color w:val="auto"/>
        </w:rPr>
      </w:pPr>
      <w:r>
        <w:rPr>
          <w:rFonts w:ascii="Times New Roman" w:cs="Times New Roman" w:eastAsia="Times New Roman" w:hAnsi="Times New Roman"/>
          <w:sz w:val="16"/>
          <w:szCs w:val="16"/>
          <w:color w:val="auto"/>
        </w:rPr>
        <w:t>•our funds may make investments that they do not advantageously dispose of prior to the date the applicable fund is dissolved, either by expiration of such fund’s term or otherwise, resulting in a lower than expected return on the investments and, potentially, on the fund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600"/>
        <w:spacing w:after="0" w:line="203" w:lineRule="auto"/>
        <w:rPr>
          <w:sz w:val="20"/>
          <w:szCs w:val="20"/>
          <w:color w:val="auto"/>
        </w:rPr>
      </w:pPr>
      <w:r>
        <w:rPr>
          <w:rFonts w:ascii="Times New Roman" w:cs="Times New Roman" w:eastAsia="Times New Roman" w:hAnsi="Times New Roman"/>
          <w:sz w:val="16"/>
          <w:szCs w:val="16"/>
          <w:color w:val="auto"/>
        </w:rPr>
        <w:t>•our funds generally establish the capital structure of portfolio companies on the basis of the financial projections based primarily on management judgments and assumptions, and general economic conditions and other factors may cause actual performance to fall short of these financial projections, which could cause a substantial decrease in the value of our equity holdings in the portfolio company and cause our funds’ performance to fall short of our expectations;</w:t>
      </w:r>
    </w:p>
    <w:p>
      <w:pPr>
        <w:spacing w:after="0" w:line="3" w:lineRule="exact"/>
        <w:rPr>
          <w:sz w:val="20"/>
          <w:szCs w:val="20"/>
          <w:color w:val="auto"/>
        </w:rPr>
      </w:pPr>
    </w:p>
    <w:p>
      <w:pPr>
        <w:ind w:right="2520"/>
        <w:spacing w:after="0" w:line="203" w:lineRule="auto"/>
        <w:rPr>
          <w:sz w:val="20"/>
          <w:szCs w:val="20"/>
          <w:color w:val="auto"/>
        </w:rPr>
      </w:pPr>
      <w:r>
        <w:rPr>
          <w:rFonts w:ascii="Arial" w:cs="Arial" w:eastAsia="Arial" w:hAnsi="Arial"/>
          <w:sz w:val="19"/>
          <w:szCs w:val="19"/>
          <w:color w:val="auto"/>
        </w:rPr>
        <w:t>•</w:t>
      </w:r>
      <w:r>
        <w:rPr>
          <w:rFonts w:ascii="Times New Roman" w:cs="Times New Roman" w:eastAsia="Times New Roman" w:hAnsi="Times New Roman"/>
          <w:sz w:val="15"/>
          <w:szCs w:val="15"/>
          <w:color w:val="auto"/>
        </w:rPr>
        <w:t>our transactions involve complex tax structuring that could be challenged or disregarded, which may result in</w:t>
      </w:r>
      <w:r>
        <w:rPr>
          <w:rFonts w:ascii="Arial" w:cs="Arial" w:eastAsia="Arial" w:hAnsi="Arial"/>
          <w:sz w:val="19"/>
          <w:szCs w:val="19"/>
          <w:color w:val="auto"/>
        </w:rPr>
        <w:t xml:space="preserve"> </w:t>
      </w:r>
      <w:r>
        <w:rPr>
          <w:rFonts w:ascii="Times New Roman" w:cs="Times New Roman" w:eastAsia="Times New Roman" w:hAnsi="Times New Roman"/>
          <w:sz w:val="15"/>
          <w:szCs w:val="15"/>
          <w:color w:val="auto"/>
        </w:rPr>
        <w:t>losing treaty benefits or would otherwise adversely impact our investments; and</w:t>
      </w:r>
    </w:p>
    <w:p>
      <w:pPr>
        <w:spacing w:after="0" w:line="1" w:lineRule="exact"/>
        <w:rPr>
          <w:sz w:val="20"/>
          <w:szCs w:val="20"/>
          <w:color w:val="auto"/>
        </w:rPr>
      </w:pPr>
    </w:p>
    <w:p>
      <w:pPr>
        <w:ind w:right="2700"/>
        <w:spacing w:after="0" w:line="203" w:lineRule="auto"/>
        <w:rPr>
          <w:sz w:val="20"/>
          <w:szCs w:val="20"/>
          <w:color w:val="auto"/>
        </w:rPr>
      </w:pPr>
      <w:r>
        <w:rPr>
          <w:rFonts w:ascii="Times New Roman" w:cs="Times New Roman" w:eastAsia="Times New Roman" w:hAnsi="Times New Roman"/>
          <w:sz w:val="16"/>
          <w:szCs w:val="16"/>
          <w:color w:val="auto"/>
        </w:rPr>
        <w:t>•executive officers, directors, and employees of an equity sponsor may be named as defendants in litigation involving a company or asset in which an investment is made or is being made.</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private equity funds’ performance, and our performance, has been and may in the future be adversely affected by the financial performance of our portfolio companies and the industries in which our funds invest.</w:t>
      </w:r>
    </w:p>
    <w:p>
      <w:pPr>
        <w:spacing w:after="0" w:line="1" w:lineRule="exact"/>
        <w:rPr>
          <w:sz w:val="20"/>
          <w:szCs w:val="20"/>
          <w:color w:val="auto"/>
        </w:rPr>
      </w:pPr>
    </w:p>
    <w:p>
      <w:pPr>
        <w:ind w:right="1480"/>
        <w:spacing w:after="0"/>
        <w:rPr>
          <w:sz w:val="20"/>
          <w:szCs w:val="20"/>
          <w:color w:val="auto"/>
        </w:rPr>
      </w:pPr>
      <w:r>
        <w:rPr>
          <w:rFonts w:ascii="Times New Roman" w:cs="Times New Roman" w:eastAsia="Times New Roman" w:hAnsi="Times New Roman"/>
          <w:sz w:val="14"/>
          <w:szCs w:val="14"/>
          <w:color w:val="auto"/>
        </w:rPr>
        <w:t>Our performance and the performance of our private equity funds are significantly impacted by the value of the companies in which our funds have invested. Our funds invest in companies in many different industries, each of which is subject to volatility based upon a variety of factors, including economic, market, and geopolitical factors. During recessions, periods of elevated uncertainty, or phases of challenging economic and market conditions, we experience significant fluctuations in the fair value of securities held by our funds. Obstacles to growth in the near-term are numerous, such as geopolitical and domestic political uncertainty, large fiscal deficits, the risk of stickier inflation, unexpected shifts in monetary and fiscal policy, depressed labor force participation, the risk of labor shortages in the face of more restrictive immigration policies, high levels of public debt, slowing population growth, supply chain pressures, and economic stress outside the United States. These factors and other general economic trends may impact the performance of our portfolio companies in many industries and geographies. In addition, the value of our investments in portfolio companies in the financial services industry is impacted by the overall health and stability of the credit and equity markets. The U.S. dollar rose 7.1% in 2024 on a broad trade-weighted basis, with gains concentrated in the post-October timeframe. A very strong U.S. dollar depresses the profits of</w:t>
      </w:r>
    </w:p>
    <w:p>
      <w:pPr>
        <w:sectPr>
          <w:pgSz w:w="11900" w:h="16840" w:orient="portrait"/>
          <w:cols w:equalWidth="0" w:num="1">
            <w:col w:w="9400"/>
          </w:cols>
          <w:pgMar w:left="1060" w:top="557" w:right="1440" w:bottom="150" w:gutter="0" w:footer="0" w:header="0"/>
        </w:sectPr>
      </w:pPr>
    </w:p>
    <w:bookmarkStart w:id="63" w:name="page64"/>
    <w:bookmarkEnd w:id="63"/>
    <w:p>
      <w:pPr>
        <w:ind w:right="1440"/>
        <w:spacing w:after="0" w:line="207" w:lineRule="auto"/>
        <w:rPr>
          <w:sz w:val="20"/>
          <w:szCs w:val="20"/>
          <w:color w:val="auto"/>
        </w:rPr>
      </w:pPr>
      <w:r>
        <w:rPr>
          <w:rFonts w:ascii="Times New Roman" w:cs="Times New Roman" w:eastAsia="Times New Roman" w:hAnsi="Times New Roman"/>
          <w:sz w:val="16"/>
          <w:szCs w:val="16"/>
          <w:color w:val="auto"/>
        </w:rPr>
        <w:t>domestic companies with significant foreign revenues, increases inflation risk in other economies as the cost of U.S. goods and services rises in local currency terms, increases default risk on U.S. dollar - denominated loans and bonds issued by businesses domiciled in emerging market economies (“EMEs”), and exacerbates food and energy crises in EMEs as most commodities are invoiced in dollars. A sustained period of elevated U.S. dollar value relative to global currencies would perpetuate and worsen these trends. An increase in emerging market corporate or sovereign defaults could further impair funding conditions or depress asset prices in these economies.</w:t>
      </w:r>
    </w:p>
    <w:p>
      <w:pPr>
        <w:spacing w:after="0" w:line="2" w:lineRule="exact"/>
        <w:rPr>
          <w:sz w:val="20"/>
          <w:szCs w:val="20"/>
          <w:color w:val="auto"/>
        </w:rPr>
      </w:pPr>
    </w:p>
    <w:p>
      <w:pPr>
        <w:ind w:right="1460"/>
        <w:spacing w:after="0"/>
        <w:rPr>
          <w:sz w:val="20"/>
          <w:szCs w:val="20"/>
          <w:color w:val="auto"/>
        </w:rPr>
      </w:pPr>
      <w:r>
        <w:rPr>
          <w:rFonts w:ascii="Times New Roman" w:cs="Times New Roman" w:eastAsia="Times New Roman" w:hAnsi="Times New Roman"/>
          <w:sz w:val="14"/>
          <w:szCs w:val="14"/>
          <w:color w:val="auto"/>
        </w:rPr>
        <w:t>The performance of our private equity funds, and our performance, may be adversely affected to the extent our fund portfolio companies experience adverse performance or additional pressure due to exogenous factors, such as the Russian invasion of Ukraine and another pandemic or global health crisis like the COVID- 19 pandemic. For example, during 2022, we recorded an impairment charge of $4.0 million on certain acquired contractual rights related to Carlyle Aviation Partners as a result of impaired income streams from aircraft under lease in Russia. In addition, the performance of our investment funds and our portfolio companies may be adversely affected by increases in inflationary pressures such as employee wage growth or rising input costs, which could compress profit margins, particularly at our portfolio companies that are unable to effectively increase prices in response. Rapid and unforeseen technological transformation, such as the recent emergence of large language models and generative AI, may introduce the risk of obsolescence to portfolio companies and negatively affect their performance. With respect to real estate, various factors could have an adverse effect on investment performance, including, among others, deflation in consumer prices, a low level of consumer confidence in the economy, and/or the residential real estate market and rising mortgage interest rates. In response to financial difficulties that are currently being experienced or that may be experienced in the future by certain portfolio companies or real estate investments, we may consider legal, regulatory, tax, or other factors in determining the steps we may take to support such companies or investments, which may include enhancing the management team or funding additional capital investments from our investment funds, our senior Carlyle professionals, and/or us. The actions we may take to support companies or investments experiencing financial difficulties may not be successful in remedying the financial difficulties and our investment funds, our senior Carlyle professionals, or we may not recoup some or all of any capital investments made in support of such companies or investments.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CLO business and investment into CLOs involves certain risks.</w:t>
      </w:r>
    </w:p>
    <w:p>
      <w:pPr>
        <w:jc w:val="both"/>
        <w:ind w:right="1400" w:firstLine="576"/>
        <w:spacing w:after="0" w:line="250" w:lineRule="auto"/>
        <w:rPr>
          <w:sz w:val="20"/>
          <w:szCs w:val="20"/>
          <w:color w:val="auto"/>
        </w:rPr>
      </w:pPr>
      <w:r>
        <w:rPr>
          <w:rFonts w:ascii="Times New Roman" w:cs="Times New Roman" w:eastAsia="Times New Roman" w:hAnsi="Times New Roman"/>
          <w:sz w:val="14"/>
          <w:szCs w:val="14"/>
          <w:color w:val="auto"/>
        </w:rPr>
        <w:t>CLOs may present risks similar to other types of debt obligations and, in fact, such risks may be of greater significance in the case of CLOs. In this respect, CLOs invest on a leveraged basis in loans or securities that are themselves highly leveraged investments in the underlying collateral, which increases both the opportunity for higher returns as well as the magnitude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32" w:lineRule="auto"/>
        <w:rPr>
          <w:sz w:val="20"/>
          <w:szCs w:val="20"/>
          <w:color w:val="auto"/>
        </w:rPr>
      </w:pPr>
      <w:r>
        <w:rPr>
          <w:rFonts w:ascii="Times New Roman" w:cs="Times New Roman" w:eastAsia="Times New Roman" w:hAnsi="Times New Roman"/>
          <w:sz w:val="14"/>
          <w:szCs w:val="14"/>
          <w:color w:val="auto"/>
        </w:rPr>
        <w:t>losses compared to unlevered investments. As a result of such funds’ leverage position, CLOs and their investors are at risk of suffering losses. For example, investments in structured vehicles, including equity and debt securities issued by CLOs, involve risks such as liquidity risk, credit risk, and market risk. Changes in interest rates and credit quality may cause short- term price fluctuations, increase in credit spreads, decline in ratings, or longer -term impairment. In addition, a reduction in the liquidity of the credit markets may result in an increase in credit spreads and a decline in ratings, performance, and market values for leveraged loans. We have significant exposure to these markets through our investment in our CLO funds.</w:t>
      </w:r>
    </w:p>
    <w:p>
      <w:pPr>
        <w:spacing w:after="0" w:line="3" w:lineRule="exact"/>
        <w:rPr>
          <w:sz w:val="20"/>
          <w:szCs w:val="20"/>
          <w:color w:val="auto"/>
        </w:rPr>
      </w:pPr>
    </w:p>
    <w:p>
      <w:pPr>
        <w:ind w:right="1400" w:firstLine="576"/>
        <w:spacing w:after="0"/>
        <w:rPr>
          <w:sz w:val="20"/>
          <w:szCs w:val="20"/>
          <w:color w:val="auto"/>
        </w:rPr>
      </w:pPr>
      <w:r>
        <w:rPr>
          <w:rFonts w:ascii="Times New Roman" w:cs="Times New Roman" w:eastAsia="Times New Roman" w:hAnsi="Times New Roman"/>
          <w:sz w:val="14"/>
          <w:szCs w:val="14"/>
          <w:color w:val="auto"/>
        </w:rPr>
        <w:t>In addition to the general risks associated with investing in debt and equity securities, CLO securities carry additional risks, including, but not limited to, the possibility that distributions from collateral assets will be inadequate to make interest, management fee, or other payments to Carlyle in its capacity as equity holder or manager, respectively, and the quality of the collateral may decline in value, default, or be downgraded. Moreover, changes in the collateral held by a CLO may cause payments on the instruments we hold to be reduced, either temporarily or permanently. Non-payment could result in a reduction of our income and revenues. CLO securities may be less liquid than other types of securities and are often more volatile than the individual assets that make-up the CLOs. In addition, CLOs and other structured finance securities may be subject to prepayment risk. Further, the performance of a CLO or other structured finance security is generally affected by a variety of factors, including the security’s priority in the capital structure of the issuer thereof, the availability of any credit enhancement, the level and timing of payments and recoveries on and the characteristics of the underlying receivables, loans, or other assets that are being securitized, remoteness of those assets from the originator or transferor, the adequacy of and ability to realize upon any related collateral, and the capability of the servicer of the securitized assets. There are also risks that the trustee of a CLO does not properly carry out its duties to the CLO, potentially resulting in loss to the CLO. Moreover, the complex structure of the security may produce unexpected investment results, especially during times of market stress or volatility. Investments in structured finance securities may also be subject to liquidity risk.</w:t>
      </w:r>
    </w:p>
    <w:p>
      <w:pPr>
        <w:spacing w:after="0" w:line="87" w:lineRule="exact"/>
        <w:rPr>
          <w:sz w:val="20"/>
          <w:szCs w:val="20"/>
          <w:color w:val="auto"/>
        </w:rPr>
      </w:pPr>
    </w:p>
    <w:p>
      <w:pPr>
        <w:ind w:right="1460"/>
        <w:spacing w:after="0"/>
        <w:rPr>
          <w:sz w:val="20"/>
          <w:szCs w:val="20"/>
          <w:color w:val="auto"/>
        </w:rPr>
      </w:pPr>
      <w:r>
        <w:rPr>
          <w:rFonts w:ascii="Times New Roman" w:cs="Times New Roman" w:eastAsia="Times New Roman" w:hAnsi="Times New Roman"/>
          <w:sz w:val="14"/>
          <w:szCs w:val="14"/>
          <w:color w:val="auto"/>
        </w:rPr>
        <w:t>During 2024, we earned over $200 million in management fees from our CLOs, prior to the effects of consolidation, of which nearly 65% are in the form of subordinated fees. The subordinated fees we generate from our CLO business could be negatively impacted if one or more CLOs fail certain tests related to overcollateralization (including the interest diversion test) set forth in their respective indentures. In the event that worsening credit conditions and/or a deterioration in loan performance generally leads to defaults or downgrades of the CLOs’ underlying collateral obligations, one or more CLOs could fail one or more overcollateralization tests and/or interest diversion tests. These risks are correlated, as when an underlying collateral obligation defaults or is downgraded below a certain threshold, such collateral obligation is then carried below par for the purpose of overcollateralization and interest diversion testing, making a failure of any such test more likely to occur. Any such failure would result in funds otherwise available to pay the management fees we earn on such investment vehicle to instead be used to either pay down the principal on the securities issued by such vehicle in an amount necessary to cause such tests to pass or purchase sufficient collateral in an amount necessary to cause such CLO to pass such tests. If either of these scenarios occurred, there is the potential that the remaining funds would be insufficient to pay expected management fees on any such CLO, which would result in either a temporary deferral or permanent loss of such management fees.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Underwriting, syndicating, and securities placement activities expose us to risks.</w:t>
      </w:r>
    </w:p>
    <w:p>
      <w:pPr>
        <w:ind w:right="1580" w:firstLine="615"/>
        <w:spacing w:after="0" w:line="203" w:lineRule="auto"/>
        <w:rPr>
          <w:sz w:val="20"/>
          <w:szCs w:val="20"/>
          <w:color w:val="auto"/>
        </w:rPr>
      </w:pPr>
      <w:r>
        <w:rPr>
          <w:rFonts w:ascii="Times New Roman" w:cs="Times New Roman" w:eastAsia="Times New Roman" w:hAnsi="Times New Roman"/>
          <w:sz w:val="16"/>
          <w:szCs w:val="16"/>
          <w:color w:val="auto"/>
        </w:rPr>
        <w:t>TCG Capital Markets may act as an underwriter, syndicator, or placement agent for security offerings and TCG Senior Funding L.L.C. may act as an underwriter, originator, syndicator, or placement agent in loan originations. If we are unable to sell securities or place loans at the anticipated price levels where we act as an underwriter, syndicator, or placement agent, we may incur losses and suffer reputational harm.</w:t>
      </w:r>
    </w:p>
    <w:p>
      <w:pPr>
        <w:spacing w:after="0" w:line="205" w:lineRule="auto"/>
        <w:rPr>
          <w:sz w:val="20"/>
          <w:szCs w:val="20"/>
          <w:color w:val="auto"/>
        </w:rPr>
      </w:pPr>
      <w:r>
        <w:rPr>
          <w:rFonts w:ascii="Times New Roman" w:cs="Times New Roman" w:eastAsia="Times New Roman" w:hAnsi="Times New Roman"/>
          <w:sz w:val="16"/>
          <w:szCs w:val="16"/>
          <w:color w:val="auto"/>
        </w:rPr>
        <w:t>As an underwriter, syndicator, or placement agent, we also may be subject to potential liability for material</w:t>
      </w:r>
    </w:p>
    <w:p>
      <w:pPr>
        <w:spacing w:after="0" w:line="1" w:lineRule="exact"/>
        <w:rPr>
          <w:sz w:val="20"/>
          <w:szCs w:val="20"/>
          <w:color w:val="auto"/>
        </w:rPr>
      </w:pPr>
    </w:p>
    <w:p>
      <w:pPr>
        <w:ind w:right="1500"/>
        <w:spacing w:after="0" w:line="268" w:lineRule="auto"/>
        <w:rPr>
          <w:sz w:val="20"/>
          <w:szCs w:val="20"/>
          <w:color w:val="auto"/>
        </w:rPr>
      </w:pPr>
      <w:r>
        <w:rPr>
          <w:rFonts w:ascii="Times New Roman" w:cs="Times New Roman" w:eastAsia="Times New Roman" w:hAnsi="Times New Roman"/>
          <w:sz w:val="14"/>
          <w:szCs w:val="14"/>
          <w:color w:val="auto"/>
        </w:rPr>
        <w:t>misstatements or omissions in prospectuses and other offering documents relating to offerings we underwrite, syndicate, or place. In certain situations, we may have liabilities arising from transactions in which our investment fund may participate as a</w:t>
      </w:r>
    </w:p>
    <w:p>
      <w:pPr>
        <w:sectPr>
          <w:pgSz w:w="11900" w:h="16840" w:orient="portrait"/>
          <w:cols w:equalWidth="0" w:num="1">
            <w:col w:w="9400"/>
          </w:cols>
          <w:pgMar w:left="1060" w:top="557" w:right="1440" w:bottom="1"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purchase or a seller of securities, which could constitute a conflict of interest or subject us to damages or reputational harm.</w:t>
      </w:r>
    </w:p>
    <w:p>
      <w:pPr>
        <w:spacing w:after="0" w:line="220" w:lineRule="auto"/>
        <w:rPr>
          <w:sz w:val="20"/>
          <w:szCs w:val="20"/>
          <w:color w:val="auto"/>
        </w:rPr>
      </w:pPr>
      <w:r>
        <w:rPr>
          <w:rFonts w:ascii="Times New Roman" w:cs="Times New Roman" w:eastAsia="Times New Roman" w:hAnsi="Times New Roman"/>
          <w:sz w:val="16"/>
          <w:szCs w:val="16"/>
          <w:b w:val="1"/>
          <w:bCs w:val="1"/>
          <w:i w:val="1"/>
          <w:iCs w:val="1"/>
          <w:color w:val="auto"/>
        </w:rPr>
        <w:t>Our Global Investment Solutions business is subject to additional risks.</w:t>
      </w:r>
    </w:p>
    <w:p>
      <w:pPr>
        <w:spacing w:after="0" w:line="204" w:lineRule="auto"/>
        <w:rPr>
          <w:sz w:val="20"/>
          <w:szCs w:val="20"/>
          <w:color w:val="auto"/>
        </w:rPr>
      </w:pPr>
      <w:r>
        <w:rPr>
          <w:rFonts w:ascii="Times New Roman" w:cs="Times New Roman" w:eastAsia="Times New Roman" w:hAnsi="Times New Roman"/>
          <w:sz w:val="16"/>
          <w:szCs w:val="16"/>
          <w:color w:val="auto"/>
        </w:rPr>
        <w:t>Our Global Investment Solutions business is subject to additional risks, including the following:</w:t>
      </w:r>
    </w:p>
    <w:p>
      <w:pPr>
        <w:ind w:right="2680"/>
        <w:spacing w:after="0" w:line="213" w:lineRule="auto"/>
        <w:rPr>
          <w:sz w:val="20"/>
          <w:szCs w:val="20"/>
          <w:color w:val="auto"/>
        </w:rPr>
      </w:pPr>
      <w:r>
        <w:rPr>
          <w:rFonts w:ascii="Times New Roman" w:cs="Times New Roman" w:eastAsia="Times New Roman" w:hAnsi="Times New Roman"/>
          <w:sz w:val="16"/>
          <w:szCs w:val="16"/>
          <w:color w:val="auto"/>
        </w:rPr>
        <w:t>•The Global Investment Solutions business is subject to business and other risks and uncertainties generally consistent with our business as a whole, including legal, tax, and regulatory risks; the avoidance or management of conflicts of interest; the ability to attract and retain investment professionals and other personnel; and risks associated with the acquisition of new investment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640"/>
        <w:spacing w:after="0"/>
        <w:rPr>
          <w:sz w:val="20"/>
          <w:szCs w:val="20"/>
          <w:color w:val="auto"/>
        </w:rPr>
      </w:pPr>
      <w:r>
        <w:rPr>
          <w:rFonts w:ascii="Times New Roman" w:cs="Times New Roman" w:eastAsia="Times New Roman" w:hAnsi="Times New Roman"/>
          <w:sz w:val="14"/>
          <w:szCs w:val="14"/>
          <w:color w:val="auto"/>
        </w:rPr>
        <w:t>•Pursuant to our current arrangements with the various businesses, we restrict our participation in the investment activities undertaken by our Global Investment Solutions segment (including with respect to AlpInvest), which may in turn limit our ability to address risks arising from their investment activities. For example, although we maintain ultimate control over AlpInvest, its management team (who are our employees) continues to exercise independent investment authority without involvement by other Carlyle personnel. For so long as these arrangements are in place, we will observe substantial restrictions on our ability to access investment information or engage in day- to-day participation in the AlpInvest investment businesses, including a restriction that AlpInvest investment decisions are made and maintained without involvement by other Carlyle personnel and that no specific investment data, other than data on the investment performance of its investment funds and managed accounts, will be shared. Generally, we have a reduced ability to identify or respond to investment and other operational issues that may arise within the Global Investment Solutions business, relative to other Carlyle investment funds.</w:t>
      </w:r>
    </w:p>
    <w:p>
      <w:pPr>
        <w:spacing w:after="0" w:line="102" w:lineRule="exact"/>
        <w:rPr>
          <w:sz w:val="20"/>
          <w:szCs w:val="20"/>
          <w:color w:val="auto"/>
        </w:rPr>
      </w:pPr>
    </w:p>
    <w:p>
      <w:pPr>
        <w:ind w:right="2540"/>
        <w:spacing w:after="0" w:line="203" w:lineRule="auto"/>
        <w:rPr>
          <w:sz w:val="20"/>
          <w:szCs w:val="20"/>
          <w:color w:val="auto"/>
        </w:rPr>
      </w:pPr>
      <w:r>
        <w:rPr>
          <w:rFonts w:ascii="Times New Roman" w:cs="Times New Roman" w:eastAsia="Times New Roman" w:hAnsi="Times New Roman"/>
          <w:sz w:val="16"/>
          <w:szCs w:val="16"/>
          <w:color w:val="auto"/>
        </w:rPr>
        <w:t>•Similar to other parts of our business, Global Investment Solutions is seeking to broaden its investor base by raising funds and advising separate accounts for investors on an account -by- account basis and the number and complexity of such investor mandates and fund structures has increased as a result of continuing fundraising efforts, and the activation of mandates with existing investors.</w:t>
      </w:r>
    </w:p>
    <w:p>
      <w:pPr>
        <w:spacing w:after="0" w:line="2" w:lineRule="exact"/>
        <w:rPr>
          <w:sz w:val="20"/>
          <w:szCs w:val="20"/>
          <w:color w:val="auto"/>
        </w:rPr>
      </w:pPr>
    </w:p>
    <w:p>
      <w:pPr>
        <w:ind w:right="2520"/>
        <w:spacing w:after="0" w:line="232" w:lineRule="auto"/>
        <w:rPr>
          <w:sz w:val="20"/>
          <w:szCs w:val="20"/>
          <w:color w:val="auto"/>
        </w:rPr>
      </w:pPr>
      <w:r>
        <w:rPr>
          <w:rFonts w:ascii="Times New Roman" w:cs="Times New Roman" w:eastAsia="Times New Roman" w:hAnsi="Times New Roman"/>
          <w:sz w:val="14"/>
          <w:szCs w:val="14"/>
          <w:color w:val="auto"/>
        </w:rPr>
        <w:t>•Conflicts may arise between such Global Investment Solutions funds or separate managed accounts (e.g., competition for investment opportunities), and in some cases conflicts may arise between a Global Investment Solutions fund or managed account and a Carlyle fund. In addition, certain managed accounts may have different or heightened standards of care, and if they invest in other investment funds sponsored by us could result in lower management fees and carried interest to us than Carlyle’s typical investment funds.</w:t>
      </w:r>
    </w:p>
    <w:p>
      <w:pPr>
        <w:spacing w:after="0" w:line="2" w:lineRule="exact"/>
        <w:rPr>
          <w:sz w:val="20"/>
          <w:szCs w:val="20"/>
          <w:color w:val="auto"/>
        </w:rPr>
      </w:pPr>
    </w:p>
    <w:p>
      <w:pPr>
        <w:ind w:right="2580"/>
        <w:spacing w:after="0" w:line="203" w:lineRule="auto"/>
        <w:rPr>
          <w:sz w:val="20"/>
          <w:szCs w:val="20"/>
          <w:color w:val="auto"/>
        </w:rPr>
      </w:pPr>
      <w:r>
        <w:rPr>
          <w:rFonts w:ascii="Times New Roman" w:cs="Times New Roman" w:eastAsia="Times New Roman" w:hAnsi="Times New Roman"/>
          <w:sz w:val="16"/>
          <w:szCs w:val="16"/>
          <w:color w:val="auto"/>
        </w:rPr>
        <w:t>•Our Global Investment Solutions business is separated from the rest of the firm by an informational wall designed to prevent certain types of information from flowing from the Global Investment Solutions platform to the rest of the firm. This information barrier limits the collaboration between our investment professionals with respect to specific investments.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Industry Risks Related to the Assets We Manage</w:t>
      </w:r>
    </w:p>
    <w:p>
      <w:pPr>
        <w:spacing w:after="0" w:line="1" w:lineRule="exact"/>
        <w:rPr>
          <w:sz w:val="20"/>
          <w:szCs w:val="20"/>
          <w:color w:val="auto"/>
        </w:rPr>
      </w:pPr>
    </w:p>
    <w:p>
      <w:pPr>
        <w:ind w:right="16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real estate funds are subject to risks inherent in the ownership and operation of real estate and the construction and development of real estate.</w:t>
      </w:r>
    </w:p>
    <w:p>
      <w:pPr>
        <w:spacing w:after="0" w:line="1" w:lineRule="exact"/>
        <w:rPr>
          <w:sz w:val="20"/>
          <w:szCs w:val="20"/>
          <w:color w:val="auto"/>
        </w:rPr>
      </w:pPr>
    </w:p>
    <w:p>
      <w:pPr>
        <w:ind w:right="1560" w:firstLine="576"/>
        <w:spacing w:after="0" w:line="203" w:lineRule="auto"/>
        <w:rPr>
          <w:sz w:val="20"/>
          <w:szCs w:val="20"/>
          <w:color w:val="auto"/>
        </w:rPr>
      </w:pPr>
      <w:r>
        <w:rPr>
          <w:rFonts w:ascii="Times New Roman" w:cs="Times New Roman" w:eastAsia="Times New Roman" w:hAnsi="Times New Roman"/>
          <w:sz w:val="16"/>
          <w:szCs w:val="16"/>
          <w:color w:val="auto"/>
        </w:rPr>
        <w:t>Investments in our real estate funds are subject to the risks inherent in the ownership and operation of real estate and real estate-related businesses and assets. These risks include the following: •those associated with the burdens of ownership of real property;</w:t>
      </w:r>
    </w:p>
    <w:p>
      <w:pPr>
        <w:spacing w:after="0" w:line="205" w:lineRule="auto"/>
        <w:rPr>
          <w:sz w:val="20"/>
          <w:szCs w:val="20"/>
          <w:color w:val="auto"/>
        </w:rPr>
      </w:pPr>
      <w:r>
        <w:rPr>
          <w:rFonts w:ascii="Times New Roman" w:cs="Times New Roman" w:eastAsia="Times New Roman" w:hAnsi="Times New Roman"/>
          <w:sz w:val="16"/>
          <w:szCs w:val="16"/>
          <w:color w:val="auto"/>
        </w:rPr>
        <w:t>•general and local economic conditions;</w:t>
      </w:r>
    </w:p>
    <w:p>
      <w:pPr>
        <w:ind w:right="3300"/>
        <w:spacing w:after="0" w:line="203" w:lineRule="auto"/>
        <w:rPr>
          <w:sz w:val="20"/>
          <w:szCs w:val="20"/>
          <w:color w:val="auto"/>
        </w:rPr>
      </w:pPr>
      <w:r>
        <w:rPr>
          <w:rFonts w:ascii="Times New Roman" w:cs="Times New Roman" w:eastAsia="Times New Roman" w:hAnsi="Times New Roman"/>
          <w:sz w:val="16"/>
          <w:szCs w:val="16"/>
          <w:color w:val="auto"/>
        </w:rPr>
        <w:t>•changes in supply of and demand for competing properties in an area (as a result, for instance, of overbuilding);</w:t>
      </w:r>
    </w:p>
    <w:p>
      <w:pPr>
        <w:spacing w:after="0" w:line="204" w:lineRule="auto"/>
        <w:rPr>
          <w:sz w:val="20"/>
          <w:szCs w:val="20"/>
          <w:color w:val="auto"/>
        </w:rPr>
      </w:pPr>
      <w:r>
        <w:rPr>
          <w:rFonts w:ascii="Times New Roman" w:cs="Times New Roman" w:eastAsia="Times New Roman" w:hAnsi="Times New Roman"/>
          <w:sz w:val="16"/>
          <w:szCs w:val="16"/>
          <w:color w:val="auto"/>
        </w:rPr>
        <w:t>•changes in interest rates and related increases in borrowing costs;</w:t>
      </w:r>
    </w:p>
    <w:p>
      <w:pPr>
        <w:spacing w:after="0" w:line="1" w:lineRule="exact"/>
        <w:rPr>
          <w:sz w:val="20"/>
          <w:szCs w:val="20"/>
          <w:color w:val="auto"/>
        </w:rPr>
      </w:pPr>
    </w:p>
    <w:p>
      <w:pPr>
        <w:ind w:right="2880"/>
        <w:spacing w:after="0" w:line="203" w:lineRule="auto"/>
        <w:rPr>
          <w:sz w:val="20"/>
          <w:szCs w:val="20"/>
          <w:color w:val="auto"/>
        </w:rPr>
      </w:pPr>
      <w:r>
        <w:rPr>
          <w:rFonts w:ascii="Times New Roman" w:cs="Times New Roman" w:eastAsia="Times New Roman" w:hAnsi="Times New Roman"/>
          <w:sz w:val="16"/>
          <w:szCs w:val="16"/>
          <w:color w:val="auto"/>
        </w:rPr>
        <w:t>•fluctuations in the average occupancy and room rates for hotel and student housing properties; •changes in demand for commercial office properties (including as a result of an increased prevalence of remote work);</w:t>
      </w:r>
    </w:p>
    <w:p>
      <w:pPr>
        <w:spacing w:after="0" w:line="205" w:lineRule="auto"/>
        <w:rPr>
          <w:sz w:val="20"/>
          <w:szCs w:val="20"/>
          <w:color w:val="auto"/>
        </w:rPr>
      </w:pPr>
      <w:r>
        <w:rPr>
          <w:rFonts w:ascii="Times New Roman" w:cs="Times New Roman" w:eastAsia="Times New Roman" w:hAnsi="Times New Roman"/>
          <w:sz w:val="16"/>
          <w:szCs w:val="16"/>
          <w:color w:val="auto"/>
        </w:rPr>
        <w:t>•population and demographic shifts;</w:t>
      </w:r>
    </w:p>
    <w:p>
      <w:pPr>
        <w:spacing w:after="0" w:line="203" w:lineRule="auto"/>
        <w:rPr>
          <w:sz w:val="20"/>
          <w:szCs w:val="20"/>
          <w:color w:val="auto"/>
        </w:rPr>
      </w:pPr>
      <w:r>
        <w:rPr>
          <w:rFonts w:ascii="Times New Roman" w:cs="Times New Roman" w:eastAsia="Times New Roman" w:hAnsi="Times New Roman"/>
          <w:sz w:val="16"/>
          <w:szCs w:val="16"/>
          <w:color w:val="auto"/>
        </w:rPr>
        <w:t>•the financial resources of tenants;</w:t>
      </w:r>
    </w:p>
    <w:p>
      <w:pPr>
        <w:spacing w:after="0" w:line="204" w:lineRule="auto"/>
        <w:rPr>
          <w:sz w:val="20"/>
          <w:szCs w:val="20"/>
          <w:color w:val="auto"/>
        </w:rPr>
      </w:pPr>
      <w:r>
        <w:rPr>
          <w:rFonts w:ascii="Times New Roman" w:cs="Times New Roman" w:eastAsia="Times New Roman" w:hAnsi="Times New Roman"/>
          <w:sz w:val="16"/>
          <w:szCs w:val="16"/>
          <w:color w:val="auto"/>
        </w:rPr>
        <w:t>•defaults by borrowers or tenants;</w:t>
      </w:r>
    </w:p>
    <w:p>
      <w:pPr>
        <w:spacing w:after="0"/>
        <w:rPr>
          <w:sz w:val="20"/>
          <w:szCs w:val="20"/>
          <w:color w:val="auto"/>
        </w:rPr>
      </w:pPr>
      <w:r>
        <w:rPr>
          <w:rFonts w:ascii="Times New Roman" w:cs="Times New Roman" w:eastAsia="Times New Roman" w:hAnsi="Times New Roman"/>
          <w:sz w:val="16"/>
          <w:szCs w:val="16"/>
          <w:color w:val="auto"/>
        </w:rPr>
        <w:t>•changes in building, environmental, zoning, and other laws;</w:t>
      </w:r>
    </w:p>
    <w:p>
      <w:pPr>
        <w:sectPr>
          <w:pgSz w:w="11900" w:h="16840" w:orient="portrait"/>
          <w:cols w:equalWidth="0" w:num="1">
            <w:col w:w="9400"/>
          </w:cols>
          <w:pgMar w:left="1060" w:top="557"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•restrictive covenants, encumbrances, and other land or use restrictions;</w:t>
      </w:r>
    </w:p>
    <w:p>
      <w:pPr>
        <w:spacing w:after="0" w:line="203" w:lineRule="auto"/>
        <w:rPr>
          <w:sz w:val="20"/>
          <w:szCs w:val="20"/>
          <w:color w:val="auto"/>
        </w:rPr>
      </w:pPr>
      <w:r>
        <w:rPr>
          <w:rFonts w:ascii="Times New Roman" w:cs="Times New Roman" w:eastAsia="Times New Roman" w:hAnsi="Times New Roman"/>
          <w:sz w:val="16"/>
          <w:szCs w:val="16"/>
          <w:color w:val="auto"/>
        </w:rPr>
        <w:t>•failure to obtain necessary approvals and/or permits;</w:t>
      </w:r>
    </w:p>
    <w:p>
      <w:pPr>
        <w:spacing w:after="0" w:line="204" w:lineRule="auto"/>
        <w:rPr>
          <w:sz w:val="20"/>
          <w:szCs w:val="20"/>
          <w:color w:val="auto"/>
        </w:rPr>
      </w:pPr>
      <w:r>
        <w:rPr>
          <w:rFonts w:ascii="Times New Roman" w:cs="Times New Roman" w:eastAsia="Times New Roman" w:hAnsi="Times New Roman"/>
          <w:sz w:val="16"/>
          <w:szCs w:val="16"/>
          <w:color w:val="auto"/>
        </w:rPr>
        <w:t>•energy and supply shortages;</w:t>
      </w:r>
    </w:p>
    <w:p>
      <w:pPr>
        <w:spacing w:after="0" w:line="203" w:lineRule="auto"/>
        <w:rPr>
          <w:sz w:val="20"/>
          <w:szCs w:val="20"/>
          <w:color w:val="auto"/>
        </w:rPr>
      </w:pPr>
      <w:r>
        <w:rPr>
          <w:rFonts w:ascii="Times New Roman" w:cs="Times New Roman" w:eastAsia="Times New Roman" w:hAnsi="Times New Roman"/>
          <w:sz w:val="16"/>
          <w:szCs w:val="16"/>
          <w:color w:val="auto"/>
        </w:rPr>
        <w:t>•casualty or condemnation losses;</w:t>
      </w:r>
    </w:p>
    <w:p>
      <w:pPr>
        <w:spacing w:after="0" w:line="204" w:lineRule="auto"/>
        <w:rPr>
          <w:sz w:val="20"/>
          <w:szCs w:val="20"/>
          <w:color w:val="auto"/>
        </w:rPr>
      </w:pPr>
      <w:r>
        <w:rPr>
          <w:rFonts w:ascii="Times New Roman" w:cs="Times New Roman" w:eastAsia="Times New Roman" w:hAnsi="Times New Roman"/>
          <w:sz w:val="16"/>
          <w:szCs w:val="16"/>
          <w:color w:val="auto"/>
        </w:rPr>
        <w:t>•various uninsured or uninsurable risks;</w:t>
      </w:r>
    </w:p>
    <w:p>
      <w:pPr>
        <w:ind w:right="2540"/>
        <w:spacing w:after="0" w:line="203" w:lineRule="auto"/>
        <w:rPr>
          <w:sz w:val="20"/>
          <w:szCs w:val="20"/>
          <w:color w:val="auto"/>
        </w:rPr>
      </w:pPr>
      <w:r>
        <w:rPr>
          <w:rFonts w:ascii="Times New Roman" w:cs="Times New Roman" w:eastAsia="Times New Roman" w:hAnsi="Times New Roman"/>
          <w:sz w:val="16"/>
          <w:szCs w:val="16"/>
          <w:color w:val="auto"/>
        </w:rPr>
        <w:t>•natural disasters, including increased physical risks from climate change such as event-driven exposures resulting from the increased severity of extreme weather events, such as cyclones, hurricanes, wildfires, or floods, and consequences of longer -term shifts in climate patterns, for example, sustained higher temperatures that may cause sea levels to rise or chronic heat waves, and the effects of climate change on supply and demand;</w:t>
      </w:r>
    </w:p>
    <w:p>
      <w:pPr>
        <w:spacing w:after="0" w:line="2" w:lineRule="exact"/>
        <w:rPr>
          <w:sz w:val="20"/>
          <w:szCs w:val="20"/>
          <w:color w:val="auto"/>
        </w:rPr>
      </w:pPr>
    </w:p>
    <w:p>
      <w:pPr>
        <w:ind w:right="2620"/>
        <w:spacing w:after="0" w:line="203" w:lineRule="auto"/>
        <w:rPr>
          <w:sz w:val="20"/>
          <w:szCs w:val="20"/>
          <w:color w:val="auto"/>
        </w:rPr>
      </w:pPr>
      <w:r>
        <w:rPr>
          <w:rFonts w:ascii="Times New Roman" w:cs="Times New Roman" w:eastAsia="Times New Roman" w:hAnsi="Times New Roman"/>
          <w:sz w:val="16"/>
          <w:szCs w:val="16"/>
          <w:color w:val="auto"/>
        </w:rPr>
        <w:t>•changes in government statutes, regulations, or regulatory action or regulatory interpretation at the federal, state, or local level (such as vacancy control, rent control, pricing software or practices, and climate change); •changes in the way real estate is occupied as a result of pandemics or other unforeseen events; •changes in real property tax rates and operating expenses;</w:t>
      </w:r>
    </w:p>
    <w:p>
      <w:pPr>
        <w:spacing w:after="0" w:line="2" w:lineRule="exact"/>
        <w:rPr>
          <w:sz w:val="20"/>
          <w:szCs w:val="20"/>
          <w:color w:val="auto"/>
        </w:rPr>
      </w:pPr>
    </w:p>
    <w:p>
      <w:pPr>
        <w:ind w:right="2760"/>
        <w:spacing w:after="0" w:line="203" w:lineRule="auto"/>
        <w:rPr>
          <w:sz w:val="20"/>
          <w:szCs w:val="20"/>
          <w:color w:val="auto"/>
        </w:rPr>
      </w:pPr>
      <w:r>
        <w:rPr>
          <w:rFonts w:ascii="Times New Roman" w:cs="Times New Roman" w:eastAsia="Times New Roman" w:hAnsi="Times New Roman"/>
          <w:sz w:val="16"/>
          <w:szCs w:val="16"/>
          <w:color w:val="auto"/>
        </w:rPr>
        <w:t>•the reduced availability of mortgage funds or other forms of financings, including construction financing, which may render the sale or refinancing of properties difficult or impracticable; •inability to meet debt obligations;</w:t>
      </w:r>
    </w:p>
    <w:p>
      <w:pPr>
        <w:spacing w:after="0" w:line="1" w:lineRule="exact"/>
        <w:rPr>
          <w:sz w:val="20"/>
          <w:szCs w:val="20"/>
          <w:color w:val="auto"/>
        </w:rPr>
      </w:pPr>
    </w:p>
    <w:p>
      <w:pPr>
        <w:ind w:right="2560"/>
        <w:spacing w:after="0" w:line="203" w:lineRule="auto"/>
        <w:rPr>
          <w:sz w:val="20"/>
          <w:szCs w:val="20"/>
          <w:color w:val="auto"/>
        </w:rPr>
      </w:pPr>
      <w:r>
        <w:rPr>
          <w:rFonts w:ascii="Times New Roman" w:cs="Times New Roman" w:eastAsia="Times New Roman" w:hAnsi="Times New Roman"/>
          <w:sz w:val="16"/>
          <w:szCs w:val="16"/>
          <w:color w:val="auto"/>
        </w:rPr>
        <w:t>•breaches by third parties of their contractual obligations, including ground lessors, ground lessees, landlords, and tenants;</w:t>
      </w:r>
    </w:p>
    <w:p>
      <w:pPr>
        <w:spacing w:after="0" w:line="1" w:lineRule="exact"/>
        <w:rPr>
          <w:sz w:val="20"/>
          <w:szCs w:val="20"/>
          <w:color w:val="auto"/>
        </w:rPr>
      </w:pPr>
    </w:p>
    <w:p>
      <w:pPr>
        <w:jc w:val="both"/>
        <w:ind w:right="3940"/>
        <w:spacing w:after="0" w:line="203" w:lineRule="auto"/>
        <w:rPr>
          <w:sz w:val="20"/>
          <w:szCs w:val="20"/>
          <w:color w:val="auto"/>
        </w:rPr>
      </w:pPr>
      <w:r>
        <w:rPr>
          <w:rFonts w:ascii="Times New Roman" w:cs="Times New Roman" w:eastAsia="Times New Roman" w:hAnsi="Times New Roman"/>
          <w:sz w:val="16"/>
          <w:szCs w:val="16"/>
          <w:color w:val="auto"/>
        </w:rPr>
        <w:t>•claims by third parties, including adjacent landowners, and homeowners’ associations; •negative developments in the economy that depress travel and leasing activity or rents; •environmental liabilities;</w:t>
      </w:r>
    </w:p>
    <w:p>
      <w:pPr>
        <w:spacing w:after="0" w:line="205" w:lineRule="auto"/>
        <w:rPr>
          <w:sz w:val="20"/>
          <w:szCs w:val="20"/>
          <w:color w:val="auto"/>
        </w:rPr>
      </w:pPr>
      <w:r>
        <w:rPr>
          <w:rFonts w:ascii="Times New Roman" w:cs="Times New Roman" w:eastAsia="Times New Roman" w:hAnsi="Times New Roman"/>
          <w:sz w:val="16"/>
          <w:szCs w:val="16"/>
          <w:color w:val="auto"/>
        </w:rPr>
        <w:t>•contingent liabilities on disposition of assets;</w:t>
      </w:r>
    </w:p>
    <w:p>
      <w:pPr>
        <w:ind w:right="4440"/>
        <w:spacing w:after="0" w:line="203" w:lineRule="auto"/>
        <w:rPr>
          <w:sz w:val="20"/>
          <w:szCs w:val="20"/>
          <w:color w:val="auto"/>
        </w:rPr>
      </w:pPr>
      <w:r>
        <w:rPr>
          <w:rFonts w:ascii="Times New Roman" w:cs="Times New Roman" w:eastAsia="Times New Roman" w:hAnsi="Times New Roman"/>
          <w:sz w:val="16"/>
          <w:szCs w:val="16"/>
          <w:color w:val="auto"/>
        </w:rPr>
        <w:t>•increase in insurance premiums and changes to the insurance market; •unexpected cost overruns and delays in connection with development projects; •terrorist attacks, war, and other factors that are beyond our control; and •dependence on local operating partners.</w:t>
      </w:r>
    </w:p>
    <w:p>
      <w:pPr>
        <w:spacing w:after="0" w:line="205" w:lineRule="auto"/>
        <w:rPr>
          <w:sz w:val="20"/>
          <w:szCs w:val="20"/>
          <w:color w:val="auto"/>
        </w:rPr>
      </w:pPr>
      <w:r>
        <w:rPr>
          <w:rFonts w:ascii="Times New Roman" w:cs="Times New Roman" w:eastAsia="Times New Roman" w:hAnsi="Times New Roman"/>
          <w:sz w:val="16"/>
          <w:szCs w:val="16"/>
          <w:color w:val="auto"/>
        </w:rPr>
        <w:t>Our real estate funds’ portfolio investments are subject to various risks that cause fluctuations in occupancy, rental</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rates, operating income, and expenses or that render the sale or financing of the funds’ portfolio investment properties difficult or unattractive, which risks were exacerbated by the COVID -19 pandemic and may be further exacerbated by another pandemic or global health crisis. For example, following the termination or expiration of a tenant’s lease, there could be a period of time before a funds’ portfolio investment will begin receiving rental payments under a replacement lease. During that period, the portfolio investments (and, indirectly, the funds) will continue to bear fixed expenses such as interest, real estate taxes, maintenance, and other operating expenses. In addition, declining economic conditions could impair the portfolio investments’ ability to attract replacement tenants and achieve rental rates equal to or greater than the rents paid under previous leases. Increased competition for tenants would require the portfolio investments to make capital improvements to properties that we would not otherwise have planned. Any unbudgeted capital improvements that a fund undertakes may divert cash that would otherwise be available for distribution to investors. To the extent that the portfolio investments are unable to renew leases or re-</w:t>
      </w:r>
    </w:p>
    <w:p>
      <w:pPr>
        <w:sectPr>
          <w:pgSz w:w="11900" w:h="16840" w:orient="portrait"/>
          <w:cols w:equalWidth="0" w:num="1">
            <w:col w:w="9400"/>
          </w:cols>
          <w:pgMar w:left="1060" w:top="144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81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80"/>
        <w:spacing w:after="0" w:line="211" w:lineRule="auto"/>
        <w:rPr>
          <w:sz w:val="20"/>
          <w:szCs w:val="20"/>
          <w:color w:val="auto"/>
        </w:rPr>
      </w:pPr>
      <w:r>
        <w:rPr>
          <w:rFonts w:ascii="Times New Roman" w:cs="Times New Roman" w:eastAsia="Times New Roman" w:hAnsi="Times New Roman"/>
          <w:sz w:val="16"/>
          <w:szCs w:val="16"/>
          <w:color w:val="auto"/>
        </w:rPr>
        <w:t>let spaces as leases expire, decreased cash flow from tenants will result, which would adversely impact the relevant fund’s returns. Our real estate funds may also make investments in residential real estate projects and/or otherwise participate in financing opportunities relating to residential real estate assets or portfolios thereof from time to time, which may be more highly susceptible to adverse changes in prevailing economic and/or market conditions and present additional risks relative to the ownership and operation of commercial real estate assets.</w:t>
      </w:r>
    </w:p>
    <w:p>
      <w:pPr>
        <w:ind w:left="560"/>
        <w:spacing w:after="0"/>
        <w:rPr>
          <w:sz w:val="20"/>
          <w:szCs w:val="20"/>
          <w:color w:val="auto"/>
        </w:rPr>
      </w:pPr>
      <w:r>
        <w:rPr>
          <w:rFonts w:ascii="Times New Roman" w:cs="Times New Roman" w:eastAsia="Times New Roman" w:hAnsi="Times New Roman"/>
          <w:sz w:val="16"/>
          <w:szCs w:val="16"/>
          <w:color w:val="auto"/>
        </w:rPr>
        <w:t>With regard to potential environmental liabilities, ownership of real assets in our investment funds or vehicles may</w:t>
      </w:r>
    </w:p>
    <w:p>
      <w:pPr>
        <w:spacing w:after="0" w:line="3"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increase our risk of liability under laws that impose, regardless of fault, joint and several liability for the cost of remediating contamination and compensation for damages. In addition, changes in environmental laws or regulations or the environmental condition of an investment may create liabilities that did not exist at the time of acquisition. Even in cases where we are indemnified by a seller against liabilities arising out of violations of environmental laws and regulations, there can be no assurance as to the financial viability of the seller to satisfy such indemnities or our ability to achieve enforcement of such indemnities.</w:t>
      </w:r>
    </w:p>
    <w:p>
      <w:pPr>
        <w:spacing w:after="0" w:line="206" w:lineRule="auto"/>
        <w:rPr>
          <w:sz w:val="20"/>
          <w:szCs w:val="20"/>
          <w:color w:val="auto"/>
        </w:rPr>
      </w:pPr>
      <w:r>
        <w:rPr>
          <w:rFonts w:ascii="Times New Roman" w:cs="Times New Roman" w:eastAsia="Times New Roman" w:hAnsi="Times New Roman"/>
          <w:sz w:val="16"/>
          <w:szCs w:val="16"/>
          <w:color w:val="auto"/>
        </w:rPr>
        <w:t>In addition to real property assets, our real estate funds may also invest in real estate related operating companies such</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as logistics hubs, data centers, marinas, or certain event spaces. These investments are similar to the portfolio investments made by our buyout and growth funds and are subject to similar risks and uncertainties as apply to those operating companies. See “Risks Related to Our Business Operations—Risks Related to the Assets We Manage—The investments of our private equity funds are subject to a number of inherent risks.”</w:t>
      </w:r>
    </w:p>
    <w:p>
      <w:pPr>
        <w:spacing w:after="0" w:line="2"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Real estate markets may experience sharp increases in capitalization rates and declines in value as a result of overall economic decline and the limited availability of financing and the value of certain investments in our real estate funds may decline significantly. In addition, if our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Moreover, our real estate funds’ properties are often managed by a third party, which makes us dependent upon such third parties and subjects us to risks associated with the actions of such third parties. Any of these factors may cause the value of the investments in our real estate funds to decline, which may have a material impact on our results of operations.</w:t>
      </w:r>
    </w:p>
    <w:p>
      <w:pPr>
        <w:spacing w:after="0" w:line="5"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In addition, lenders in commercial real estate financing typically require a non-recourse carveout guarantee and environmental indemnity, which typically provides that the lender can recover losses from guarantors for certain bad acts, such as fraud or intentional misrepresentation, intentional waste, willful misconduct, criminal acts, misappropriation of funds, voluntary incurrence of prohibited debt, and environmental losses sustained by the lender. For our acquisitions, non -recourse carveout guarantees and environmental indemnities may be extended by our funds. We expect that commercial real estate financing arrangements generally will increasingly continue to require non-recourse carveout guarantees and environmental indemnities. In addition, lenders may require interest, carry, and/or payment guarantees in connection with a real estate financing arrangement, which may be provided by the fund. In the event that any such guarantee or indemnity is called, a fund’s or our assets could be negatively impacted and we or our funds may be subject to liability.</w:t>
      </w:r>
    </w:p>
    <w:p>
      <w:pPr>
        <w:spacing w:after="0" w:line="4"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The acquisition, ownership, and disposition of real properties carry certain specific litigation risks. Litigation may be commenced with respect to a property acquired in relation to events or circumstances relating to periods prior to the acquisition of such property. In addition, at the time of disposition, other potential buyers may bring claims related to the asset or for due diligence expenses or other damages. After the sale of a real estate asset, buyers may later sue our funds or us for losses associated with latent defects or other problems not uncovered in due diligence. Litigation can arise for events or circumstances that occur or are alleged to occur during the ownership period.</w:t>
      </w:r>
    </w:p>
    <w:p>
      <w:pPr>
        <w:spacing w:after="0" w:line="3" w:lineRule="exact"/>
        <w:rPr>
          <w:sz w:val="20"/>
          <w:szCs w:val="20"/>
          <w:color w:val="auto"/>
        </w:rPr>
      </w:pPr>
    </w:p>
    <w:p>
      <w:pPr>
        <w:ind w:right="1580"/>
        <w:spacing w:after="0" w:line="207" w:lineRule="auto"/>
        <w:rPr>
          <w:sz w:val="20"/>
          <w:szCs w:val="20"/>
          <w:color w:val="auto"/>
        </w:rPr>
      </w:pPr>
      <w:r>
        <w:rPr>
          <w:rFonts w:ascii="Times New Roman" w:cs="Times New Roman" w:eastAsia="Times New Roman" w:hAnsi="Times New Roman"/>
          <w:sz w:val="16"/>
          <w:szCs w:val="16"/>
          <w:color w:val="auto"/>
        </w:rPr>
        <w:t>We or our funds may also be subject to certain risks associated with investments and, in particular, real estate-related assets. Real estate investment trusts (“REITs”) and other types of owners may be affected by changes in the value of their underlying properties and defaults by borrowers or tenants and, in the case of REITs, changes in tax laws or by a failure to qualify for tax-free pass through income could impair a REIT’s ability to generate cash flows to make distributions. Qualification as a REIT also depends on a REIT’s ability to meet various requirements imposed by the U.S. Internal Revenue Code of 1986, as amended (the “Code”), which relate to organizational structure, annual distributions, diversity of stock ownership, and certain restrictions with regard to the nature of their assets and the sources of their income. If a REIT fails to qualify as a REIT in any taxable year, it will be subject to U.S. federal income tax at regular corporate rates, and applicable state and local taxes, which would reduce the amount of cash available for distribution to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Investments in real estate debt investments may be unsecured and/or subordinated to a substantial amount of indebtedness and may not be protected by financial covenants. Non-performing real estate loans may require a substantial amount of workout negotiations and/or modification, which may entail, among other things, a substantial reduction in the interest rate and a substantial write-down of the principal of such loan. Investments in commercial mortgage loans are subject to risks of delinquency, foreclosure, and loss of principal. In the event of any default under a mortgage loan held directly by us or one of our funds, we or our fund will bear a risk of loss of principal to the extent of any deficiency between the value of the collateral and the principal and accrued interest of the loan. Investments in distressed assets or businesses may have little or no near-term cash flow, involve a high degree of risk and, if subject to bankruptcy or insolvency, could be subordinated or disallowed.</w:t>
      </w:r>
    </w:p>
    <w:p>
      <w:pPr>
        <w:spacing w:after="0" w:line="4"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energy business is involved in oil and gas investments (i.e, exploration, production, storage, transportation, logistics, refining, marketing, trading, petrochemicals, energy services, and other opportunistic investments), which entail a high degree of risk.</w:t>
      </w:r>
    </w:p>
    <w:p>
      <w:pPr>
        <w:spacing w:after="0" w:line="1" w:lineRule="exact"/>
        <w:rPr>
          <w:sz w:val="20"/>
          <w:szCs w:val="20"/>
          <w:color w:val="auto"/>
        </w:rPr>
      </w:pPr>
    </w:p>
    <w:p>
      <w:pPr>
        <w:ind w:right="2720"/>
        <w:spacing w:after="0" w:line="203" w:lineRule="auto"/>
        <w:rPr>
          <w:sz w:val="20"/>
          <w:szCs w:val="20"/>
          <w:color w:val="auto"/>
        </w:rPr>
      </w:pPr>
      <w:r>
        <w:rPr>
          <w:rFonts w:ascii="Times New Roman" w:cs="Times New Roman" w:eastAsia="Times New Roman" w:hAnsi="Times New Roman"/>
          <w:sz w:val="16"/>
          <w:szCs w:val="16"/>
          <w:color w:val="auto"/>
        </w:rPr>
        <w:t>Our energy teams focus on investments in businesses involved in oil and gas production, development, and exploration, which can be a speculative business involving a high degree of risk, including: •the use of new technologies;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•reliance on estimates of oil and gas reserves in the evaluation of available geological, geophysical,</w:t>
      </w:r>
    </w:p>
    <w:p>
      <w:pPr>
        <w:sectPr>
          <w:pgSz w:w="11900" w:h="16840" w:orient="portrait"/>
          <w:cols w:equalWidth="0" w:num="1">
            <w:col w:w="9400"/>
          </w:cols>
          <w:pgMar w:left="1060" w:top="547" w:right="1440" w:bottom="68"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engineering, and economic data for each reservoir;</w:t>
      </w:r>
    </w:p>
    <w:p>
      <w:pPr>
        <w:ind w:right="2760"/>
        <w:spacing w:after="0" w:line="203" w:lineRule="auto"/>
        <w:rPr>
          <w:sz w:val="20"/>
          <w:szCs w:val="20"/>
          <w:color w:val="auto"/>
        </w:rPr>
      </w:pPr>
      <w:r>
        <w:rPr>
          <w:rFonts w:ascii="Times New Roman" w:cs="Times New Roman" w:eastAsia="Times New Roman" w:hAnsi="Times New Roman"/>
          <w:sz w:val="16"/>
          <w:szCs w:val="16"/>
          <w:color w:val="auto"/>
        </w:rPr>
        <w:t>•encountering unexpected formations or pressures, premature declines of reservoirs, blow-outs, equipment failures and other accidents in completing wells and otherwise, cratering, sour gas releases, uncontrollable flows of oil, natural gas or well fluids, adverse weather conditions, pollution, fires, spills, and other environmental risks;</w:t>
      </w:r>
    </w:p>
    <w:p>
      <w:pPr>
        <w:spacing w:after="0" w:line="2" w:lineRule="exact"/>
        <w:rPr>
          <w:sz w:val="20"/>
          <w:szCs w:val="20"/>
          <w:color w:val="auto"/>
        </w:rPr>
      </w:pPr>
    </w:p>
    <w:p>
      <w:pPr>
        <w:ind w:right="2600"/>
        <w:spacing w:after="0" w:line="204" w:lineRule="auto"/>
        <w:rPr>
          <w:sz w:val="20"/>
          <w:szCs w:val="20"/>
          <w:color w:val="auto"/>
        </w:rPr>
      </w:pPr>
      <w:r>
        <w:rPr>
          <w:rFonts w:ascii="Times New Roman" w:cs="Times New Roman" w:eastAsia="Times New Roman" w:hAnsi="Times New Roman"/>
          <w:sz w:val="16"/>
          <w:szCs w:val="16"/>
          <w:color w:val="auto"/>
        </w:rPr>
        <w:t>•the volatility of oil and natural gas prices and its impact on the demand for oil and gas products and services (climate change related or otherwise); and</w:t>
      </w:r>
    </w:p>
    <w:p>
      <w:pPr>
        <w:spacing w:after="0" w:line="236" w:lineRule="auto"/>
        <w:rPr>
          <w:sz w:val="20"/>
          <w:szCs w:val="20"/>
          <w:color w:val="auto"/>
        </w:rPr>
      </w:pPr>
      <w:r>
        <w:rPr>
          <w:rFonts w:ascii="Arial" w:cs="Arial" w:eastAsia="Arial" w:hAnsi="Arial"/>
          <w:sz w:val="19"/>
          <w:szCs w:val="19"/>
          <w:color w:val="auto"/>
        </w:rPr>
        <w:t>•</w:t>
      </w:r>
      <w:r>
        <w:rPr>
          <w:rFonts w:ascii="Times New Roman" w:cs="Times New Roman" w:eastAsia="Times New Roman" w:hAnsi="Times New Roman"/>
          <w:sz w:val="15"/>
          <w:szCs w:val="15"/>
          <w:color w:val="auto"/>
        </w:rPr>
        <w:t>potential contributions to climate change, as well as regulations and stakeholder scrutiny related to the same.</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Oil, gas, and product prices are subject to international supply and demand dynamics and, as a consequence, related margins can be volatile. In general, political developments, global conflicts such as Russia’s invasion of Ukraine and the war between Israel and Hamas, see-sawing supply-demand dynamics, technological change, global macroeconomic conditions, public health risks, and changes in the influence of the Organization of Petroleum Exporting Countries (“OPEC”) may continue to impact commodity prices going forward and the financial performance of some of our existing and future investments. Our investments that are exposed to energy prices, either as consumers or producers of energy, and their financial performance has been, and is likely to continue to be, affected by the continued volatility in energy prices. To the extent that current conditions persist or worsen, there may be adverse impacts on the financial performance of the affected businesses, on the availability of financing or credit to them as well as their asset prices and valuations.</w:t>
      </w:r>
    </w:p>
    <w:p>
      <w:pPr>
        <w:ind w:left="20"/>
        <w:spacing w:after="0" w:line="224" w:lineRule="auto"/>
        <w:rPr>
          <w:sz w:val="20"/>
          <w:szCs w:val="20"/>
          <w:color w:val="auto"/>
        </w:rPr>
      </w:pPr>
      <w:r>
        <w:rPr>
          <w:rFonts w:ascii="Times New Roman" w:cs="Times New Roman" w:eastAsia="Times New Roman" w:hAnsi="Times New Roman"/>
          <w:sz w:val="16"/>
          <w:szCs w:val="16"/>
          <w:color w:val="auto"/>
        </w:rPr>
        <w:t>Oil prices tend to experience significant volatility in response to macroeconomic trends, trade developments,</w:t>
      </w:r>
    </w:p>
    <w:p>
      <w:pPr>
        <w:ind w:right="1400"/>
        <w:spacing w:after="0" w:line="206" w:lineRule="auto"/>
        <w:rPr>
          <w:sz w:val="20"/>
          <w:szCs w:val="20"/>
          <w:color w:val="auto"/>
        </w:rPr>
      </w:pPr>
      <w:r>
        <w:rPr>
          <w:rFonts w:ascii="Times New Roman" w:cs="Times New Roman" w:eastAsia="Times New Roman" w:hAnsi="Times New Roman"/>
          <w:sz w:val="16"/>
          <w:szCs w:val="16"/>
          <w:color w:val="auto"/>
        </w:rPr>
        <w:t>geopolitical events, and data on inventories, global demand, future supply, and U.S. dollar strength. Prices for oil and natural gas are subject to wide fluctuation in response to relatively minor changes in the supply of and demand for oil and natural gas, as well as numerous additional factors such as market uncertainty, speculation, the level of consumer product demand, the refining capacity of oil purchasers, weather conditions, domestic and non- U.S. governmental regulations (including with respect to trade and economic sanctions), appreciation or depreciation of the U.S. dollar, the price and availability of alternative fuels, political conditions in the Middle East, Africa, and Eastern Europe, actions of the OPEC, the non -U.S. supply of oil and natural gas, U.S. and global inventories, the price of non-U.S. imports, and overall economic conditions. In addition, changes in commodity prices can vary widely from one location to the next depending upon the characteristics of the production and the availability of gathering, transportation, processing, and storage facilities used to transport the oil and gas to markets. In the event that oil prices decline sharply in the future, or fail to sustain upward price momentum, it is possible our portfolio could be adversely impacted. In the event that global commodity market dislocations persist and energy prices stay elevated or increase sharply in the future, it is possible that our portfolio could be adversely impacted by potential changes in the fiscal regimes that the host countries of our investments apply to energy producers.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In order to better manage these risks, we seek to help a subset of portfolio companies accelerate progress related to</w:t>
      </w:r>
    </w:p>
    <w:p>
      <w:pPr>
        <w:ind w:right="1440"/>
        <w:spacing w:after="0" w:line="203" w:lineRule="auto"/>
        <w:rPr>
          <w:sz w:val="20"/>
          <w:szCs w:val="20"/>
          <w:color w:val="auto"/>
        </w:rPr>
      </w:pPr>
      <w:r>
        <w:rPr>
          <w:rFonts w:ascii="Times New Roman" w:cs="Times New Roman" w:eastAsia="Times New Roman" w:hAnsi="Times New Roman"/>
          <w:sz w:val="16"/>
          <w:szCs w:val="16"/>
          <w:color w:val="auto"/>
        </w:rPr>
        <w:t>climate change and the energy transition. For example, we help select companies to measure, monitor, and manage their carbon emissions, set decarbonization goals and associated pathways, and consider investments in new technologies to build additional long-term value in these companies, and position them to find opportunities in response to changing market dynamics; however, there is no guarantee that such efforts will be successful.</w:t>
      </w:r>
    </w:p>
    <w:p>
      <w:pPr>
        <w:spacing w:after="0" w:line="2" w:lineRule="exact"/>
        <w:rPr>
          <w:sz w:val="20"/>
          <w:szCs w:val="20"/>
          <w:color w:val="auto"/>
        </w:rPr>
      </w:pPr>
    </w:p>
    <w:p>
      <w:pPr>
        <w:ind w:right="18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Investments in the natural resources industry, including the infrastructure, energy, power, and renewables industries, involve various operational, construction, and regulatory risks.</w:t>
      </w:r>
    </w:p>
    <w:p>
      <w:pPr>
        <w:spacing w:after="0" w:line="1" w:lineRule="exact"/>
        <w:rPr>
          <w:sz w:val="20"/>
          <w:szCs w:val="20"/>
          <w:color w:val="auto"/>
        </w:rPr>
      </w:pPr>
    </w:p>
    <w:p>
      <w:pPr>
        <w:ind w:right="21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Natural Resources. </w:t>
      </w:r>
      <w:r>
        <w:rPr>
          <w:rFonts w:ascii="Times New Roman" w:cs="Times New Roman" w:eastAsia="Times New Roman" w:hAnsi="Times New Roman"/>
          <w:sz w:val="16"/>
          <w:szCs w:val="16"/>
          <w:color w:val="auto"/>
        </w:rPr>
        <w:t>Our natural resources portfolio companies may face construction and operational risks typical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energy, infrastructure, and power generation infrastructure businesses, including, among other things: •labor disputes, work stoppages, or shortages of skilled labor;</w:t>
      </w:r>
    </w:p>
    <w:p>
      <w:pPr>
        <w:spacing w:after="0" w:line="205" w:lineRule="auto"/>
        <w:rPr>
          <w:sz w:val="20"/>
          <w:szCs w:val="20"/>
          <w:color w:val="auto"/>
        </w:rPr>
      </w:pPr>
      <w:r>
        <w:rPr>
          <w:rFonts w:ascii="Times New Roman" w:cs="Times New Roman" w:eastAsia="Times New Roman" w:hAnsi="Times New Roman"/>
          <w:sz w:val="16"/>
          <w:szCs w:val="16"/>
          <w:color w:val="auto"/>
        </w:rPr>
        <w:t>•shortages of fuels or materials;</w:t>
      </w:r>
    </w:p>
    <w:p>
      <w:pPr>
        <w:ind w:right="2700"/>
        <w:spacing w:after="0" w:line="203" w:lineRule="auto"/>
        <w:rPr>
          <w:sz w:val="20"/>
          <w:szCs w:val="20"/>
          <w:color w:val="auto"/>
        </w:rPr>
      </w:pPr>
      <w:r>
        <w:rPr>
          <w:rFonts w:ascii="Times New Roman" w:cs="Times New Roman" w:eastAsia="Times New Roman" w:hAnsi="Times New Roman"/>
          <w:sz w:val="16"/>
          <w:szCs w:val="16"/>
          <w:color w:val="auto"/>
        </w:rPr>
        <w:t>•slower than projected construction progress and the unavailability or late delivery of necessary equipment; •delays caused by or in obtaining the necessary regulatory approvals or permits; •adverse weather conditions and unexpected construction conditions;</w:t>
      </w:r>
    </w:p>
    <w:p>
      <w:pPr>
        <w:spacing w:after="0" w:line="205" w:lineRule="auto"/>
        <w:rPr>
          <w:sz w:val="20"/>
          <w:szCs w:val="20"/>
          <w:color w:val="auto"/>
        </w:rPr>
      </w:pPr>
      <w:r>
        <w:rPr>
          <w:rFonts w:ascii="Times New Roman" w:cs="Times New Roman" w:eastAsia="Times New Roman" w:hAnsi="Times New Roman"/>
          <w:sz w:val="16"/>
          <w:szCs w:val="16"/>
          <w:color w:val="auto"/>
        </w:rPr>
        <w:t>•accidents or the breakdown or failure of equipment or processes;</w:t>
      </w:r>
    </w:p>
    <w:p>
      <w:pPr>
        <w:spacing w:after="0" w:line="203" w:lineRule="auto"/>
        <w:rPr>
          <w:sz w:val="20"/>
          <w:szCs w:val="20"/>
          <w:color w:val="auto"/>
        </w:rPr>
      </w:pPr>
      <w:r>
        <w:rPr>
          <w:rFonts w:ascii="Times New Roman" w:cs="Times New Roman" w:eastAsia="Times New Roman" w:hAnsi="Times New Roman"/>
          <w:sz w:val="16"/>
          <w:szCs w:val="16"/>
          <w:color w:val="auto"/>
        </w:rPr>
        <w:t>•difficulties in obtaining suitable or sufficient financing; and</w:t>
      </w:r>
    </w:p>
    <w:p>
      <w:pPr>
        <w:spacing w:after="0" w:line="1" w:lineRule="exact"/>
        <w:rPr>
          <w:sz w:val="20"/>
          <w:szCs w:val="20"/>
          <w:color w:val="auto"/>
        </w:rPr>
      </w:pPr>
    </w:p>
    <w:p>
      <w:pPr>
        <w:ind w:right="2560"/>
        <w:spacing w:after="0" w:line="203" w:lineRule="auto"/>
        <w:rPr>
          <w:sz w:val="20"/>
          <w:szCs w:val="20"/>
          <w:color w:val="auto"/>
        </w:rPr>
      </w:pPr>
      <w:r>
        <w:rPr>
          <w:rFonts w:ascii="Times New Roman" w:cs="Times New Roman" w:eastAsia="Times New Roman" w:hAnsi="Times New Roman"/>
          <w:sz w:val="16"/>
          <w:szCs w:val="16"/>
          <w:color w:val="auto"/>
        </w:rPr>
        <w:t>•force majeure or catastrophic events such as explosions, fires, and terrorist activities and other similar events beyond our control.</w:t>
      </w:r>
    </w:p>
    <w:p>
      <w:pPr>
        <w:spacing w:after="0" w:line="204" w:lineRule="auto"/>
        <w:rPr>
          <w:sz w:val="20"/>
          <w:szCs w:val="20"/>
          <w:color w:val="auto"/>
        </w:rPr>
      </w:pPr>
      <w:r>
        <w:rPr>
          <w:rFonts w:ascii="Times New Roman" w:cs="Times New Roman" w:eastAsia="Times New Roman" w:hAnsi="Times New Roman"/>
          <w:sz w:val="16"/>
          <w:szCs w:val="16"/>
          <w:color w:val="auto"/>
        </w:rPr>
        <w:t>Such developments could result in substantial unanticipated delays or expenses and, under certain circumstances,</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could prevent completion of construction activities once undertaken. Construction costs may exceed estimates for various reasons, including inaccurate engineering and planning, labor and building material costs in excess of expectations, and unanticipated problems with project start- up. Such unexpected increases may result in increased debt service costs and funds being insufficient to complete construction. Portfolio investments under development or portfolio investments acquired to be developed may receive little or no cash flow from the date of acquisition through the date of completion of development and may experience operating deficits after the date of completion. In addition, market conditions may change during the course of development that make such development less attractive than at the time it was commenced. Any events of this nature could severely delay or prevent the completion of, or significantly increase the cost of, the construction. There also are risks inherent in the construction work that may give rise to claims or demands against one of our portfolio companies from time to time. Delays in the completion of any energy or power project may result in lost revenues or increased expenses, including higher operation and maintenance costs related to such portfolio company.</w:t>
      </w:r>
    </w:p>
    <w:p>
      <w:pPr>
        <w:spacing w:after="0" w:line="209" w:lineRule="auto"/>
        <w:rPr>
          <w:sz w:val="20"/>
          <w:szCs w:val="20"/>
          <w:color w:val="auto"/>
        </w:rPr>
      </w:pPr>
      <w:r>
        <w:rPr>
          <w:rFonts w:ascii="Times New Roman" w:cs="Times New Roman" w:eastAsia="Times New Roman" w:hAnsi="Times New Roman"/>
          <w:sz w:val="16"/>
          <w:szCs w:val="16"/>
          <w:i w:val="1"/>
          <w:iCs w:val="1"/>
          <w:color w:val="auto"/>
        </w:rPr>
        <w:t xml:space="preserve">Infrastructure. </w:t>
      </w:r>
      <w:r>
        <w:rPr>
          <w:rFonts w:ascii="Times New Roman" w:cs="Times New Roman" w:eastAsia="Times New Roman" w:hAnsi="Times New Roman"/>
          <w:sz w:val="16"/>
          <w:szCs w:val="16"/>
          <w:color w:val="auto"/>
        </w:rPr>
        <w:t>Investment in infrastructure assets involves certain differentiated risks. Project revenues can be affected</w:t>
      </w:r>
    </w:p>
    <w:p>
      <w:pPr>
        <w:ind w:right="1440"/>
        <w:spacing w:after="0" w:line="244" w:lineRule="auto"/>
        <w:rPr>
          <w:sz w:val="20"/>
          <w:szCs w:val="20"/>
          <w:color w:val="auto"/>
        </w:rPr>
      </w:pPr>
      <w:r>
        <w:rPr>
          <w:rFonts w:ascii="Times New Roman" w:cs="Times New Roman" w:eastAsia="Times New Roman" w:hAnsi="Times New Roman"/>
          <w:sz w:val="14"/>
          <w:szCs w:val="14"/>
          <w:color w:val="auto"/>
        </w:rPr>
        <w:t>by a number of factors. Unanticipated changes in the availability or price of inputs necessary for the operation of infrastructure assets may adversely affect the overall profitability of the investment or related project. Events outside the control of a portfolio company, such as political action, governmental regulation (including potential climate change initiatives), demographic changes, economic growth, increasing fuel prices, government macroeconomic policies, service or product prices, social</w:t>
      </w:r>
    </w:p>
    <w:p>
      <w:pPr>
        <w:sectPr>
          <w:pgSz w:w="11900" w:h="16840" w:orient="portrait"/>
          <w:cols w:equalWidth="0" w:num="1">
            <w:col w:w="9400"/>
          </w:cols>
          <w:pgMar w:left="1060" w:top="547" w:right="1440" w:bottom="6" w:gutter="0" w:footer="0" w:header="0"/>
        </w:sectPr>
      </w:pPr>
    </w:p>
    <w:bookmarkStart w:id="68" w:name="page69"/>
    <w:bookmarkEnd w:id="68"/>
    <w:p>
      <w:pPr>
        <w:ind w:right="1420"/>
        <w:spacing w:after="0" w:line="209" w:lineRule="auto"/>
        <w:rPr>
          <w:sz w:val="20"/>
          <w:szCs w:val="20"/>
          <w:color w:val="auto"/>
        </w:rPr>
      </w:pPr>
      <w:r>
        <w:rPr>
          <w:rFonts w:ascii="Times New Roman" w:cs="Times New Roman" w:eastAsia="Times New Roman" w:hAnsi="Times New Roman"/>
          <w:sz w:val="16"/>
          <w:szCs w:val="16"/>
          <w:color w:val="auto"/>
        </w:rPr>
        <w:t>stability, competition from other businesses and infrastructure, natural disasters (climate change related or otherwise), changes in weather patterns, changes in demand for products or services, bankruptcy or financial difficulty of a major customer, and acts of war or terrorism, could significantly reduce the revenues generated or significantly increase the expense of constructing, operating, maintaining, or restoring infrastructure facilities. In turn, this may impair a portfolio company’s ability to repay its debt, make distributions, or even result in termination of an applicable concession or other agreement. Although portfolio companies may maintain insurance to protect against certain risks, where available on reasonable commercial terms (such as business interruption insurance that is intended to offset loss of revenues during an operational interruption), such insurance is subject to customary deductibles and coverage limits and may not be sufficient to recoup all of an investment’s losses. Moreover, once infrastructure assets of investments become operational, they may face competition from other infrastructure assets in the vicinity of the assets they operate, the presence of which depends in part on governmental plans and policies, over which we have no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Infrastructure investments are subject to substantial government regulation and governments have considerable</w:t>
      </w:r>
    </w:p>
    <w:p>
      <w:pPr>
        <w:ind w:right="1420"/>
        <w:spacing w:after="0" w:line="203" w:lineRule="auto"/>
        <w:rPr>
          <w:sz w:val="20"/>
          <w:szCs w:val="20"/>
          <w:color w:val="auto"/>
        </w:rPr>
      </w:pPr>
      <w:r>
        <w:rPr>
          <w:rFonts w:ascii="Times New Roman" w:cs="Times New Roman" w:eastAsia="Times New Roman" w:hAnsi="Times New Roman"/>
          <w:sz w:val="16"/>
          <w:szCs w:val="16"/>
          <w:color w:val="auto"/>
        </w:rPr>
        <w:t>discretion to implement regulations that could affect the business of infrastructure investing. In many instances, the operation or acquisition of infrastructure assets involves an ongoing commitment to or from a governmental agency, and the operation of infrastructure assets often relies on government permits, licenses, concessions, leases, or contracts. The nature of these obligations and dependencies exposes the owners of infrastructure assets to a higher level of regulatory control than typically imposed on other businesses, resulting in government entities having significant influence over such owners.</w:t>
      </w:r>
    </w:p>
    <w:p>
      <w:pPr>
        <w:spacing w:after="0" w:line="2"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Where a portfolio company holds a concession or lease from the government, the concession or lease may restrict the portfolio company’s ability to operate the business in a way that maximizes cash flows and profitability. The lease or concession may also contain clauses more favorable to the government counterparty than a typical commercial contract. For instance, the lease or concession may enable the government to terminate the lease or concession in certain circumstances without requiring payment of adequate compensation.</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Energy and Power. </w:t>
      </w:r>
      <w:r>
        <w:rPr>
          <w:rFonts w:ascii="Times New Roman" w:cs="Times New Roman" w:eastAsia="Times New Roman" w:hAnsi="Times New Roman"/>
          <w:sz w:val="16"/>
          <w:szCs w:val="16"/>
          <w:color w:val="auto"/>
        </w:rPr>
        <w:t>The development, operation, and maintenance of power generation or infrastructure facilities</w:t>
      </w:r>
    </w:p>
    <w:p>
      <w:pPr>
        <w:ind w:right="1480"/>
        <w:spacing w:after="0" w:line="232" w:lineRule="auto"/>
        <w:rPr>
          <w:sz w:val="20"/>
          <w:szCs w:val="20"/>
          <w:color w:val="auto"/>
        </w:rPr>
      </w:pPr>
      <w:r>
        <w:rPr>
          <w:rFonts w:ascii="Times New Roman" w:cs="Times New Roman" w:eastAsia="Times New Roman" w:hAnsi="Times New Roman"/>
          <w:sz w:val="14"/>
          <w:szCs w:val="14"/>
          <w:color w:val="auto"/>
        </w:rPr>
        <w:t>involves various operational risks, which can include mechanical and structural failure, accidents, labor issues, or the failure of technology to perform as anticipated. Events outside our control, such as economic developments, changes in fuel prices or the price of other feedstocks, governmental policies, demand for energy, and similar events, could materially reduce the revenues generated or increase the expenses of constructing, operating, maintaining, or restoring power generation businesses. Such developments could impair a portfolio company’s ability to repay its debt or conduct its operations. We may also choose to or be required to decommission a power generation facility or other asset. The decommissioning process could be protracted and result in the incurrence of significant financial and/or regulatory obligations or other uncertainties.</w:t>
      </w:r>
    </w:p>
    <w:p>
      <w:pPr>
        <w:spacing w:after="0" w:line="3" w:lineRule="exact"/>
        <w:rPr>
          <w:sz w:val="20"/>
          <w:szCs w:val="20"/>
          <w:color w:val="auto"/>
        </w:rPr>
      </w:pPr>
    </w:p>
    <w:p>
      <w:pPr>
        <w:ind w:right="1500"/>
        <w:spacing w:after="0"/>
        <w:rPr>
          <w:sz w:val="20"/>
          <w:szCs w:val="20"/>
          <w:color w:val="auto"/>
        </w:rPr>
      </w:pPr>
      <w:r>
        <w:rPr>
          <w:rFonts w:ascii="Times New Roman" w:cs="Times New Roman" w:eastAsia="Times New Roman" w:hAnsi="Times New Roman"/>
          <w:sz w:val="14"/>
          <w:szCs w:val="14"/>
          <w:color w:val="auto"/>
        </w:rPr>
        <w:t>We may acquire equity interests in development projects, including, for example, transmission and power facility developments and/or in businesses that engage in transmission and power facility development. To the extent that we invest in such development activities, it will be subject to the risks normally associated with such activities. Such risks include, among others, risks relating to the availability and timely receipt of zoning and other regulatory approvals, the cost and timely completion of construction (including risks beyond our control, such as weather or labor conditions or material shortages), and the availability of both construction and permanent financing on favorable terms. These risks could result in substantial unanticipated delays or expenses and, under certain circumstances, could prevent completion of development activities once undertaken, any of which could have an adverse effect on the financial condition and results of operations.</w:t>
      </w:r>
    </w:p>
    <w:p>
      <w:pPr>
        <w:spacing w:after="0" w:line="121" w:lineRule="exact"/>
        <w:rPr>
          <w:sz w:val="20"/>
          <w:szCs w:val="20"/>
          <w:color w:val="auto"/>
        </w:rPr>
      </w:pPr>
    </w:p>
    <w:p>
      <w:pPr>
        <w:ind w:right="1760"/>
        <w:spacing w:after="0" w:line="232" w:lineRule="auto"/>
        <w:rPr>
          <w:sz w:val="20"/>
          <w:szCs w:val="20"/>
          <w:color w:val="auto"/>
        </w:rPr>
      </w:pPr>
      <w:r>
        <w:rPr>
          <w:rFonts w:ascii="Times New Roman" w:cs="Times New Roman" w:eastAsia="Times New Roman" w:hAnsi="Times New Roman"/>
          <w:sz w:val="14"/>
          <w:szCs w:val="14"/>
          <w:color w:val="auto"/>
        </w:rPr>
        <w:t>Investments in electric utility industries both in the United States and abroad continue to experience increasing competitive pressures, primarily in wholesale markets, as a result of consumer demands, technological advances, greater availability of natural gas, and other factors. Changes in regulation may support not only consolidation among domestic utilities, but also the disaggregation of vertically integrated utilities into separate generation, transmission, and distribution businesses. As a result, additional significant competitors could become active in the independent power industry. We invest in companies that produce hydrocarbons, the combustion of which releases greenhouse gases linked to</w:t>
      </w:r>
    </w:p>
    <w:p>
      <w:pPr>
        <w:spacing w:after="0" w:line="3"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climate change. Governmental and regulatory bodies, investors, consumers, and other stakeholders recently have focused on combating climate change and a number of jurisdictions have adopted, or are considering the adoption of, regulatory frameworks to reduce greenhouse gas emissions, although such approach continuing, particularly in the United States, is uncertain given the new administration and Congress. These include adoption of cap- and-trade regimes, carbon taxes, restrictive permitting, increased efficiency standards, climate -related reporting, and incentives or mandates for renewable energy, among others. Compliance with these regulatory requirements could be costly, lengthen project implementation times, and, together with changes in consumer preferences and technological advances in the alternative energy sector, reduce demand for hydrocarbons, as well as shift hydrocarbon demand toward relatively lower-carbon sources such as natural gas. Current and pending greenhouse gas regulations or policies may also increase compliance costs for us and/or our portfolio companies, such as for monitoring or sequestering emissions, and promote alternatives to hydrocarbons. Companies that produce hydrocarbons are also increasingly subject to the risk of activism, litigation, and regulatory enforcement related to such companies’ operations, or actual or alleged environmental impacts, as well as increased scrutiny from lenders with regard to sustainability considerations. Such requirements, as well as social, economic, and technological developments, could have a negative impact on our ability to obtain suitable or sufficient financing, exit certain of our energy investments, or adversely affect the expected returns of new investment opportunities.</w:t>
      </w:r>
    </w:p>
    <w:p>
      <w:pPr>
        <w:spacing w:after="0" w:line="6" w:lineRule="exact"/>
        <w:rPr>
          <w:sz w:val="20"/>
          <w:szCs w:val="20"/>
          <w:color w:val="auto"/>
        </w:rPr>
      </w:pPr>
    </w:p>
    <w:p>
      <w:pPr>
        <w:ind w:right="1520"/>
        <w:spacing w:after="0" w:line="244" w:lineRule="auto"/>
        <w:rPr>
          <w:sz w:val="20"/>
          <w:szCs w:val="20"/>
          <w:color w:val="auto"/>
        </w:rPr>
      </w:pPr>
      <w:r>
        <w:rPr>
          <w:rFonts w:ascii="Times New Roman" w:cs="Times New Roman" w:eastAsia="Times New Roman" w:hAnsi="Times New Roman"/>
          <w:sz w:val="14"/>
          <w:szCs w:val="14"/>
          <w:color w:val="auto"/>
        </w:rPr>
        <w:t>Investments may not receive the initial regulatory approval or license needed to acquire or otherwise operate an investment, including after substantial costs have been incurred pursuing such investment. Additional or unanticipated regulatory approvals, including, for example, renewals, extensions, transfers, assignments, reissuances, or similar actions, may be required to acquire or operate infrastructure assets, and additional approvals may become applicable in the future due to a</w:t>
      </w:r>
    </w:p>
    <w:p>
      <w:pPr>
        <w:sectPr>
          <w:pgSz w:w="11900" w:h="16840" w:orient="portrait"/>
          <w:cols w:equalWidth="0" w:num="1">
            <w:col w:w="9400"/>
          </w:cols>
          <w:pgMar w:left="1060" w:top="557" w:right="1440" w:bottom="258"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85</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500"/>
        <w:spacing w:after="0" w:line="232" w:lineRule="auto"/>
        <w:rPr>
          <w:sz w:val="20"/>
          <w:szCs w:val="20"/>
          <w:color w:val="auto"/>
        </w:rPr>
      </w:pPr>
      <w:r>
        <w:rPr>
          <w:rFonts w:ascii="Times New Roman" w:cs="Times New Roman" w:eastAsia="Times New Roman" w:hAnsi="Times New Roman"/>
          <w:sz w:val="14"/>
          <w:szCs w:val="14"/>
          <w:color w:val="auto"/>
        </w:rPr>
        <w:t>change in laws and regulations, a change in the portfolio company’s customer(s) or for other reasons. Moreover, permits or special rulings may be required on taxation, financial, and regulatory related issues. There can be no assurance that a portfolio company will be able to (i) obtain all required regulatory approvals that it does not yet have or that it may require in the future,</w:t>
      </w:r>
    </w:p>
    <w:p>
      <w:pPr>
        <w:spacing w:after="0" w:line="1" w:lineRule="exact"/>
        <w:rPr>
          <w:sz w:val="20"/>
          <w:szCs w:val="20"/>
          <w:color w:val="auto"/>
        </w:rPr>
      </w:pPr>
    </w:p>
    <w:p>
      <w:pPr>
        <w:ind w:left="10" w:right="1500" w:hanging="10"/>
        <w:spacing w:after="0" w:line="232" w:lineRule="auto"/>
        <w:tabs>
          <w:tab w:leader="none" w:pos="23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any necessary modifications to existing regulatory approvals, or (iii) maintain required regulatory approvals. Any delay in obtaining or failure to obtain and maintain in full force and effect any regulatory approvals, or amendments thereto, or delay or failure to satisfy any regulatory conditions or other applicable requirements could prevent operation of a facility, sales to third parties, or could result in additional costs and adversely impact the returns generated by the investment. Environmental laws, regulations, and regulatory initiatives (including potential climate change initiatives) play a</w:t>
      </w:r>
    </w:p>
    <w:p>
      <w:pPr>
        <w:spacing w:after="0" w:line="2" w:lineRule="exact"/>
        <w:rPr>
          <w:rFonts w:ascii="Times New Roman" w:cs="Times New Roman" w:eastAsia="Times New Roman" w:hAnsi="Times New Roman"/>
          <w:sz w:val="14"/>
          <w:szCs w:val="14"/>
          <w:color w:val="auto"/>
        </w:rPr>
      </w:pPr>
    </w:p>
    <w:p>
      <w:pPr>
        <w:ind w:left="10" w:righ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role in the power, infrastructure, and renewable and alternative energy industry and can have a substantial impact on investments in this industry. A portfolio company’s projects may be subject to changing and increasingly stringent environmental and health and safety laws, regulations, and permit requirements. For example, global initiatives to minimize pollution have played a major role in the increase in demand for natural gas and alternative energy sources, creating numerous new investment opportunities. Conversely, required expenditures for environmental compliance have adversely impacted investment returns in a number of segments of the industry. The energy and power industry will continue to face considerable oversight from environmental regulatory authorities and significant influence from non-governmental organizations and special interest groups. Our investment funds may invest in portfolio companies that are subject to changing and increasingly stringent environmental and health and safety laws, regulations, and permit requirements.</w:t>
      </w:r>
    </w:p>
    <w:p>
      <w:pPr>
        <w:spacing w:after="0" w:line="116" w:lineRule="exact"/>
        <w:rPr>
          <w:rFonts w:ascii="Times New Roman" w:cs="Times New Roman" w:eastAsia="Times New Roman" w:hAnsi="Times New Roman"/>
          <w:sz w:val="14"/>
          <w:szCs w:val="14"/>
          <w:color w:val="auto"/>
        </w:rPr>
      </w:pPr>
    </w:p>
    <w:p>
      <w:pPr>
        <w:ind w:left="10" w:right="1420"/>
        <w:spacing w:after="0" w:line="2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Renewables. </w:t>
      </w:r>
      <w:r>
        <w:rPr>
          <w:rFonts w:ascii="Times New Roman" w:cs="Times New Roman" w:eastAsia="Times New Roman" w:hAnsi="Times New Roman"/>
          <w:sz w:val="16"/>
          <w:szCs w:val="16"/>
          <w:color w:val="auto"/>
        </w:rPr>
        <w:t>Estimates of factors such as solar energy intensity and movement of wind and water flow (for solar, wind,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hydroelectric power, respectively) by qualified engineers are often a key factor in valuing certain energy and power companies. The process of making these estimates is complex, requiring significant decisions and assumptions in the evaluation of available geological, geophysical, engineering, and economic data. Estimates or projections of market conditions and supply and demand dynamics are key factors in evaluating potential investment opportunities and valuing the investments and related assets. The aforementioned estimates are subject to wide variances based on changes in market conditions, underlying assumptions, and technical or investment-related assumptions.</w:t>
      </w:r>
    </w:p>
    <w:p>
      <w:pPr>
        <w:spacing w:after="0" w:line="2" w:lineRule="exact"/>
        <w:rPr>
          <w:rFonts w:ascii="Times New Roman" w:cs="Times New Roman" w:eastAsia="Times New Roman" w:hAnsi="Times New Roman"/>
          <w:sz w:val="14"/>
          <w:szCs w:val="14"/>
          <w:color w:val="auto"/>
        </w:rPr>
      </w:pPr>
    </w:p>
    <w:p>
      <w:pPr>
        <w:ind w:left="10" w:right="1440"/>
        <w:spacing w:after="0" w:line="2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operation and financial performance of any renewable energy investment will be significantly dependent on governmental policies and regulatory frameworks that support renewable energy sources. Investments in renewable energy and related businesses and/or assets currently enjoy support from national, state, and local governments and regulatory agencies designed to finance or support the financing development thereof, such as the U.S. federal investment tax credit and federal production tax credit, U.S. Department of the Treasury grants, various renewable and alternative portfolio standard requirements enacted by several states, renewable energy credits, and state-level utility programs, such as system benefits charge and customer choice programs. Similar support, initiatives, and arrangements exist in non-U.S. jurisdictions as well, such as in the European Union. Non-U.S. jurisdictions may have more variable views on policies regarding renewable energy (and, for example, may be more willing or likely to abandon initiatives regarding renewable energy in favor of more carbon-intensive forms of traditional energy generation). The combined effect of these programs is to subsidize in part the development, ownership, and operation of renewable energy projects, particularly in an environment where the low cost of fossil fuel may otherwise make the cost of producing energy from renewable sources uneconomic. There can be no assurance that government support for renewable energy will continue, that favorable legislation will pass, or that the electricity produced by renewable energy investments will continue to qualify for support through renewable portfolio standards programs. The elimination of, or reduction in, government policies (including favorable tax policies) that support renewable energy could have a material adverse effect on a renewable energy portfolio company’s financial condition or results of operation. Conversely, because policies favoring renewable energy initiatives may involve economic disincentives on more carbon-intensive forms of traditional energy generation, such policies may adversely affect other investments that do not involve renewable energy projects.</w:t>
      </w:r>
    </w:p>
    <w:p>
      <w:pPr>
        <w:spacing w:after="0" w:line="8" w:lineRule="exact"/>
        <w:rPr>
          <w:rFonts w:ascii="Times New Roman" w:cs="Times New Roman" w:eastAsia="Times New Roman" w:hAnsi="Times New Roman"/>
          <w:sz w:val="14"/>
          <w:szCs w:val="14"/>
          <w:color w:val="auto"/>
        </w:rPr>
      </w:pPr>
    </w:p>
    <w:p>
      <w:pPr>
        <w:ind w:left="10" w:right="1920"/>
        <w:spacing w:after="0" w:line="23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Climate change and regulatory and other efforts to reduce climate change could adversely affect our business. </w:t>
      </w:r>
      <w:r>
        <w:rPr>
          <w:rFonts w:ascii="Times New Roman" w:cs="Times New Roman" w:eastAsia="Times New Roman" w:hAnsi="Times New Roman"/>
          <w:sz w:val="14"/>
          <w:szCs w:val="14"/>
          <w:color w:val="auto"/>
        </w:rPr>
        <w:t>We and our funds’ portfolio companies face a number of risks associated with climate change, including both transition and physical risks. The transition risks that could impact our company and our funds’ investments in portfolio companies include those risks related to the impact of current and potential U.S. and foreign climate-and ESG-related legislation and regulation, as well as risks arising from climate-related business trends. In addition, we and our funds’ investments in portfolio companies are subject to risks stemming from the physical impacts of climate change.</w:t>
      </w:r>
    </w:p>
    <w:p>
      <w:pPr>
        <w:spacing w:after="0" w:line="2" w:lineRule="exact"/>
        <w:rPr>
          <w:rFonts w:ascii="Times New Roman" w:cs="Times New Roman" w:eastAsia="Times New Roman" w:hAnsi="Times New Roman"/>
          <w:sz w:val="14"/>
          <w:szCs w:val="14"/>
          <w:color w:val="auto"/>
        </w:rPr>
      </w:pPr>
    </w:p>
    <w:p>
      <w:pPr>
        <w:ind w:left="10" w:right="1580"/>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climate change-related regulations or interpretations of existing laws may result in enhanced or conflicting disclosure obligations that could negatively affect us or our funds’ investments in portfolio companies and also materially increase our regulatory burden. Increased and/or conflicting applicable or proposed regulations generally increase the costs to</w:t>
      </w:r>
    </w:p>
    <w:p>
      <w:pPr>
        <w:sectPr>
          <w:pgSz w:w="11900" w:h="16840" w:orient="portrait"/>
          <w:cols w:equalWidth="0" w:num="1">
            <w:col w:w="9410"/>
          </w:cols>
          <w:pgMar w:left="1050" w:top="1440" w:right="1440" w:bottom="1440" w:gutter="0" w:footer="0" w:header="0"/>
        </w:sectPr>
      </w:pPr>
    </w:p>
    <w:bookmarkStart w:id="70" w:name="page71"/>
    <w:bookmarkEnd w:id="70"/>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rPr>
          <w:sz w:val="20"/>
          <w:szCs w:val="20"/>
          <w:color w:val="auto"/>
        </w:rPr>
      </w:pPr>
      <w:r>
        <w:rPr>
          <w:rFonts w:ascii="Times New Roman" w:cs="Times New Roman" w:eastAsia="Times New Roman" w:hAnsi="Times New Roman"/>
          <w:sz w:val="14"/>
          <w:szCs w:val="14"/>
          <w:color w:val="auto"/>
        </w:rPr>
        <w:t>us, our funds, and our funds’ portfolio companies, and those higher costs may continue to increase if new laws require additional resources, including spending more time, hiring additional personnel, or investing in new technologies. Moreover, significant increases in regulatory compliance expenses may negatively impact our funds and their portfolio company investments. In particular, compliance with climate and other sustainability or ESG -related rules in the European Union and the United Kingdom is expected to result in increased legal and compliance costs and expenses, which would be borne by us, our funds, and/or our funds’ portfolio companies. In addition, our funds’ portfolio companies could face transition risk if GHG-related regulations or taxes are implemented. See “Risks Related to Regulation and Litigation—Regulatory initiatives in jurisdictions outside the United States could adversely affect our business” and “Increasing scrutiny from stakeholders on sustainability matters, including our ESG reporting, exposes us to reputational and other risks.”</w:t>
      </w:r>
    </w:p>
    <w:p>
      <w:pPr>
        <w:spacing w:after="0" w:line="117"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We also face business trend -related climate risks. Certain fund investors are increasingly taking into account the consideration for or lack of ESG factors, including climate risks, in determining whether to invest in the funds we manage. In addition, our reputation and investor relationships could be damaged as a result of our involvement, or our funds’ involvement, in certain industries, portfolio companies, or transactions associated with activities perceived to be causing or exacerbating climate change, as well as any decisions we make to continue to conduct or change our activities in response to considerations relating to climate change.</w:t>
      </w:r>
    </w:p>
    <w:p>
      <w:pPr>
        <w:spacing w:after="0" w:line="206" w:lineRule="auto"/>
        <w:rPr>
          <w:sz w:val="20"/>
          <w:szCs w:val="20"/>
          <w:color w:val="auto"/>
        </w:rPr>
      </w:pPr>
      <w:r>
        <w:rPr>
          <w:rFonts w:ascii="Times New Roman" w:cs="Times New Roman" w:eastAsia="Times New Roman" w:hAnsi="Times New Roman"/>
          <w:sz w:val="16"/>
          <w:szCs w:val="16"/>
          <w:color w:val="auto"/>
        </w:rPr>
        <w:t>Moreover, significant physical effects of climate change, including extreme weather events, such as hurricanes,</w:t>
      </w:r>
    </w:p>
    <w:p>
      <w:pPr>
        <w:spacing w:after="0" w:line="1"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wildfires or floods, can also have an adverse impact on certain of our funds’ investments in portfolio companies and other investments, particularly real asset and infrastructure investments and portfolio companies that rely on physical factories, plants, or stores located in affected areas. As the effects of climate change increase, we expect the frequency and impact of weather and climate related events and conditions to increase as well.</w:t>
      </w:r>
    </w:p>
    <w:p>
      <w:pPr>
        <w:spacing w:after="0" w:line="2"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Investments in the insurance industry (including our investment in Fortitude) could be adversely impacted by insurance regulations and potential regulatory reforms.</w:t>
      </w:r>
    </w:p>
    <w:p>
      <w:pPr>
        <w:spacing w:after="0" w:line="1" w:lineRule="exact"/>
        <w:rPr>
          <w:sz w:val="20"/>
          <w:szCs w:val="20"/>
          <w:color w:val="auto"/>
        </w:rPr>
      </w:pPr>
    </w:p>
    <w:p>
      <w:pPr>
        <w:ind w:right="1420" w:firstLine="576"/>
        <w:spacing w:after="0" w:line="232" w:lineRule="auto"/>
        <w:rPr>
          <w:sz w:val="20"/>
          <w:szCs w:val="20"/>
          <w:color w:val="auto"/>
        </w:rPr>
      </w:pPr>
      <w:r>
        <w:rPr>
          <w:rFonts w:ascii="Times New Roman" w:cs="Times New Roman" w:eastAsia="Times New Roman" w:hAnsi="Times New Roman"/>
          <w:sz w:val="14"/>
          <w:szCs w:val="14"/>
          <w:color w:val="auto"/>
        </w:rPr>
        <w:t>Carlyle FRL, L.P., an affiliated investment fund (“Carlyle FRL”), holds a controlling interest in Fortitude, inclusive of our 10.5% interest. The insurance industry is highly regulated and the regulators in many jurisdictions have broad, and in some cases discretionary, authority over insurance companies, including, among other things, with respect to marketing practices, policy rate increases, reserve requirements, capital adequacy, permissible investments, and affiliate transactions. In addition, the insurance sector is subject to frequent regulatory change. While we intend to invest in companies and acquire businesses that seek to comply with applicable laws and regulations, the laws and regulations relating to the insurance industry are complex, may be ambiguous, or may lack clear judicial or regulatory interpretive guidance. Even where laws or regulations purport to be the same across different jurisdictions, they may be inconsistently applied by the regulators of the different jurisdictions.</w:t>
      </w:r>
    </w:p>
    <w:p>
      <w:pPr>
        <w:spacing w:after="0" w:line="3" w:lineRule="exact"/>
        <w:rPr>
          <w:sz w:val="20"/>
          <w:szCs w:val="20"/>
          <w:color w:val="auto"/>
        </w:rPr>
      </w:pPr>
    </w:p>
    <w:p>
      <w:pPr>
        <w:ind w:right="1420" w:firstLine="576"/>
        <w:spacing w:after="0"/>
        <w:rPr>
          <w:sz w:val="20"/>
          <w:szCs w:val="20"/>
          <w:color w:val="auto"/>
        </w:rPr>
      </w:pPr>
      <w:r>
        <w:rPr>
          <w:rFonts w:ascii="Times New Roman" w:cs="Times New Roman" w:eastAsia="Times New Roman" w:hAnsi="Times New Roman"/>
          <w:sz w:val="14"/>
          <w:szCs w:val="14"/>
          <w:color w:val="auto"/>
        </w:rPr>
        <w:t>In terms of regulatory changes, the following changes in particular may affect the operations and prospects of our investments in the insurance industry, including Fortitude: (i) changes to interest rates and policies of central banks and regulatory authorities; (ii) changes in applicable direct or indirect taxes, levies or charges; (iii) changes in government or regulatory policy that may significantly influence investor decisions in particular markets in which our investments operate; (iv) changes relating to the capital adequacy framework and rules designed to promote financial stability, both on an individual reinsurance company level and on a group level; (v) changes to policyholder protections; (vi) changes related to the regulation of investment management arrangements between insurers and controlling or related asset managers; and (vii) developments in financial reporting. An adverse review or determination by any applicable judicial or regulatory authority of any such law or regulation, or an adverse change in applicable regulatory requirements, judicial or regulatory interpretation, or reimbursement programs, could have a material adverse effect on the operations and/or financial performance of our investments in the insurance industry (including Fortitude) and may increase their compliance and legal costs. Any such costs could negatively impact the value of our investments and the returns we are able to generate on such investments. See “Risks Related to our Company— Adverse economic and market conditions and other events or conditions throughout the world could negatively impact our business in many ways, including by reducing the value or performance of the investments made by our investment funds and reducing the ability of our investment funds to raise capital, any of which could materially reduce our revenue, earnings, and cash flow and adversely affect our financial prospects and condition.”</w:t>
      </w:r>
    </w:p>
    <w:p>
      <w:pPr>
        <w:spacing w:after="0" w:line="243" w:lineRule="exact"/>
        <w:rPr>
          <w:sz w:val="20"/>
          <w:szCs w:val="20"/>
          <w:color w:val="auto"/>
        </w:rPr>
      </w:pPr>
    </w:p>
    <w:p>
      <w:pPr>
        <w:ind w:right="1480"/>
        <w:spacing w:after="0" w:line="239" w:lineRule="auto"/>
        <w:rPr>
          <w:sz w:val="20"/>
          <w:szCs w:val="20"/>
          <w:color w:val="auto"/>
        </w:rPr>
      </w:pPr>
      <w:r>
        <w:rPr>
          <w:rFonts w:ascii="Times New Roman" w:cs="Times New Roman" w:eastAsia="Times New Roman" w:hAnsi="Times New Roman"/>
          <w:sz w:val="14"/>
          <w:szCs w:val="14"/>
          <w:color w:val="auto"/>
        </w:rPr>
        <w:t>Insurance regulatory authorities and regulatory organizations continue to scrutinize alternative asset managers’ involvement in the insurance industry, including with respect to the ownership by such managers or their affiliated funds of, and the management of assets on behalf of, insurance companies. For example, insurance regulators increasingly have focused on the terms and structure of investment management agreements, including whether they are at arms’ length, establish control of the insurance company, grant the asset manager excessive authority over the investment strategy of the insurance company, provide for management fees that are not fair and reasonable, or termination provisions that make it difficult or costly for the</w:t>
      </w:r>
    </w:p>
    <w:p>
      <w:pPr>
        <w:sectPr>
          <w:pgSz w:w="11900" w:h="16840" w:orient="portrait"/>
          <w:cols w:equalWidth="0" w:num="1">
            <w:col w:w="9400"/>
          </w:cols>
          <w:pgMar w:left="1060" w:top="1440" w:right="1440" w:bottom="1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8" w:lineRule="auto"/>
        <w:rPr>
          <w:sz w:val="20"/>
          <w:szCs w:val="20"/>
          <w:color w:val="auto"/>
        </w:rPr>
      </w:pPr>
      <w:r>
        <w:rPr>
          <w:rFonts w:ascii="Times New Roman" w:cs="Times New Roman" w:eastAsia="Times New Roman" w:hAnsi="Times New Roman"/>
          <w:sz w:val="16"/>
          <w:szCs w:val="16"/>
          <w:color w:val="auto"/>
        </w:rPr>
        <w:t>insurer to terminate the agreement. Regulators also have increasingly focused on the risk profile of certain investments held by insurance companies (including, without limitation, structured credit assets such as collateralized loan obligations), appropriateness of investment ratings and potential conflicts of interest (including affiliated investments), and potential misalignment of incentives and any potential risks from these and other aspects of an insurance company’s relationship with alternative asset managers that may impact the insurance company’s risk profile. This enhanced scrutiny may increase the risk of regulatory actions against us and could result in new or amended regulations that limit our ability, or make it more burdensome or costly, to enter into investment management or advisory agreements with insurance companies and thereby grow our insurance strategy.</w:t>
      </w:r>
    </w:p>
    <w:p>
      <w:pPr>
        <w:sectPr>
          <w:pgSz w:w="11900" w:h="16840" w:orient="portrait"/>
          <w:cols w:equalWidth="0" w:num="1">
            <w:col w:w="9400"/>
          </w:cols>
          <w:pgMar w:left="1060" w:top="1440" w:right="1440" w:bottom="141" w:gutter="0" w:footer="0" w:header="0"/>
          <w:type w:val="continuous"/>
        </w:sectPr>
      </w:pPr>
    </w:p>
    <w:bookmarkStart w:id="71" w:name="page72"/>
    <w:bookmarkEnd w:id="71"/>
    <w:p>
      <w:pPr>
        <w:ind w:right="1560"/>
        <w:spacing w:after="0" w:line="217" w:lineRule="auto"/>
        <w:rPr>
          <w:sz w:val="20"/>
          <w:szCs w:val="20"/>
          <w:color w:val="auto"/>
        </w:rPr>
      </w:pPr>
      <w:r>
        <w:rPr>
          <w:rFonts w:ascii="Times New Roman" w:cs="Times New Roman" w:eastAsia="Times New Roman" w:hAnsi="Times New Roman"/>
          <w:sz w:val="16"/>
          <w:szCs w:val="16"/>
          <w:b w:val="1"/>
          <w:bCs w:val="1"/>
          <w:i w:val="1"/>
          <w:iCs w:val="1"/>
          <w:color w:val="auto"/>
        </w:rPr>
        <w:t>Our relationship with Fortitude may not generate a meaningful contribution to our revenue and our indirect ownership of Fortitude could give rise to real or apparent conflicts of interest.</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While we expect to derive a meaningful contribution to our revenue across our business segments from our investment in and strategic asset management relationship with Fortitude, as described in Note 4, Investments, to Part II, Item 8 “Investments—Investment in Fortitude,” we may not be successful in doing so. Pursuant to investment management agreements into which we have entered with Fortitude subsidiaries and certain companies with which they have reinsurance agreements (the “Ceding Companies”), certain of our subsidiaries receive performance fees and/or management fees from carry funds and separately managed accounts into which Fortitude Re and the Ceding Companies invest. Through its subsidiaries we managed or advised $19.4 billion of capital attributable to investments made under these investment management agreements, as of December 31, 2024. In addition, in April 2022, we entered into a strategic advisory services agreement with certain subsidiaries of Fortitude through our insurance investment advisor, Carlyle Insurance Solutions Management L.L.C. (“CISM”).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Such management fee may decline if there is a corresponding decline in the fair value of the assets we manage and/or the performance of the portfolio. Our investment management and advisory agreements with Fortitude subsidiaries and the Ceding Companies are</w:t>
      </w:r>
    </w:p>
    <w:p>
      <w:pPr>
        <w:spacing w:after="0" w:line="92" w:lineRule="exact"/>
        <w:rPr>
          <w:sz w:val="20"/>
          <w:szCs w:val="20"/>
          <w:color w:val="auto"/>
        </w:rPr>
      </w:pPr>
    </w:p>
    <w:p>
      <w:pPr>
        <w:ind w:right="1440"/>
        <w:spacing w:after="0" w:line="232" w:lineRule="auto"/>
        <w:rPr>
          <w:sz w:val="20"/>
          <w:szCs w:val="20"/>
          <w:color w:val="auto"/>
        </w:rPr>
      </w:pPr>
      <w:r>
        <w:rPr>
          <w:rFonts w:ascii="Times New Roman" w:cs="Times New Roman" w:eastAsia="Times New Roman" w:hAnsi="Times New Roman"/>
          <w:sz w:val="14"/>
          <w:szCs w:val="14"/>
          <w:color w:val="auto"/>
        </w:rPr>
        <w:t>terminable under certain circumstances. If such agreements were terminated, it could have a material adverse effect on our business, results of operations, and financial condition. There can be no assurance that the benefit we receive from Fortitude subsidiaries will not decline due to a disruption or decline in Fortitude’s business or a change in our relationship with Fortitude, including our investment income from our indirect interest in Fortitude and/or investment management or advisory agreements with Fortitude subsidiaries and the Ceding Companies. We may be unable to replace a decline in the revenue derived from investments made in our funds and entities by Fortitude Re and/or the Ceding Companies on a timely basis if our relationship with Fortitude were to change or if Fortitude were to experience a material adverse impact to its business.</w:t>
      </w:r>
    </w:p>
    <w:p>
      <w:pPr>
        <w:spacing w:after="0" w:line="207" w:lineRule="auto"/>
        <w:rPr>
          <w:sz w:val="20"/>
          <w:szCs w:val="20"/>
          <w:color w:val="auto"/>
        </w:rPr>
      </w:pPr>
      <w:r>
        <w:rPr>
          <w:rFonts w:ascii="Times New Roman" w:cs="Times New Roman" w:eastAsia="Times New Roman" w:hAnsi="Times New Roman"/>
          <w:sz w:val="16"/>
          <w:szCs w:val="16"/>
          <w:color w:val="auto"/>
        </w:rPr>
        <w:t>Carlyle FRL owns a controlling interest in Fortitude and has the right to appoint a majority of its board of directors.</w:t>
      </w:r>
    </w:p>
    <w:p>
      <w:pPr>
        <w:ind w:right="1480"/>
        <w:spacing w:after="0" w:line="232" w:lineRule="auto"/>
        <w:rPr>
          <w:sz w:val="20"/>
          <w:szCs w:val="20"/>
          <w:color w:val="auto"/>
        </w:rPr>
      </w:pPr>
      <w:r>
        <w:rPr>
          <w:rFonts w:ascii="Times New Roman" w:cs="Times New Roman" w:eastAsia="Times New Roman" w:hAnsi="Times New Roman"/>
          <w:sz w:val="14"/>
          <w:szCs w:val="14"/>
          <w:color w:val="auto"/>
        </w:rPr>
        <w:t>As a result, there may be real or apparent conflicts of interest with respect to matters affecting the Company, Carlyle -managed funds, and their portfolio companies and Fortitude, including with respect to the fiduciary duties that our employees that are board members owe to Fortitude in addition to the duties that they have to the Company. In addition, conflicts of interest could arise with respect to transactions involving business dealings between the Company, Fortitude, and each of their respective affiliates. The foregoing conflicts of interest may also arise with respect to subsidiaries of Fortitude.</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the life sciences industry may expose us to increased risks.</w:t>
      </w:r>
    </w:p>
    <w:p>
      <w:pPr>
        <w:spacing w:after="0" w:line="203" w:lineRule="auto"/>
        <w:rPr>
          <w:sz w:val="20"/>
          <w:szCs w:val="20"/>
          <w:color w:val="auto"/>
        </w:rPr>
      </w:pPr>
      <w:r>
        <w:rPr>
          <w:rFonts w:ascii="Times New Roman" w:cs="Times New Roman" w:eastAsia="Times New Roman" w:hAnsi="Times New Roman"/>
          <w:sz w:val="16"/>
          <w:szCs w:val="16"/>
          <w:color w:val="auto"/>
        </w:rPr>
        <w:t>Investments by Abingworth may expose us to increased risks. For example:</w:t>
      </w:r>
    </w:p>
    <w:p>
      <w:pPr>
        <w:spacing w:after="0" w:line="1" w:lineRule="exact"/>
        <w:rPr>
          <w:sz w:val="20"/>
          <w:szCs w:val="20"/>
          <w:color w:val="auto"/>
        </w:rPr>
      </w:pPr>
    </w:p>
    <w:p>
      <w:pPr>
        <w:ind w:right="2540"/>
        <w:spacing w:after="0"/>
        <w:rPr>
          <w:sz w:val="20"/>
          <w:szCs w:val="20"/>
          <w:color w:val="auto"/>
        </w:rPr>
      </w:pPr>
      <w:r>
        <w:rPr>
          <w:rFonts w:ascii="Times New Roman" w:cs="Times New Roman" w:eastAsia="Times New Roman" w:hAnsi="Times New Roman"/>
          <w:sz w:val="14"/>
          <w:szCs w:val="14"/>
          <w:color w:val="auto"/>
        </w:rPr>
        <w:t>•Life sciences and healthcare companies are subject to extensive regulation by the U.S. Food and Drug Administration, similar foreign regulatory authorities and, to a lesser extent, other federal and state agencies. These companies are subject to the expense, delay, and uncertainty of the product approval process, and there can be no guarantee that a particular product candidate will obtain regulatory approval. In addition, the current regulatory framework may change or additional regulations may arise at any stage during the product development phase of an investment, which may delay or prevent regulatory approval or impact applicable exclusivity periods. If a company in which our funds are invested is unable to obtain regulatory approval for a product candidate, or a product candidate in which our funds are invested does not obtain regulatory approval, in a timely fashion or at all, the value of our investment would be adversely impacted. Moreover, a clinical trial (including enrollment therein) or regulatory approval process for pharmaceuticals has and may in the future be delayed, otherwise hindered, or abandoned as a result of epidemics (including COVID-19), which could have a negative impact on the ability of the investment to engage in trials or receive approvals,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700"/>
        <w:spacing w:after="0" w:line="203" w:lineRule="auto"/>
        <w:rPr>
          <w:sz w:val="20"/>
          <w:szCs w:val="20"/>
          <w:color w:val="auto"/>
        </w:rPr>
      </w:pPr>
      <w:r>
        <w:rPr>
          <w:rFonts w:ascii="Times New Roman" w:cs="Times New Roman" w:eastAsia="Times New Roman" w:hAnsi="Times New Roman"/>
          <w:sz w:val="16"/>
          <w:szCs w:val="16"/>
          <w:color w:val="auto"/>
        </w:rPr>
        <w:t>thereby could adversely affect the performance of the investment. In the event such clinical trials do not comply with the complicated regulatory requirements applicable thereto, such companies may be subject to regulatory actions.</w:t>
      </w:r>
    </w:p>
    <w:p>
      <w:pPr>
        <w:spacing w:after="0" w:line="1" w:lineRule="exact"/>
        <w:rPr>
          <w:sz w:val="20"/>
          <w:szCs w:val="20"/>
          <w:color w:val="auto"/>
        </w:rPr>
      </w:pPr>
    </w:p>
    <w:p>
      <w:pPr>
        <w:ind w:right="2640"/>
        <w:spacing w:after="0" w:line="203" w:lineRule="auto"/>
        <w:rPr>
          <w:sz w:val="20"/>
          <w:szCs w:val="20"/>
          <w:color w:val="auto"/>
        </w:rPr>
      </w:pPr>
      <w:r>
        <w:rPr>
          <w:rFonts w:ascii="Times New Roman" w:cs="Times New Roman" w:eastAsia="Times New Roman" w:hAnsi="Times New Roman"/>
          <w:sz w:val="16"/>
          <w:szCs w:val="16"/>
          <w:color w:val="auto"/>
        </w:rPr>
        <w:t>•Intellectual property often constitutes an important part of a life sciences company’s assets and competitive strengths, particularly for royalty monetization transactions. To the extent such companies’ intellectual property positions with respect to products in which Abingworth invests, whether through a royalty monetization or otherwise, are challenged, invalidated, or circumvented, the value of Abingworth’s investment may be impaired. The success of a life sciences investment depends in part on the ability of the biopharmaceutical or medical device companies in whose products Abingworth invests to obtain and defend patent rights and other intellectual property rights that are important to the commercialization of such products. The patent positions of such companies can be highly uncertain and often involve complex legal, scientific, and factual questions.</w:t>
      </w:r>
    </w:p>
    <w:p>
      <w:pPr>
        <w:spacing w:after="0" w:line="4" w:lineRule="exact"/>
        <w:rPr>
          <w:sz w:val="20"/>
          <w:szCs w:val="20"/>
          <w:color w:val="auto"/>
        </w:rPr>
      </w:pPr>
    </w:p>
    <w:p>
      <w:pPr>
        <w:ind w:right="2560"/>
        <w:spacing w:after="0"/>
        <w:rPr>
          <w:sz w:val="20"/>
          <w:szCs w:val="20"/>
          <w:color w:val="auto"/>
        </w:rPr>
      </w:pPr>
      <w:r>
        <w:rPr>
          <w:rFonts w:ascii="Times New Roman" w:cs="Times New Roman" w:eastAsia="Times New Roman" w:hAnsi="Times New Roman"/>
          <w:sz w:val="14"/>
          <w:szCs w:val="14"/>
          <w:color w:val="auto"/>
        </w:rPr>
        <w:t>•The commercial success of products could be compromised if governmental or third-party payers do not provide coverage and reimbursement, breach, rescind, or modify their contracts or reimbursement policies or delay payments for such products. In both the United States and foreign markets, the successful sale of a life sciences company’s product depends on the ability to obtain and maintain adequate coverage and reimbursement from third-party payers, including government healthcare programs and private insurance plans. Governments and third-party payers continue to pursue aggressive initiatives to contain costs and manage drug utilization and are increasingly focused on the effectiveness, benefits, and costs of similar treatments, which could result in lower reimbursement rates and narrower populations for whom the products in which Abingworth invests will be reimbursed by payers. For example, in the United States, federal legislation has passed that modifies coverage, reimbursement, and pricing policies for certain products. Regulatory agencies have provided guidance on how they intend to implement certain components of the legislation. In general, as regulatory agencies and others continue to define and implement the legislation, such legislation may result in lower product prices, altered market dynamics, or the unavailability of adequate third -party payer reimbursement to enable Abingworth to realize an appropriate return on its investment.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aviation leasing industry is subject to significant volatility and may expose us to additional risks.</w:t>
      </w:r>
    </w:p>
    <w:p>
      <w:pPr>
        <w:sectPr>
          <w:pgSz w:w="11900" w:h="16840" w:orient="portrait"/>
          <w:cols w:equalWidth="0" w:num="1">
            <w:col w:w="9400"/>
          </w:cols>
          <w:pgMar w:left="1060" w:top="553" w:right="1440" w:bottom="8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color w:val="auto"/>
        </w:rPr>
        <w:t>Carlyle Aviation Partners participates in the aircraft leasing industry, which has historically been cyclical in nature for</w:t>
      </w:r>
    </w:p>
    <w:p>
      <w:pPr>
        <w:ind w:right="1400"/>
        <w:spacing w:after="0" w:line="203" w:lineRule="auto"/>
        <w:rPr>
          <w:sz w:val="20"/>
          <w:szCs w:val="20"/>
          <w:color w:val="auto"/>
        </w:rPr>
      </w:pPr>
      <w:r>
        <w:rPr>
          <w:rFonts w:ascii="Times New Roman" w:cs="Times New Roman" w:eastAsia="Times New Roman" w:hAnsi="Times New Roman"/>
          <w:sz w:val="16"/>
          <w:szCs w:val="16"/>
          <w:color w:val="auto"/>
        </w:rPr>
        <w:t>a number of reasons outside the control of industry participants, including: the demand for aviation travel; geopolitical and other events, including the war in Ukraine, the Israel -Hamas war and related conflicts, and other wars, civil disturbances, acts of terrorism, outbreaks of epidemic diseases, including the COVID- 19 global pandemic and natural disasters; governmental regulation, including regulation of trade, such as the imposition of import and export controls, tariffs, and other trade barriers; weakness in the capital and credit markets and the availability of credit; significant decreases in purchasing power caused by inflation or otherwise; fluctuations in interest rates whether caused by changes in monetary policy, lack of supply, or other economic conditions; changing political conditions, including risk of rising protectionism and authoritarian regimes, restrictions on immigration, or impositions of new trade barriers, including additional economic sanctions or export controls (including those introduced due to the war in Ukraine); cyber risk, including information hacking, viruses, and malware; operating costs, availability and price of jet fuel, and general economic conditions affecting aircraft operations; customer restructurings and bankruptcies and decreases in the creditworthiness of customers; manufacturer production levels and technological innovation; aircraft and engine models being retired or otherwise made obsolete; the industry ceasing to produce aircraft or engine types; new-entrant manufacturers producing additional aircraft that compete with existing models; aircraft age and the advent of newer models of aircraft; airworthiness directives and service bulletins; safety, noise, and emission standards and regulations; and the availability of spare parts.</w:t>
      </w:r>
    </w:p>
    <w:p>
      <w:pPr>
        <w:spacing w:after="0" w:line="6" w:lineRule="exact"/>
        <w:rPr>
          <w:sz w:val="20"/>
          <w:szCs w:val="20"/>
          <w:color w:val="auto"/>
        </w:rPr>
      </w:pPr>
    </w:p>
    <w:p>
      <w:pPr>
        <w:ind w:right="2040"/>
        <w:spacing w:after="0" w:line="232" w:lineRule="auto"/>
        <w:rPr>
          <w:sz w:val="20"/>
          <w:szCs w:val="20"/>
          <w:color w:val="auto"/>
        </w:rPr>
      </w:pPr>
      <w:r>
        <w:rPr>
          <w:rFonts w:ascii="Times New Roman" w:cs="Times New Roman" w:eastAsia="Times New Roman" w:hAnsi="Times New Roman"/>
          <w:sz w:val="14"/>
          <w:szCs w:val="14"/>
          <w:color w:val="auto"/>
        </w:rPr>
        <w:t>A decline in demand for leased aircraft generally, or as a result of the factors described above, may result in decreases in rental rates, result in lease defaults, and delay or prevent the re- lease or sale of assets on favorable terms.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decline due to the large number of shares of common stock eligible for future sale.</w:t>
      </w:r>
    </w:p>
    <w:p>
      <w:pPr>
        <w:spacing w:after="0" w:line="204" w:lineRule="auto"/>
        <w:rPr>
          <w:sz w:val="20"/>
          <w:szCs w:val="20"/>
          <w:color w:val="auto"/>
        </w:rPr>
      </w:pPr>
      <w:r>
        <w:rPr>
          <w:rFonts w:ascii="Times New Roman" w:cs="Times New Roman" w:eastAsia="Times New Roman" w:hAnsi="Times New Roman"/>
          <w:sz w:val="16"/>
          <w:szCs w:val="16"/>
          <w:color w:val="auto"/>
        </w:rPr>
        <w:t>The market price of our common stock may decline as a result of sales of a large number of shares of common stock in</w:t>
      </w:r>
    </w:p>
    <w:p>
      <w:pPr>
        <w:spacing w:after="0"/>
        <w:rPr>
          <w:sz w:val="20"/>
          <w:szCs w:val="20"/>
          <w:color w:val="auto"/>
        </w:rPr>
      </w:pPr>
      <w:r>
        <w:rPr>
          <w:rFonts w:ascii="Times New Roman" w:cs="Times New Roman" w:eastAsia="Times New Roman" w:hAnsi="Times New Roman"/>
          <w:sz w:val="14"/>
          <w:szCs w:val="14"/>
          <w:color w:val="auto"/>
        </w:rPr>
        <w:t>the market in the future or the perception that such sales could occur. These sales, or the possibility that these sales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40"/>
        <w:spacing w:after="0" w:line="203" w:lineRule="auto"/>
        <w:rPr>
          <w:sz w:val="20"/>
          <w:szCs w:val="20"/>
          <w:color w:val="auto"/>
        </w:rPr>
      </w:pPr>
      <w:r>
        <w:rPr>
          <w:rFonts w:ascii="Times New Roman" w:cs="Times New Roman" w:eastAsia="Times New Roman" w:hAnsi="Times New Roman"/>
          <w:sz w:val="16"/>
          <w:szCs w:val="16"/>
          <w:color w:val="auto"/>
        </w:rPr>
        <w:t>also may make it more difficult for us to sell common stock in the future at a time and at a price that we deem appropriate. Subject, in some cases, to compliance with our insider trading policy, minimum retained ownership requirements, transfer restrictions, and limitations applicable to affiliates under Rule 144 under the Securities Act, all of these shares are freely tradable. In addition, the holders of these shares have the benefit of registration rights agreements with us. Moreover, as holders of freely tradable common stock rather than Carlyle Holdings units, the Former Private Unitholders are able to more easily sell shares of common stock into the market (or donate shares of common stock to charities which in turn may sell these into the market) than was the case before the Conversion. For example, the Former Private Unitholders are not subject to restrictions that in most cases limited their ability to exchange Holdings Units for common units to prescribed quarterly exchange dates. This could result in the Former Private Unitholders disposing of their equity interests in us more quickly and/or at a higher volume than in the past, and the market price of our common stock could decline as a result. Subject to the restrictions described below, we may issue and sell in the future additional shares of common stock. The issuance of additional equity securities or securities convertible into equity securities would also result in dilution of our existing shareholders’ equity interest. The issuance of the additional shares of common stock, the sale of shares of common stock by our significant shareholders, and the vesting and sale of restricted stock units or the perception that such sales may occur could cause the market price of our common stock to decline.</w:t>
      </w:r>
    </w:p>
    <w:p>
      <w:pPr>
        <w:spacing w:after="0" w:line="211" w:lineRule="auto"/>
        <w:rPr>
          <w:sz w:val="20"/>
          <w:szCs w:val="20"/>
          <w:color w:val="auto"/>
        </w:rPr>
      </w:pPr>
      <w:r>
        <w:rPr>
          <w:rFonts w:ascii="Times New Roman" w:cs="Times New Roman" w:eastAsia="Times New Roman" w:hAnsi="Times New Roman"/>
          <w:sz w:val="16"/>
          <w:szCs w:val="16"/>
          <w:color w:val="auto"/>
        </w:rPr>
        <w:t>As of December 31, 2024, our Chief Executive Officer held a total of 5.2 million unvested restricted stock units</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(inclusive of unvested dividend equivalent units that have been credited on such awards) in respect of awards that were granted to him outside of the Equity Incentive Plan in connection with his hiring. Under our Equity Incentive Plan, we had 17.2 million unvested restricted stock units outstanding as of December 31, 2024. At our 2024 Annual Meeting of Shareholders, our shareholders approved an amendment and restatement of the Equity Incentive Plan to increase the shares of common stock reserved for issuance under the Equity Incentive Plan by an additional 19,000,000 shares. As of December 31, 2024, the total number of shares of common stock available for grant under the amended and restated Equity Incentive Plan was 30.1 million and, following the grant of awards in February 2025, the total number of shares of common stock available for grant under the amended and restated Equity Incentive Plan was 25.7 million. A further increase in the number of shares available for grant under the Equity Incentive Plan would require shareholder approval, and any such approval would result in more shares that may be delivered in settlement of vested restricted stock unit awards and that may ultimately be sold in the market, which could lead to a decline in the market price of our common stock. We have filed several registration statements and intend to file additional registration statements on Form S-8 under the Securities Act to register shares of common stock or securities convertible into or exchangeable for common stock issued or available for future grant under our amended and restated Equity Incentive Plan, when applicable. Any such Form S - 8 registration statement will automatically become effective upon filing. Accordingly, common stock registered under such registration statement will be available for sale in the open market. As restricted stock unit awards vest and shares of common stock are delivered to restricted stock unit holders, the market price of our common stock may decline due to dilution or if such holders elect to sell their shares of common stock. Morgan Stanley, our equity plan service provider, may, from time to time, act as a broker, dealer, or agent for, or otherwise facilitate sales in the open market through block transactions or otherwise of our common stock on behalf of, plan participants.</w:t>
      </w:r>
    </w:p>
    <w:p>
      <w:pPr>
        <w:spacing w:after="0" w:line="228"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market price and trading volume of our common stock has been and may continue to be volatile, which could cause the value of your investment to decline.</w:t>
      </w:r>
    </w:p>
    <w:p>
      <w:pPr>
        <w:spacing w:after="0" w:line="204" w:lineRule="auto"/>
        <w:rPr>
          <w:sz w:val="20"/>
          <w:szCs w:val="20"/>
          <w:color w:val="auto"/>
        </w:rPr>
      </w:pPr>
      <w:r>
        <w:rPr>
          <w:rFonts w:ascii="Times New Roman" w:cs="Times New Roman" w:eastAsia="Times New Roman" w:hAnsi="Times New Roman"/>
          <w:sz w:val="16"/>
          <w:szCs w:val="16"/>
          <w:color w:val="auto"/>
        </w:rPr>
        <w:t>The market price of our shares may be highly volatile and could be subject to wide fluctuations. In addition, the</w:t>
      </w:r>
    </w:p>
    <w:p>
      <w:pPr>
        <w:spacing w:after="0" w:line="1" w:lineRule="exact"/>
        <w:rPr>
          <w:sz w:val="20"/>
          <w:szCs w:val="20"/>
          <w:color w:val="auto"/>
        </w:rPr>
      </w:pPr>
    </w:p>
    <w:p>
      <w:pPr>
        <w:ind w:right="1480"/>
        <w:spacing w:after="0" w:line="238" w:lineRule="auto"/>
        <w:rPr>
          <w:sz w:val="20"/>
          <w:szCs w:val="20"/>
          <w:color w:val="auto"/>
        </w:rPr>
      </w:pPr>
      <w:r>
        <w:rPr>
          <w:rFonts w:ascii="Times New Roman" w:cs="Times New Roman" w:eastAsia="Times New Roman" w:hAnsi="Times New Roman"/>
          <w:sz w:val="14"/>
          <w:szCs w:val="14"/>
          <w:color w:val="auto"/>
        </w:rPr>
        <w:t>trading volume in our shares may fluctuate and cause significant price variations to occur. You may be unable to resell your shares at or above your purchase price, if at all. Some of the factors that could negatively affect the price of our shares or result in fluctuations in the price or trading volume of our shares include: variations in our quarterly operating results, which variations we expect will be substantial, or dividends; our policy of taking a long-term perspective on making investment, operational, and strategic decisions, which is expected to result in significant and unpredictable variations in our quarterly returns; our creditworthiness, results of operations, and financial condition; the credit ratings of the shares; the prevailing interest rates or rates of return being paid by other companies similar to us and the market for similar securities; failure to meet analysts’ earnings estimates; publication of research reports about us or the investment management industry or the failure of</w:t>
      </w:r>
    </w:p>
    <w:p>
      <w:pPr>
        <w:sectPr>
          <w:pgSz w:w="11900" w:h="16840" w:orient="portrait"/>
          <w:cols w:equalWidth="0" w:num="1">
            <w:col w:w="9400"/>
          </w:cols>
          <w:pgMar w:left="1060" w:top="547" w:right="1440" w:bottom="19" w:gutter="0" w:footer="0" w:header="0"/>
        </w:sectPr>
      </w:pPr>
    </w:p>
    <w:bookmarkStart w:id="73" w:name="page74"/>
    <w:bookmarkEnd w:id="73"/>
    <w:p>
      <w:pPr>
        <w:ind w:right="1620"/>
        <w:spacing w:after="0" w:line="211" w:lineRule="auto"/>
        <w:rPr>
          <w:sz w:val="20"/>
          <w:szCs w:val="20"/>
          <w:color w:val="auto"/>
        </w:rPr>
      </w:pPr>
      <w:r>
        <w:rPr>
          <w:rFonts w:ascii="Times New Roman" w:cs="Times New Roman" w:eastAsia="Times New Roman" w:hAnsi="Times New Roman"/>
          <w:sz w:val="16"/>
          <w:szCs w:val="16"/>
          <w:color w:val="auto"/>
        </w:rPr>
        <w:t>securities analysts to cover our shares; additions or departures of key management personnel; adverse market reaction to any indebtedness we may incur or securities we may issue in the future; actions by stockholders; changes in market valuations of similar companies; speculation in the press or investment community; changes or proposed changes in laws or regulations or differing interpretations thereof affecting our businesses or enforcement of these laws and regulations, or announcements relating to these matters; a lack of liquidity in the trading of our shares; adverse publicity about the investment management industry generally or individual scandals, specifically; a breach of our computer systems, software, or networks, or misappropriation of our proprietary information; and economic, financial, geopolitical, regulatory, or judicial events or conditions that affect us or the financial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right="1400" w:hanging="575"/>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Carlyle Group Management L.L.C. has significant influence over us and its interests may conflict with ours or yours. </w:t>
      </w:r>
      <w:r>
        <w:rPr>
          <w:rFonts w:ascii="Times New Roman" w:cs="Times New Roman" w:eastAsia="Times New Roman" w:hAnsi="Times New Roman"/>
          <w:sz w:val="14"/>
          <w:szCs w:val="14"/>
          <w:color w:val="auto"/>
        </w:rPr>
        <w:t>Carlyle Group Management L.L.C., which is wholly owned and controlled by our co-founders and other senior Carlyle</w:t>
      </w:r>
    </w:p>
    <w:p>
      <w:pPr>
        <w:spacing w:after="0" w:line="1"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professionals, holds approximately 37.4% of the voting power of our common stock as of December 31, 2024, pursuant to an irrevocable proxy granted to it by senior Carlyle professionals and certain other former limited partners of Carlyle Holdings who became holders of shares of common stock in connection with the Conversion.</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For so long as Carlyle Group Management L.L.C. continues to have voting power over a significant percentage of our common stock, even though such amount is less than 50%, it will be able to significantly influence the composition of our Board of Directors and the approval of actions requiring stockholder approval. Accordingly, for such period of time, Carlyle Group Management L.L.C. will have significant influence with respect to our management, business plans, and policies, including the appointment and removal of our officers. In particular, for so long as Carlyle Group Management L.L.C. continues to own a significant percentage of our common stock, it will be able to cause or prevent a change of control of our Company or a change in the composition of our Board of Directors and could preclude any unsolicited acquisition of our Company. The concentration of ownership could delay or deter possible changes in control of our Company and could deprive you of an opportunity to receive a premium for your shares of common stock as part of a sale of our Company and ultimately might affect the market price of our common stock. In addition, sales of our common stock by one or more of our co -founders may cause the market price of common stock to be volatile. The interests of Carlyle Group Management L.L.C. may not coincide with our interests or the interests of other holders of our common stock. See “Risks Related to Our Common Stock— The market price of our common stock has been and may continue to be volatile, which could cause the value of your investment to decline.”</w:t>
      </w:r>
    </w:p>
    <w:p>
      <w:pPr>
        <w:spacing w:after="0" w:line="211" w:lineRule="auto"/>
        <w:rPr>
          <w:sz w:val="20"/>
          <w:szCs w:val="20"/>
          <w:color w:val="auto"/>
        </w:rPr>
      </w:pPr>
      <w:r>
        <w:rPr>
          <w:rFonts w:ascii="Times New Roman" w:cs="Times New Roman" w:eastAsia="Times New Roman" w:hAnsi="Times New Roman"/>
          <w:sz w:val="16"/>
          <w:szCs w:val="16"/>
          <w:b w:val="1"/>
          <w:bCs w:val="1"/>
          <w:i w:val="1"/>
          <w:iCs w:val="1"/>
          <w:color w:val="auto"/>
        </w:rPr>
        <w:t>Our co-founders have the right to designate members of our Board of Directors.</w:t>
      </w:r>
    </w:p>
    <w:p>
      <w:pPr>
        <w:ind w:right="1420" w:firstLine="576"/>
        <w:spacing w:after="0"/>
        <w:rPr>
          <w:sz w:val="20"/>
          <w:szCs w:val="20"/>
          <w:color w:val="auto"/>
        </w:rPr>
      </w:pPr>
      <w:r>
        <w:rPr>
          <w:rFonts w:ascii="Times New Roman" w:cs="Times New Roman" w:eastAsia="Times New Roman" w:hAnsi="Times New Roman"/>
          <w:sz w:val="14"/>
          <w:szCs w:val="14"/>
          <w:color w:val="auto"/>
        </w:rPr>
        <w:t>Pursuant to the stockholder agreements with each of our co-founders, for so long as such co-founder and/or his “Founder Group” (as defined in the stockholder agreements) beneficially owns at least 5% of our issued and outstanding common stock, each of our co -founders will have the right to nominate one director to our Board of Directors. In addition, each co-founder will have the right to nominate a second director to our Board of Directors until the earlier of (x) such time as such co -founder and/or his Founder Group ceases to beneficially own at least 20 million shares of our common stock and (y) January 1, 2027. For so long as at least one co -founder is entitled to designate two directors to the Board of Directors, the co- founders then serving on our Board of Directors may (i) designate a co- founder to serve as chair or co-chair and (ii) designate a co-founder to serve on each of the compensation and nominating committees and any executive committee, subject to applicable law and listing standards. Accordingly, for such period of time, our co-founders will have significant influence over the composition of our Board of Directors and could prevent certain changes in the composition of our Board of Directors.</w:t>
      </w:r>
    </w:p>
    <w:p>
      <w:pPr>
        <w:spacing w:after="0" w:line="112"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does not limit the ability of our former general partner, co-founders, directors, officers, or stockholders to compete with us.</w:t>
      </w:r>
    </w:p>
    <w:p>
      <w:pPr>
        <w:spacing w:after="0" w:line="204"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none of Carlyle Group Management L.L.C., any</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person that controls Carlyle Group Management L.L.C., and our co-founders, directors and officers, and stockholders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spacing w:after="0" w:line="2"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These persons also may pursue acquisition opportunities that may be complementary to our business and, as a result, those acquisition opportunities may not be available to the Company. In addition, these persons may have an interest in our pursuing acquisitions, divestitures, and other transactions that, in their judgment, could enhance their investment, even though such transactions might involve risks to our common stockholders.</w:t>
      </w:r>
    </w:p>
    <w:p>
      <w:pPr>
        <w:spacing w:after="0" w:line="2"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organizational documents and Delaware law may discourage or delay acquisition attempts for us that stockholders might consider favorable.</w:t>
      </w:r>
    </w:p>
    <w:p>
      <w:pPr>
        <w:spacing w:after="0" w:line="1" w:lineRule="exact"/>
        <w:rPr>
          <w:sz w:val="20"/>
          <w:szCs w:val="20"/>
          <w:color w:val="auto"/>
        </w:rPr>
      </w:pPr>
    </w:p>
    <w:p>
      <w:pPr>
        <w:ind w:right="2120"/>
        <w:spacing w:after="0" w:line="203" w:lineRule="auto"/>
        <w:rPr>
          <w:sz w:val="20"/>
          <w:szCs w:val="20"/>
          <w:color w:val="auto"/>
        </w:rPr>
      </w:pPr>
      <w:r>
        <w:rPr>
          <w:rFonts w:ascii="Times New Roman" w:cs="Times New Roman" w:eastAsia="Times New Roman" w:hAnsi="Times New Roman"/>
          <w:sz w:val="16"/>
          <w:szCs w:val="16"/>
          <w:color w:val="auto"/>
        </w:rPr>
        <w:t>Our amended and restated certificate of incorporation and bylaws contain provisions that may make the merger or acquisition of our company more difficult without the approval of our Board of Directors. Among other things, these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 for the removal of directors only for cause;</w:t>
      </w:r>
    </w:p>
    <w:p>
      <w:pPr>
        <w:sectPr>
          <w:pgSz w:w="11900" w:h="16840" w:orient="portrait"/>
          <w:cols w:equalWidth="0" w:num="1">
            <w:col w:w="9400"/>
          </w:cols>
          <w:pgMar w:left="1060" w:top="557" w:right="1440"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220"/>
        <w:spacing w:after="0" w:line="232" w:lineRule="auto"/>
        <w:rPr>
          <w:sz w:val="20"/>
          <w:szCs w:val="20"/>
          <w:color w:val="auto"/>
        </w:rPr>
      </w:pPr>
      <w:r>
        <w:rPr>
          <w:rFonts w:ascii="Times New Roman" w:cs="Times New Roman" w:eastAsia="Times New Roman" w:hAnsi="Times New Roman"/>
          <w:sz w:val="14"/>
          <w:szCs w:val="14"/>
          <w:color w:val="auto"/>
        </w:rPr>
        <w:t>•provide that, if at any time any person or group (other than Carlyle Group Management L.L.C. and its affiliates, a direct or subsequently approved transferee of Carlyle Group Management L.L.C. or its affiliates) beneficially owns</w:t>
      </w:r>
    </w:p>
    <w:p>
      <w:pPr>
        <w:spacing w:after="0" w:line="1" w:lineRule="exact"/>
        <w:rPr>
          <w:sz w:val="20"/>
          <w:szCs w:val="20"/>
          <w:color w:val="auto"/>
        </w:rPr>
      </w:pPr>
    </w:p>
    <w:p>
      <w:pPr>
        <w:ind w:right="2120"/>
        <w:spacing w:after="0" w:line="203" w:lineRule="auto"/>
        <w:rPr>
          <w:sz w:val="20"/>
          <w:szCs w:val="20"/>
          <w:color w:val="auto"/>
        </w:rPr>
      </w:pPr>
      <w:r>
        <w:rPr>
          <w:rFonts w:ascii="Times New Roman" w:cs="Times New Roman" w:eastAsia="Times New Roman" w:hAnsi="Times New Roman"/>
          <w:sz w:val="16"/>
          <w:szCs w:val="16"/>
          <w:color w:val="auto"/>
        </w:rPr>
        <w:t>20% or more of any class of stock then outstanding, that person or group will lose voting rights on all of its shares of stock and such shares may not be voted on any matter;</w:t>
      </w:r>
    </w:p>
    <w:p>
      <w:pPr>
        <w:spacing w:after="0" w:line="1" w:lineRule="exact"/>
        <w:rPr>
          <w:sz w:val="20"/>
          <w:szCs w:val="20"/>
          <w:color w:val="auto"/>
        </w:rPr>
      </w:pPr>
    </w:p>
    <w:p>
      <w:pPr>
        <w:ind w:right="2120"/>
        <w:spacing w:after="0" w:line="232" w:lineRule="auto"/>
        <w:rPr>
          <w:sz w:val="20"/>
          <w:szCs w:val="20"/>
          <w:color w:val="auto"/>
        </w:rPr>
      </w:pPr>
      <w:r>
        <w:rPr>
          <w:rFonts w:ascii="Times New Roman" w:cs="Times New Roman" w:eastAsia="Times New Roman" w:hAnsi="Times New Roman"/>
          <w:sz w:val="14"/>
          <w:szCs w:val="14"/>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2" w:lineRule="exact"/>
        <w:rPr>
          <w:sz w:val="20"/>
          <w:szCs w:val="20"/>
          <w:color w:val="auto"/>
        </w:rPr>
      </w:pPr>
    </w:p>
    <w:p>
      <w:pPr>
        <w:ind w:right="2820"/>
        <w:spacing w:after="0" w:line="203" w:lineRule="auto"/>
        <w:rPr>
          <w:sz w:val="20"/>
          <w:szCs w:val="20"/>
          <w:color w:val="auto"/>
        </w:rPr>
      </w:pPr>
      <w:r>
        <w:rPr>
          <w:rFonts w:ascii="Times New Roman" w:cs="Times New Roman" w:eastAsia="Times New Roman" w:hAnsi="Times New Roman"/>
          <w:sz w:val="16"/>
          <w:szCs w:val="16"/>
          <w:color w:val="auto"/>
        </w:rPr>
        <w:t>•prohibit stockholder action by written consent unless such action is consented by the Board of Directors; •provide for certain limitations on convening special stockholder meetings;</w:t>
      </w:r>
    </w:p>
    <w:p>
      <w:pPr>
        <w:spacing w:after="0" w:line="1" w:lineRule="exact"/>
        <w:rPr>
          <w:sz w:val="20"/>
          <w:szCs w:val="20"/>
          <w:color w:val="auto"/>
        </w:rPr>
      </w:pPr>
    </w:p>
    <w:p>
      <w:pPr>
        <w:jc w:val="both"/>
        <w:ind w:right="2240"/>
        <w:spacing w:after="0" w:line="203" w:lineRule="auto"/>
        <w:rPr>
          <w:sz w:val="20"/>
          <w:szCs w:val="20"/>
          <w:color w:val="auto"/>
        </w:rPr>
      </w:pPr>
      <w:r>
        <w:rPr>
          <w:rFonts w:ascii="Times New Roman" w:cs="Times New Roman" w:eastAsia="Times New Roman" w:hAnsi="Times New Roman"/>
          <w:sz w:val="16"/>
          <w:szCs w:val="16"/>
          <w:color w:val="auto"/>
        </w:rPr>
        <w:t>•provide (i) that the Board of Directors is expressly authorized to make, alter, or repeal our bylaws and (ii) that our stockholders may only amend our bylaws with the approval of at least a majority of all of the outstanding shares of our capital stock entitled to vote; and</w:t>
      </w:r>
    </w:p>
    <w:p>
      <w:pPr>
        <w:spacing w:after="0" w:line="1" w:lineRule="exact"/>
        <w:rPr>
          <w:sz w:val="20"/>
          <w:szCs w:val="20"/>
          <w:color w:val="auto"/>
        </w:rPr>
      </w:pPr>
    </w:p>
    <w:p>
      <w:pPr>
        <w:ind w:right="2460"/>
        <w:spacing w:after="0" w:line="203" w:lineRule="auto"/>
        <w:rPr>
          <w:sz w:val="20"/>
          <w:szCs w:val="20"/>
          <w:color w:val="auto"/>
        </w:rPr>
      </w:pPr>
      <w:r>
        <w:rPr>
          <w:rFonts w:ascii="Times New Roman" w:cs="Times New Roman" w:eastAsia="Times New Roman" w:hAnsi="Times New Roman"/>
          <w:sz w:val="16"/>
          <w:szCs w:val="16"/>
          <w:color w:val="auto"/>
        </w:rPr>
        <w:t>•establish advance notice requirements for nominations for elections to our Board of Directors or for proposing matters that can be acted upon by stockholders at stockholder meetings.</w:t>
      </w:r>
    </w:p>
    <w:p>
      <w:pPr>
        <w:spacing w:after="0" w:line="1" w:lineRule="exact"/>
        <w:rPr>
          <w:sz w:val="20"/>
          <w:szCs w:val="20"/>
          <w:color w:val="auto"/>
        </w:rPr>
      </w:pPr>
    </w:p>
    <w:p>
      <w:pPr>
        <w:ind w:right="1440"/>
        <w:spacing w:after="0" w:line="232" w:lineRule="auto"/>
        <w:rPr>
          <w:sz w:val="20"/>
          <w:szCs w:val="20"/>
          <w:color w:val="auto"/>
        </w:rPr>
      </w:pPr>
      <w:r>
        <w:rPr>
          <w:rFonts w:ascii="Times New Roman" w:cs="Times New Roman" w:eastAsia="Times New Roman" w:hAnsi="Times New Roman"/>
          <w:sz w:val="14"/>
          <w:szCs w:val="14"/>
          <w:color w:val="auto"/>
        </w:rPr>
        <w:t>Moreover, as a Delaware corporation, we are subject to provisions of Delaware law, which may impede or discourage a takeover attempt that our stockholders may find beneficial. These anti-takeover provisions and other provisions under Delaware law and our stockholder agreements with our co-founders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3"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The provision of our amended and restated certificate of incorporation requiring exclusive venue in the Court of Chancery in the State of Delaware for certain types of lawsuits may have the effect of discouraging lawsuits against us and our directors, officers, and stockholders.</w:t>
      </w:r>
    </w:p>
    <w:p>
      <w:pPr>
        <w:spacing w:after="0" w:line="205" w:lineRule="auto"/>
        <w:rPr>
          <w:sz w:val="20"/>
          <w:szCs w:val="20"/>
          <w:color w:val="auto"/>
        </w:rPr>
      </w:pPr>
      <w:r>
        <w:rPr>
          <w:rFonts w:ascii="Times New Roman" w:cs="Times New Roman" w:eastAsia="Times New Roman" w:hAnsi="Times New Roman"/>
          <w:sz w:val="16"/>
          <w:szCs w:val="16"/>
          <w:color w:val="auto"/>
        </w:rPr>
        <w:t>Our amended and restated certificate of incorporation requires, to the fullest extent permitted by law, that any claims,</w:t>
      </w:r>
    </w:p>
    <w:p>
      <w:pPr>
        <w:ind w:right="1500"/>
        <w:spacing w:after="0" w:line="203" w:lineRule="auto"/>
        <w:rPr>
          <w:sz w:val="20"/>
          <w:szCs w:val="20"/>
          <w:color w:val="auto"/>
        </w:rPr>
      </w:pPr>
      <w:r>
        <w:rPr>
          <w:rFonts w:ascii="Times New Roman" w:cs="Times New Roman" w:eastAsia="Times New Roman" w:hAnsi="Times New Roman"/>
          <w:sz w:val="16"/>
          <w:szCs w:val="16"/>
          <w:color w:val="auto"/>
        </w:rPr>
        <w:t>suits, actions, or proceedings arising out of or relating in any way to our amended and restated certificate of incorporation may only be brought in the Court of Chancery of the State of Delaware or, if such court does not have subject matter jurisdiction thereof, any other court in the State of Delaware with subject matter jurisdiction. This provision may have the effect of discouraging lawsuits against us and our directors, officers, and stockholders.</w:t>
      </w:r>
    </w:p>
    <w:p>
      <w:pPr>
        <w:spacing w:after="0" w:line="2" w:lineRule="exact"/>
        <w:rPr>
          <w:sz w:val="20"/>
          <w:szCs w:val="20"/>
          <w:color w:val="auto"/>
        </w:rPr>
      </w:pPr>
    </w:p>
    <w:p>
      <w:pPr>
        <w:ind w:right="16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If The Carlyle Group Inc. were deemed to be an “investment company” under the Investment Company Act, applicable restrictions could make it impractical for us to continue our business as contemplated and could have a material adverse effect on our business.</w:t>
      </w:r>
    </w:p>
    <w:p>
      <w:pPr>
        <w:spacing w:after="0" w:line="1" w:lineRule="exact"/>
        <w:rPr>
          <w:sz w:val="20"/>
          <w:szCs w:val="20"/>
          <w:color w:val="auto"/>
        </w:rPr>
      </w:pPr>
    </w:p>
    <w:p>
      <w:pPr>
        <w:ind w:right="1600" w:firstLine="576"/>
        <w:spacing w:after="0" w:line="203" w:lineRule="auto"/>
        <w:rPr>
          <w:sz w:val="20"/>
          <w:szCs w:val="20"/>
          <w:color w:val="auto"/>
        </w:rPr>
      </w:pPr>
      <w:r>
        <w:rPr>
          <w:rFonts w:ascii="Times New Roman" w:cs="Times New Roman" w:eastAsia="Times New Roman" w:hAnsi="Times New Roman"/>
          <w:sz w:val="16"/>
          <w:szCs w:val="16"/>
          <w:color w:val="auto"/>
        </w:rPr>
        <w:t>An entity generally will be deemed to be an “investment company” for purposes of the Investment Company Act if: •it is or holds itself out as being engaged primarily, or proposes to engage primarily, in the business of investing, reinvesting, or trading in securities; or</w:t>
      </w:r>
    </w:p>
    <w:p>
      <w:pPr>
        <w:spacing w:after="0" w:line="1" w:lineRule="exact"/>
        <w:rPr>
          <w:sz w:val="20"/>
          <w:szCs w:val="20"/>
          <w:color w:val="auto"/>
        </w:rPr>
      </w:pPr>
    </w:p>
    <w:p>
      <w:pPr>
        <w:ind w:right="1960"/>
        <w:spacing w:after="0" w:line="232" w:lineRule="auto"/>
        <w:rPr>
          <w:sz w:val="20"/>
          <w:szCs w:val="20"/>
          <w:color w:val="auto"/>
        </w:rPr>
      </w:pPr>
      <w:r>
        <w:rPr>
          <w:rFonts w:ascii="Times New Roman" w:cs="Times New Roman" w:eastAsia="Times New Roman" w:hAnsi="Times New Roman"/>
          <w:sz w:val="14"/>
          <w:szCs w:val="14"/>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 w:lineRule="exact"/>
        <w:rPr>
          <w:sz w:val="20"/>
          <w:szCs w:val="20"/>
          <w:color w:val="auto"/>
        </w:rPr>
      </w:pPr>
    </w:p>
    <w:p>
      <w:pPr>
        <w:ind w:right="1440"/>
        <w:spacing w:after="0" w:line="238" w:lineRule="auto"/>
        <w:rPr>
          <w:sz w:val="20"/>
          <w:szCs w:val="20"/>
          <w:color w:val="auto"/>
        </w:rPr>
      </w:pPr>
      <w:r>
        <w:rPr>
          <w:rFonts w:ascii="Times New Roman" w:cs="Times New Roman" w:eastAsia="Times New Roman" w:hAnsi="Times New Roman"/>
          <w:sz w:val="14"/>
          <w:szCs w:val="14"/>
          <w:color w:val="auto"/>
        </w:rPr>
        <w:t>We believe that we are engaged primarily in the business of providing asset management services and not in the business of investing, reinvesting, or trading in securities. We hold ourselves out as an asset management firm and do not propose to engage primarily in the business of investing, reinvesting, or trading in securities. Accordingly, we do not believe that The Carlyle Group Inc. is an “orthodox” investment company as defined in section 3(a)(1)(A) of the Investment Company Act and described in the first bullet point above. Furthermore, The Carlyle Group Inc. does not have any material assets other than its interests in certain wholly owned subsidiaries, which in turn have no material assets other than general partner interests in the Carlyle Holdings partnerships. These wholly owned subsidiaries are the sole general partners of the Carlyle Holdings partnerships and are vested with all management and control over the Carlyle Holdings partnerships. We do not believe that the</w:t>
      </w: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color w:val="auto"/>
        </w:rPr>
        <w:t>equity interests of The Carlyle Group Inc. in its wholly owned subsidiaries or the general partner interests of these wholly</w:t>
      </w:r>
    </w:p>
    <w:p>
      <w:pPr>
        <w:sectPr>
          <w:pgSz w:w="11900" w:h="16840" w:orient="portrait"/>
          <w:cols w:equalWidth="0" w:num="1">
            <w:col w:w="9400"/>
          </w:cols>
          <w:pgMar w:left="1060" w:top="1440" w:right="1440" w:bottom="79" w:gutter="0" w:footer="0" w:header="0"/>
          <w:type w:val="continuous"/>
        </w:sectPr>
      </w:pPr>
    </w:p>
    <w:bookmarkStart w:id="75" w:name="page76"/>
    <w:bookmarkEnd w:id="75"/>
    <w:p>
      <w:pPr>
        <w:ind w:right="1400"/>
        <w:spacing w:after="0" w:line="206" w:lineRule="auto"/>
        <w:rPr>
          <w:sz w:val="20"/>
          <w:szCs w:val="20"/>
          <w:color w:val="auto"/>
        </w:rPr>
      </w:pPr>
      <w:r>
        <w:rPr>
          <w:rFonts w:ascii="Times New Roman" w:cs="Times New Roman" w:eastAsia="Times New Roman" w:hAnsi="Times New Roman"/>
          <w:sz w:val="16"/>
          <w:szCs w:val="16"/>
          <w:color w:val="auto"/>
        </w:rPr>
        <w:t>owned subsidiaries in the Carlyle Holdings partnerships are investment securities. Moreover, because we believe that the capital interests of the general partners of our funds in their respective funds are neither securities nor investment securities, we believe that less than 40% of The Carlyle Group Inc.’s total assets (exclusive of U.S. government securities and cash items) on an unconsolidated basis are composed of assets that could be considered investment securities. Accordingly, we do not believe that The Carlyle Group Inc. is an inadvertent investment company by virtue of the 40% test in section 3(a)(1)(C) of the Investment Company Act as described in the second bullet point above. In addition, we believe that The Carlyle Group Inc. is not an investment company under section 3(b)(1) of the Investment Company Act because it is primarily engaged in a non-investment company business.</w:t>
      </w:r>
    </w:p>
    <w:p>
      <w:pPr>
        <w:spacing w:after="0" w:line="3" w:lineRule="exact"/>
        <w:rPr>
          <w:sz w:val="20"/>
          <w:szCs w:val="20"/>
          <w:color w:val="auto"/>
        </w:rPr>
      </w:pPr>
    </w:p>
    <w:p>
      <w:pPr>
        <w:ind w:right="1500"/>
        <w:spacing w:after="0"/>
        <w:rPr>
          <w:sz w:val="20"/>
          <w:szCs w:val="20"/>
          <w:color w:val="auto"/>
        </w:rPr>
      </w:pPr>
      <w:r>
        <w:rPr>
          <w:rFonts w:ascii="Times New Roman" w:cs="Times New Roman" w:eastAsia="Times New Roman" w:hAnsi="Times New Roman"/>
          <w:sz w:val="14"/>
          <w:szCs w:val="14"/>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The Carlyle Group Inc. will not be deemed to be an investment company under the Investment Company Act. If anything were to happen that would cause The Carlyle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Carlyle Group Inc. and our senior Carlyle professionals, and materially adversely affect our business, results of operations, and financial condition. In addition, we may be required to limit the amount of investments that we make as a principal or otherwise conduct our business in a manner that does not subject us to the registration and other requirements of the Investment Company Act.</w:t>
      </w:r>
    </w:p>
    <w:p>
      <w:pPr>
        <w:spacing w:after="0" w:line="102" w:lineRule="exact"/>
        <w:rPr>
          <w:sz w:val="20"/>
          <w:szCs w:val="20"/>
          <w:color w:val="auto"/>
        </w:rPr>
      </w:pPr>
    </w:p>
    <w:p>
      <w:pPr>
        <w:ind w:right="1400"/>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consolidation of investment funds, holding companies, or operating businesses of our portfolio companies could make it more difficult to understand the operating performance of the Company and could create operational risks for the Company. </w:t>
      </w:r>
      <w:r>
        <w:rPr>
          <w:rFonts w:ascii="Times New Roman" w:cs="Times New Roman" w:eastAsia="Times New Roman" w:hAnsi="Times New Roman"/>
          <w:sz w:val="14"/>
          <w:szCs w:val="14"/>
          <w:color w:val="auto"/>
        </w:rPr>
        <w:t>Under applicable U.S. GAAP standards, we may be required to consolidate certain of our investment funds, holding companies, or operating businesses if we determine that these entities are VIEs and that we are the primary beneficiary of the VIE, as discussed in Note 2, Summary of Significant Accounting Policies, to our consolidated financial statements in Part II, Item 8 of this Annual Report on Form 10- K. The consolidation of such entities could make it difficult for an investor to differentiate our assets, liabilities, and results of operations apart from the assets, liabilities, and results of operations of the consolidated VIEs. The assets of the consolidated VIEs are not available to meet our liquidity requirements and, similarly, we generally have not guaranteed or assumed any obligation for repayment of the liabilities of the consolidated VIEs.</w:t>
      </w:r>
    </w:p>
    <w:p>
      <w:pPr>
        <w:spacing w:after="0" w:line="4" w:lineRule="exact"/>
        <w:rPr>
          <w:sz w:val="20"/>
          <w:szCs w:val="20"/>
          <w:color w:val="auto"/>
        </w:rPr>
      </w:pPr>
    </w:p>
    <w:p>
      <w:pPr>
        <w:ind w:right="1460" w:firstLine="576"/>
        <w:spacing w:after="0" w:line="203" w:lineRule="auto"/>
        <w:rPr>
          <w:sz w:val="20"/>
          <w:szCs w:val="20"/>
          <w:color w:val="auto"/>
        </w:rPr>
      </w:pPr>
      <w:r>
        <w:rPr>
          <w:rFonts w:ascii="Times New Roman" w:cs="Times New Roman" w:eastAsia="Times New Roman" w:hAnsi="Times New Roman"/>
          <w:sz w:val="16"/>
          <w:szCs w:val="16"/>
          <w:color w:val="auto"/>
        </w:rPr>
        <w:t>As of December 31, 2024, the total assets and liabilities of the consolidated VIEs reflected in the consolidated balance sheets were $8.9 billion and $ 7.7 billion, respectively.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Risks Related to Taxation</w:t>
      </w:r>
    </w:p>
    <w:p>
      <w:pPr>
        <w:spacing w:after="0" w:line="1" w:lineRule="exact"/>
        <w:rPr>
          <w:sz w:val="20"/>
          <w:szCs w:val="20"/>
          <w:color w:val="auto"/>
        </w:rPr>
      </w:pPr>
    </w:p>
    <w:p>
      <w:pPr>
        <w:jc w:val="both"/>
        <w:ind w:right="166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Changes in relevant tax laws, regulations, or treaties or an adverse interpretation of these items by tax authorities could negatively impact our effective tax rate, tax liability, and/or the performance of certain funds should unexpected taxes be assessed to portfolio investments (companies) or fund income.</w:t>
      </w:r>
    </w:p>
    <w:p>
      <w:pPr>
        <w:spacing w:after="0" w:line="1" w:lineRule="exact"/>
        <w:rPr>
          <w:sz w:val="20"/>
          <w:szCs w:val="20"/>
          <w:color w:val="auto"/>
        </w:rPr>
      </w:pPr>
    </w:p>
    <w:p>
      <w:pPr>
        <w:ind w:right="1500"/>
        <w:spacing w:after="0" w:line="232" w:lineRule="auto"/>
        <w:rPr>
          <w:sz w:val="20"/>
          <w:szCs w:val="20"/>
          <w:color w:val="auto"/>
        </w:rPr>
      </w:pPr>
      <w:r>
        <w:rPr>
          <w:rFonts w:ascii="Times New Roman" w:cs="Times New Roman" w:eastAsia="Times New Roman" w:hAnsi="Times New Roman"/>
          <w:sz w:val="14"/>
          <w:szCs w:val="14"/>
          <w:color w:val="auto"/>
        </w:rPr>
        <w:t>Our effective tax rate and tax liability is based on the application of current income tax laws, regulations, and treaties. These laws, regulations, and treaties are complex, and the manner that they apply to us and our funds is sometimes open to interpretation.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(including the Internal Revenue Service (“IRS”), which received additional funding under the Inflation Reduction Act of 2022 (the “IRA”) to bolster enforcement of the U.S. tax code) could challenge our interpretation, resulting in additional tax liability or adjustment to our income tax provision that could increase our effective tax rate.</w:t>
      </w:r>
    </w:p>
    <w:p>
      <w:pPr>
        <w:spacing w:after="0" w:line="3" w:lineRule="exact"/>
        <w:rPr>
          <w:sz w:val="20"/>
          <w:szCs w:val="20"/>
          <w:color w:val="auto"/>
        </w:rPr>
      </w:pPr>
    </w:p>
    <w:p>
      <w:pPr>
        <w:ind w:right="1480"/>
        <w:spacing w:after="0" w:line="241" w:lineRule="auto"/>
        <w:rPr>
          <w:sz w:val="20"/>
          <w:szCs w:val="20"/>
          <w:color w:val="auto"/>
        </w:rPr>
      </w:pPr>
      <w:r>
        <w:rPr>
          <w:rFonts w:ascii="Times New Roman" w:cs="Times New Roman" w:eastAsia="Times New Roman" w:hAnsi="Times New Roman"/>
          <w:sz w:val="14"/>
          <w:szCs w:val="14"/>
          <w:color w:val="auto"/>
        </w:rPr>
        <w:t>There may be changes in tax laws or interpretations of tax laws (possibly with retrospective effect) in jurisdictions in which we operate, are managed, are advised, are promoted, or invest. Such changes could materially increase the amount of taxes, we, our portfolio companies, our investors, or our employees and other key personnel and service providers are required to pay. In particular, both the level and basis of taxation may change. Changes to taxation treaties or interpretations of taxation treaties between one or more such jurisdictions and the countries through which we hold investments, or the introduction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60"/>
        <w:spacing w:after="0" w:line="203" w:lineRule="auto"/>
        <w:rPr>
          <w:sz w:val="20"/>
          <w:szCs w:val="20"/>
          <w:color w:val="auto"/>
        </w:rPr>
      </w:pPr>
      <w:r>
        <w:rPr>
          <w:rFonts w:ascii="Times New Roman" w:cs="Times New Roman" w:eastAsia="Times New Roman" w:hAnsi="Times New Roman"/>
          <w:sz w:val="16"/>
          <w:szCs w:val="16"/>
          <w:color w:val="auto"/>
        </w:rPr>
        <w:t>change to, EU directives may adversely affect our ability to efficiently realize income or capital gains and to efficiently repatriate income and capital gains from the jurisdictions in which they arise.</w:t>
      </w:r>
    </w:p>
    <w:p>
      <w:pPr>
        <w:spacing w:after="0" w:line="204" w:lineRule="auto"/>
        <w:rPr>
          <w:sz w:val="20"/>
          <w:szCs w:val="20"/>
          <w:color w:val="auto"/>
        </w:rPr>
      </w:pPr>
      <w:r>
        <w:rPr>
          <w:rFonts w:ascii="Times New Roman" w:cs="Times New Roman" w:eastAsia="Times New Roman" w:hAnsi="Times New Roman"/>
          <w:sz w:val="16"/>
          <w:szCs w:val="16"/>
          <w:color w:val="auto"/>
        </w:rPr>
        <w:t>Past and future changes to tax laws and regulations may have an adverse impact on us, including by materially and</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adversely affecting the value of our investments or the feasibility of making certain investments. This could significantly affect returns to investors, cause us to revalue our net deferred tax assets, and/or have a material change to our effective tax rate and tax liabilities. In addition, foreign tax credit regulations published in 2022 impose significant additional requirements for foreign taxes to be eligible for foreign tax credits. Although the U.S. Department of the Treasury (“Treasury”) and the IRS provided relief in 2023 from certain provisions of these foreign tax credit regulations for the indefinite future, their potential impact remains uncertain and could be adverse. In addition, final and proposed regulations published in 2024 related to functional currency and taxation on foreign exchange transactions, which could change how taxpayers are currently computing foreign exchange calculations. Further, the IRA introduced, among other things, a 15% alternative minimum tax on the “adjusted financial statement income” of certain large corporations and a 1% excise tax on certain actual and deemed stock repurchases. We are an applicable corporation that is subject to the alternative minimum tax, as well as a covered corporation that is subject to the 1% excise tax. These and other changes may not only materially change the amount and/or timing of tax we and our portfolio companies may be required to pay, but also may increase tax-related regulatory and compliance costs. The alternative minimum tax requires complex computations to be performed that were not previously required in U.S. tax law, significant judgments to be made in interpretation of the provisions of the IRA and proposed regulations, significant estimates in calculations, and the preparation and analysis of information not previously relevant or regularly produced. Treasury, the IRS, and other standard -setting bodies have issued some guidance and are expected to issue additional guidance on how the alternative minimum tax provisions of the IRA will be applied or otherwise administered that may differ from our</w:t>
      </w:r>
    </w:p>
    <w:p>
      <w:pPr>
        <w:sectPr>
          <w:pgSz w:w="11900" w:h="16840" w:orient="portrait"/>
          <w:cols w:equalWidth="0" w:num="1">
            <w:col w:w="9400"/>
          </w:cols>
          <w:pgMar w:left="1060" w:top="557" w:right="1440" w:bottom="101" w:gutter="0" w:footer="0" w:header="0"/>
        </w:sectPr>
      </w:pPr>
    </w:p>
    <w:bookmarkStart w:id="76" w:name="page77"/>
    <w:bookmarkEnd w:id="76"/>
    <w:p>
      <w:pPr>
        <w:ind w:right="1500"/>
        <w:spacing w:after="0" w:line="208" w:lineRule="auto"/>
        <w:rPr>
          <w:sz w:val="20"/>
          <w:szCs w:val="20"/>
          <w:color w:val="auto"/>
        </w:rPr>
      </w:pPr>
      <w:r>
        <w:rPr>
          <w:rFonts w:ascii="Times New Roman" w:cs="Times New Roman" w:eastAsia="Times New Roman" w:hAnsi="Times New Roman"/>
          <w:sz w:val="16"/>
          <w:szCs w:val="16"/>
          <w:color w:val="auto"/>
        </w:rPr>
        <w:t>interpretations. As we continue to comply with the provisions of the IRA and proposed regulations, collect and prepare necessary data, and interpret any additional guidance, we may make adjustments to provisional amounts that we have recorded that may materially impact our provision for income taxes in the period in which adjustments are made. Lastly, Treasury and the IRS issued a first set of proposed regulations related to previously taxed earnings and profits (“PTEP”) of foreign corporations in 2024, which provides for changes to the accounting, basis adjustments, and calculations of PTEP.</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Both the new administration and certain members of the U.S. Congress have stated that one of their top legislative priorities is significant reform of the Internal Revenue Code and other federal tax laws. Among other things, the new administration and Congress may pursue tax policies seeking to alter the income tax rates and brackets applicable to individuals and corporations, exempt certain types of income from taxation, eliminate clean energy subsidies enacted by the IRA, provide tax incentives for domestic production, and impose significant new tariffs on foreign goods. Both the timing and the details of any such tax reform are unclear. The impact of any potential tax reform on us, our portfolio companies, and our investors is uncertain and could be adverse. See “Risks Related to Our Company—We depend on our senior Carlyle professionals, including our Chief Executive Officer, and the loss of their services or investor confidence in such personnel could have a material adverse effect on our business, results of operations, and financial condition.”</w:t>
      </w:r>
    </w:p>
    <w:p>
      <w:pPr>
        <w:spacing w:after="0" w:line="208" w:lineRule="auto"/>
        <w:rPr>
          <w:sz w:val="20"/>
          <w:szCs w:val="20"/>
          <w:color w:val="auto"/>
        </w:rPr>
      </w:pPr>
      <w:r>
        <w:rPr>
          <w:rFonts w:ascii="Times New Roman" w:cs="Times New Roman" w:eastAsia="Times New Roman" w:hAnsi="Times New Roman"/>
          <w:sz w:val="16"/>
          <w:szCs w:val="16"/>
          <w:color w:val="auto"/>
        </w:rPr>
        <w:t>State and local governments also may enact tax laws that could result in fundamental changes in state and local</w:t>
      </w:r>
    </w:p>
    <w:p>
      <w:pPr>
        <w:ind w:right="1440"/>
        <w:spacing w:after="0" w:line="203" w:lineRule="auto"/>
        <w:rPr>
          <w:sz w:val="20"/>
          <w:szCs w:val="20"/>
          <w:color w:val="auto"/>
        </w:rPr>
      </w:pPr>
      <w:r>
        <w:rPr>
          <w:rFonts w:ascii="Times New Roman" w:cs="Times New Roman" w:eastAsia="Times New Roman" w:hAnsi="Times New Roman"/>
          <w:sz w:val="16"/>
          <w:szCs w:val="16"/>
          <w:color w:val="auto"/>
        </w:rPr>
        <w:t>taxation and have a material adverse effect on our results of operations, financial condition, and cash flow. In particular, both the level and basis of taxation may change. For example, the State of New York issued final regulations on December 27, 2023, that implemented comprehensive franchise tax reform for corporations, banks, and insurance companies. This did not have a material impact to our consolidated financial statements; however, we will continue to monitor as additional guidance is released by the State of New York.</w:t>
      </w:r>
    </w:p>
    <w:p>
      <w:pPr>
        <w:spacing w:after="0" w:line="2"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Our workforce, including employees, key personnel, and service providers, has become more geographically dispersed since the COVID- 19 pandemic. This increased diversity of locations may result in higher tax and compliance costs for our entities, including elevated payroll taxes and social security contributions. In addition, our entities may become subject to taxation in jurisdictions where they were not previously considered to have a taxable presence. Should these increased tax costs be passed on to employees or other personnel, or if stricter working arrangements are necessary to manage compliance risks, our ability to attract and retain talent could be adversely impacted.</w:t>
      </w:r>
    </w:p>
    <w:p>
      <w:pPr>
        <w:spacing w:after="0" w:line="206" w:lineRule="auto"/>
        <w:rPr>
          <w:sz w:val="20"/>
          <w:szCs w:val="20"/>
          <w:color w:val="auto"/>
        </w:rPr>
      </w:pPr>
      <w:r>
        <w:rPr>
          <w:rFonts w:ascii="Times New Roman" w:cs="Times New Roman" w:eastAsia="Times New Roman" w:hAnsi="Times New Roman"/>
          <w:sz w:val="16"/>
          <w:szCs w:val="16"/>
          <w:color w:val="auto"/>
        </w:rPr>
        <w:t>International tax developments also may significantly impact us. The OECD’s base erosion and profit shifting</w:t>
      </w:r>
    </w:p>
    <w:p>
      <w:pPr>
        <w:spacing w:after="0" w:line="1" w:lineRule="exact"/>
        <w:rPr>
          <w:sz w:val="20"/>
          <w:szCs w:val="20"/>
          <w:color w:val="auto"/>
        </w:rPr>
      </w:pPr>
    </w:p>
    <w:p>
      <w:pPr>
        <w:ind w:right="1440"/>
        <w:spacing w:after="0" w:line="239" w:lineRule="auto"/>
        <w:rPr>
          <w:sz w:val="20"/>
          <w:szCs w:val="20"/>
          <w:color w:val="auto"/>
        </w:rPr>
      </w:pPr>
      <w:r>
        <w:rPr>
          <w:rFonts w:ascii="Times New Roman" w:cs="Times New Roman" w:eastAsia="Times New Roman" w:hAnsi="Times New Roman"/>
          <w:sz w:val="14"/>
          <w:szCs w:val="14"/>
          <w:color w:val="auto"/>
        </w:rPr>
        <w:t>(“BEPS”) project is focused on a number of issues, including the shifting of profits between affiliated entities in different tax jurisdictions, interest deductibility, and eligibility for the benefits of double tax treaties. Several of the measures, including measures covering treaty abuse (including an anti -abuse “principal purpose” test), the deductibility of interest expense, local nexus requirements, transfer pricing, and hybrid mismatch arrangements are potentially relevant to some of our structures and could have an adverse tax impact on our funds, investors, and/or our portfolio companies, including by adversely impacting our ability to efficiently realize and repatriate income and capital gains from the jurisdictions in which they arise. Many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color w:val="auto"/>
        </w:rPr>
        <w:t>jurisdictions have introduced domestic legislation implementing certain of the BEPS action points, but because timing of implementation and the specific measures adopted will vary among participating member countries, uncertainty remains regarding the impact of the BEPS proposals. Moreover, many of the jurisdictions in which we have made (or expect to make) investments have now ratified, accepted, and approved the OECD’s Multilateral Instrument that brings into effect a number of relevant changes to double tax treaty eligibility. While these changes continue to be introduced, there remains uncertainty as to whether and to what extent we may benefit from such treaties and whether our funds may look to their investors in order to derive tax treaty or other benefits. This position is likely to remain uncertain for a number of years.</w:t>
      </w:r>
    </w:p>
    <w:p>
      <w:pPr>
        <w:spacing w:after="0" w:line="207" w:lineRule="auto"/>
        <w:rPr>
          <w:sz w:val="20"/>
          <w:szCs w:val="20"/>
          <w:color w:val="auto"/>
        </w:rPr>
      </w:pPr>
      <w:r>
        <w:rPr>
          <w:rFonts w:ascii="Times New Roman" w:cs="Times New Roman" w:eastAsia="Times New Roman" w:hAnsi="Times New Roman"/>
          <w:sz w:val="16"/>
          <w:szCs w:val="16"/>
          <w:color w:val="auto"/>
        </w:rPr>
        <w:t>In addition, the EU has adopted (and subsequently extended) an Anti-Tax Avoidance Directive (the “ATAD rules”),</w:t>
      </w:r>
    </w:p>
    <w:p>
      <w:pPr>
        <w:ind w:right="1480"/>
        <w:spacing w:after="0" w:line="232" w:lineRule="auto"/>
        <w:rPr>
          <w:sz w:val="20"/>
          <w:szCs w:val="20"/>
          <w:color w:val="auto"/>
        </w:rPr>
      </w:pPr>
      <w:r>
        <w:rPr>
          <w:rFonts w:ascii="Times New Roman" w:cs="Times New Roman" w:eastAsia="Times New Roman" w:hAnsi="Times New Roman"/>
          <w:sz w:val="14"/>
          <w:szCs w:val="14"/>
          <w:color w:val="auto"/>
        </w:rPr>
        <w:t>which directly implements some of the BEPS project action points within EU law and requires EU Member States to transpose the ATAD rules into their domestic laws. The ATAD rules, which include rules targeting reverse hybrids, and the domestic laws that implement them are extensive, complex, and could apply to a wide range of scenarios. While certain countries have issued guidance on the application of these rules, the impact of the ATAD rules and their application to our entities remains uncertain. These rules could have an adverse tax impact on our firm, funds, investors, and/or our portfolio companies. On January 17, 2023, the European Parliament approved a proposal for an anti-tax avoidance directive laying down</w:t>
      </w:r>
    </w:p>
    <w:p>
      <w:pPr>
        <w:spacing w:after="0" w:line="3"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rules to prevent the misuse of shell entities for tax purposes within the EU (the “Unshell Proposal,” also known as “ATAD III”). The final text will need to be approved by the Council of the European Union, although it is uncertain at this stage whether the Unshell Proposal will move forward to implementation. If it is implemented, the Unshell Proposal could, among other things, impose additional taxes on our entities (including by imposing additional limitations on the deductibility of interest payments) and/or impact our ability to repatriate investment returns and/or international profits in a tax efficient way resulting in additional tax costs and/or reporting, disclosure, and computation obligations (which could result in increased administrative and compliance costs) for our entities.</w:t>
      </w:r>
    </w:p>
    <w:p>
      <w:pPr>
        <w:spacing w:after="0" w:line="207" w:lineRule="auto"/>
        <w:rPr>
          <w:sz w:val="20"/>
          <w:szCs w:val="20"/>
          <w:color w:val="auto"/>
        </w:rPr>
      </w:pPr>
      <w:r>
        <w:rPr>
          <w:rFonts w:ascii="Times New Roman" w:cs="Times New Roman" w:eastAsia="Times New Roman" w:hAnsi="Times New Roman"/>
          <w:sz w:val="16"/>
          <w:szCs w:val="16"/>
          <w:color w:val="auto"/>
        </w:rPr>
        <w:t>In addition, a number of proposals from the European Commission have been issued or adopted that further enhance</w:t>
      </w:r>
    </w:p>
    <w:p>
      <w:pPr>
        <w:ind w:right="1480"/>
        <w:spacing w:after="0"/>
        <w:rPr>
          <w:sz w:val="20"/>
          <w:szCs w:val="20"/>
          <w:color w:val="auto"/>
        </w:rPr>
      </w:pPr>
      <w:r>
        <w:rPr>
          <w:rFonts w:ascii="Times New Roman" w:cs="Times New Roman" w:eastAsia="Times New Roman" w:hAnsi="Times New Roman"/>
          <w:sz w:val="14"/>
          <w:szCs w:val="14"/>
          <w:color w:val="auto"/>
        </w:rPr>
        <w:t>and move beyond the work on the BEPS project. First, a package of tax reforms was adopted by the European Commission on September 12, 2023, comprising the “Proposal for a Council Directive on Business in Europe: Framework for Income Taxation” (“BEFIT”) (which seeks to produce a comprehensive solution for business taxation in the EU) and the “Proposal for a Council Directive on transfer pricing” (which seeks to harmonize transfer pricing rules within the EU and ensure a common approach to transfer pricing). BEFIT aims to introduce a common set of rules for EU companies to calculate their taxable base while ensuring a more effective allocation of profits between EU countries. Following adoption by the European Council, the proposals are intended to come into force on July 1, 2028 (for BEFIT) and January 1, 2026 (for the transfer pricing proposals). BEFIT has the potential to alter taxing rights with the EU and may include substantive changes to applicable tax rules. Second, the European Council has agreed to implement changes to the procedures used across the European Union in respect of withholding taxes (known as “FASTER”). Specifically, the changes are aimed to simplify the procedures for a refund or to apply for relief at the source; however, the changes could have broader implications. These withholding tax proposals are expected to come into effect from January 1, 2030. The details and timing of the implementation of BEFIT (if adopted) and FASTER and the impact on our funds, or any entities in or through which our funds invest, is uncertain.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OECD also has issued proposals, commonly referred to as “BEPS 2.0,” which fundamentally change the</w:t>
      </w:r>
    </w:p>
    <w:p>
      <w:pPr>
        <w:ind w:right="1620"/>
        <w:spacing w:after="0" w:line="268" w:lineRule="auto"/>
        <w:rPr>
          <w:sz w:val="20"/>
          <w:szCs w:val="20"/>
          <w:color w:val="auto"/>
        </w:rPr>
      </w:pPr>
      <w:r>
        <w:rPr>
          <w:rFonts w:ascii="Times New Roman" w:cs="Times New Roman" w:eastAsia="Times New Roman" w:hAnsi="Times New Roman"/>
          <w:sz w:val="14"/>
          <w:szCs w:val="14"/>
          <w:color w:val="auto"/>
        </w:rPr>
        <w:t>international tax system. The proposals are based on two “pillars” involving the shifting of taxing rights to the jurisdiction of the consumer (“Pillar One”) and ensuring all companies pay a global minimum corporate tax (“Pillar Two”).</w:t>
      </w:r>
    </w:p>
    <w:p>
      <w:pPr>
        <w:sectPr>
          <w:pgSz w:w="11900" w:h="16840" w:orient="portrait"/>
          <w:cols w:equalWidth="0" w:num="1">
            <w:col w:w="9400"/>
          </w:cols>
          <w:pgMar w:left="1060" w:top="557" w:right="1440" w:bottom="73" w:gutter="0" w:footer="0" w:header="0"/>
        </w:sectPr>
      </w:pPr>
    </w:p>
    <w:bookmarkStart w:id="77" w:name="page78"/>
    <w:bookmarkEnd w:id="77"/>
    <w:p>
      <w:pPr>
        <w:ind w:right="1420"/>
        <w:spacing w:after="0"/>
        <w:rPr>
          <w:sz w:val="20"/>
          <w:szCs w:val="20"/>
          <w:color w:val="auto"/>
        </w:rPr>
      </w:pPr>
      <w:r>
        <w:rPr>
          <w:rFonts w:ascii="Times New Roman" w:cs="Times New Roman" w:eastAsia="Times New Roman" w:hAnsi="Times New Roman"/>
          <w:sz w:val="14"/>
          <w:szCs w:val="14"/>
          <w:color w:val="auto"/>
        </w:rPr>
        <w:t>Under Pillar One, multinational enterprises (“MNEs”) with an annual global turnover of at least EUR 20 billion will be subject to rules allocating a formulaic share of consolidated profits in excess of a 10% profit margin to the jurisdictions where their consumers or users are located (subject to threshold rules). MNEs carrying on specific low-risk activities are excluded, including “regulated financial services.” Pillar Two imposes a minimum effective tax rate of 15% on MNEs that have consolidated revenues of at least EUR 750 million in at least two out of the last four years. Pillar Two introduces three related tax measures (the “GloBE” rules): the qualified domestic minimum top-up tax (“QDMTT”) is assessed by a low- taxed jurisdiction itself, the income inclusion rule (“IIR”) imposes a top up tax on a parent entity where a constituent member of the MNE group has low -taxed income, and lastly, the undertaxed payment rule applies to intra -group payments if a constituent member’s income is not taxed by an IIR or QDMTT. In addition, a subject to tax rule (“STTR”) will permit source jurisdictions to impose limited withholding taxes on low -taxed related party payments, which will be creditable against the GloBE rules tax liability. The OECD has released model rules and commentary for Pillar Two, including guidance on the treatment of taxes paid by U.S. companies on non-U.S. income under the U.S. Global Intangible Low-Taxed Income regime. The proposals are complex and subject to significant uncertainty, and consultation in respect of certain aspects of the rules is ongoing as we await further guidance from the OECD. It is anticipated that certain classes of entities that are typically exempt from tax will be outside of the scope of Pillar Two, including investment funds and real estate investment vehicles (as respectively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which are the ultimate parent entity of the MNE group (and certain holding vehicles of such entities); however, the application of these exemptions to our entities remains open to significant uncertainty. Although certain elements of Pillar Two have been implemented, important details, in particular on the implementation of certain elements of Pillar One, are still awaited. In addition, the U.S. is not expected to enact Pillar Two, creating additional uncertainty as to the application of these rules to multinational enterprises with a U.S. parent entity, and it is not yet clear whether a U.S. foreign tax credit will be available with respect to these additional taxes, which may result in a higher overall tax cost.</w:t>
      </w:r>
    </w:p>
    <w:p>
      <w:pPr>
        <w:spacing w:after="0" w:line="3"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Various countries have implemented or intend to implement the OECD’s recommended model rules. In particular, the Council of the European Union formally adopted Pillar Two and required all 27 EU member states to adopt local legislation during 2023 to implement Pillar Two rules that apply in respect of the fiscal years beginning from December 31, 2023, and a number of other countries outside the EU member states have implemented (or are currently proposing to implement) core elements of the Pillar Two proposal. Many other countries also will seek to implement other proposals including a potential digital services tax. There remains significant uncertainty as to the interaction of these rules and, subject to the development and implementation of both Pillar One and Pillar Two (including the details of any domestic legislation, double taxation treaty amendments, and multilateral agreements that may be necessary to implement them), effective tax rates could increase for our firm, funds, portfolio companies, and investors, including by way of higher levels of tax being imposed, possible denial of deductions, increased withholding taxes, and/or profits being allocated differently. It is likely that our entities also will be subject to significant additional compliance and/or reporting obligations. Any tax laws, regulations, or treaties newly enacted or enacted in the future also may cause us to revalue our net deferred tax assets and have a material change to our effective tax rate and tax liabilities, as a result.</w:t>
      </w:r>
    </w:p>
    <w:p>
      <w:pPr>
        <w:spacing w:after="0" w:line="210" w:lineRule="auto"/>
        <w:rPr>
          <w:sz w:val="20"/>
          <w:szCs w:val="20"/>
          <w:color w:val="auto"/>
        </w:rPr>
      </w:pPr>
      <w:r>
        <w:rPr>
          <w:rFonts w:ascii="Times New Roman" w:cs="Times New Roman" w:eastAsia="Times New Roman" w:hAnsi="Times New Roman"/>
          <w:sz w:val="16"/>
          <w:szCs w:val="16"/>
          <w:color w:val="auto"/>
        </w:rPr>
        <w:t>Moreover, the Netherlands continues to provide additional updates to its withholding tax on dividends. As of January</w:t>
      </w:r>
    </w:p>
    <w:p>
      <w:pPr>
        <w:spacing w:after="0" w:line="1" w:lineRule="exact"/>
        <w:rPr>
          <w:sz w:val="20"/>
          <w:szCs w:val="20"/>
          <w:color w:val="auto"/>
        </w:rPr>
      </w:pPr>
    </w:p>
    <w:p>
      <w:pPr>
        <w:ind w:right="1580"/>
        <w:spacing w:after="0" w:line="232" w:lineRule="auto"/>
        <w:rPr>
          <w:sz w:val="20"/>
          <w:szCs w:val="20"/>
          <w:color w:val="auto"/>
        </w:rPr>
      </w:pPr>
      <w:r>
        <w:rPr>
          <w:rFonts w:ascii="Times New Roman" w:cs="Times New Roman" w:eastAsia="Times New Roman" w:hAnsi="Times New Roman"/>
          <w:sz w:val="14"/>
          <w:szCs w:val="14"/>
          <w:color w:val="auto"/>
        </w:rPr>
        <w:t>1, 2024, dividend distributions made by Dutch companies to “associated beneficiaries” established in blacklisted jurisdictions (or non-blacklisted jurisdictions, in the case of situations that are deemed to be “abusive”) may be subject to a conditional withholding tax. The applicable tax rate is linked to the highest corporate income tax in the relevant year (being 25.8% in</w:t>
      </w:r>
    </w:p>
    <w:p>
      <w:pPr>
        <w:spacing w:after="0" w:line="1" w:lineRule="exact"/>
        <w:rPr>
          <w:sz w:val="20"/>
          <w:szCs w:val="20"/>
          <w:color w:val="auto"/>
        </w:rPr>
      </w:pPr>
    </w:p>
    <w:p>
      <w:pPr>
        <w:ind w:right="1780"/>
        <w:spacing w:after="0" w:line="203" w:lineRule="auto"/>
        <w:rPr>
          <w:sz w:val="20"/>
          <w:szCs w:val="20"/>
          <w:color w:val="auto"/>
        </w:rPr>
      </w:pPr>
      <w:r>
        <w:rPr>
          <w:rFonts w:ascii="Times New Roman" w:cs="Times New Roman" w:eastAsia="Times New Roman" w:hAnsi="Times New Roman"/>
          <w:sz w:val="16"/>
          <w:szCs w:val="16"/>
          <w:color w:val="auto"/>
        </w:rPr>
        <w:t>2025). We are monitoring the impact of these rules, which could result in additional withholding taxes being levied on our investment funds or on repatriation of income and gains generated.</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U.S. and foreign tax regulations could adversely affect our ability to raise funds from certain foreign investors and increase compliance costs.</w:t>
      </w:r>
    </w:p>
    <w:p>
      <w:pPr>
        <w:spacing w:after="0" w:line="204" w:lineRule="auto"/>
        <w:rPr>
          <w:sz w:val="20"/>
          <w:szCs w:val="20"/>
          <w:color w:val="auto"/>
        </w:rPr>
      </w:pPr>
      <w:r>
        <w:rPr>
          <w:rFonts w:ascii="Times New Roman" w:cs="Times New Roman" w:eastAsia="Times New Roman" w:hAnsi="Times New Roman"/>
          <w:sz w:val="16"/>
          <w:szCs w:val="16"/>
          <w:color w:val="auto"/>
        </w:rPr>
        <w:t>We must comply with complicated and expansive information tax reporting regimes in multiple jurisdictions, which</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require us to perform due diligence and to report information about certain account holders and investors, as well as potential withholding. Failure to comply with these requirements could result in increased administrative and compliance costs for our investment entities and, in some cases, could subject our investment entities to increased withholding taxes or monetary penalties.</w:t>
      </w:r>
    </w:p>
    <w:p>
      <w:pPr>
        <w:spacing w:after="0" w:line="235" w:lineRule="auto"/>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ind w:left="560"/>
        <w:spacing w:after="0" w:line="203" w:lineRule="auto"/>
        <w:rPr>
          <w:sz w:val="20"/>
          <w:szCs w:val="20"/>
          <w:color w:val="auto"/>
        </w:rPr>
      </w:pPr>
      <w:r>
        <w:rPr>
          <w:rFonts w:ascii="Times New Roman" w:cs="Times New Roman" w:eastAsia="Times New Roman" w:hAnsi="Times New Roman"/>
          <w:sz w:val="16"/>
          <w:szCs w:val="16"/>
          <w:color w:val="auto"/>
        </w:rPr>
        <w:t>None.</w:t>
      </w:r>
    </w:p>
    <w:p>
      <w:pPr>
        <w:spacing w:after="0" w:line="233" w:lineRule="auto"/>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1C.</w:t>
      </w:r>
      <w:r>
        <w:rPr>
          <w:sz w:val="20"/>
          <w:szCs w:val="20"/>
          <w:color w:val="auto"/>
        </w:rPr>
        <w:tab/>
      </w:r>
      <w:r>
        <w:rPr>
          <w:rFonts w:ascii="Times New Roman" w:cs="Times New Roman" w:eastAsia="Times New Roman" w:hAnsi="Times New Roman"/>
          <w:sz w:val="14"/>
          <w:szCs w:val="14"/>
          <w:b w:val="1"/>
          <w:bCs w:val="1"/>
          <w:color w:val="auto"/>
        </w:rPr>
        <w:t>CYBERSECURITY</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 w:lineRule="exact"/>
        <w:rPr>
          <w:sz w:val="20"/>
          <w:szCs w:val="20"/>
          <w:color w:val="auto"/>
        </w:rPr>
      </w:pPr>
    </w:p>
    <w:p>
      <w:pPr>
        <w:ind w:right="1780"/>
        <w:spacing w:after="0" w:line="254" w:lineRule="auto"/>
        <w:rPr>
          <w:sz w:val="20"/>
          <w:szCs w:val="20"/>
          <w:color w:val="auto"/>
        </w:rPr>
      </w:pPr>
      <w:r>
        <w:rPr>
          <w:rFonts w:ascii="Times New Roman" w:cs="Times New Roman" w:eastAsia="Times New Roman" w:hAnsi="Times New Roman"/>
          <w:sz w:val="14"/>
          <w:szCs w:val="14"/>
          <w:color w:val="auto"/>
        </w:rPr>
        <w:t>We regularly assess risks from cybersecurity threats, monitor our information systems for potential vulnerabilities, and test those systems pursuant to our cybersecurity policies, standards, processes, and practices, which are integrated into our</w:t>
      </w:r>
    </w:p>
    <w:p>
      <w:pPr>
        <w:spacing w:after="0"/>
        <w:rPr>
          <w:sz w:val="20"/>
          <w:szCs w:val="20"/>
          <w:color w:val="auto"/>
        </w:rPr>
      </w:pPr>
      <w:r>
        <w:rPr>
          <w:rFonts w:ascii="Times New Roman" w:cs="Times New Roman" w:eastAsia="Times New Roman" w:hAnsi="Times New Roman"/>
          <w:sz w:val="14"/>
          <w:szCs w:val="14"/>
          <w:color w:val="auto"/>
        </w:rPr>
        <w:t>overall risk management system. To protect our information systems from cybersecurity threats, we use various security tools</w:t>
      </w:r>
    </w:p>
    <w:p>
      <w:pPr>
        <w:spacing w:after="0" w:line="26" w:lineRule="exact"/>
        <w:rPr>
          <w:sz w:val="20"/>
          <w:szCs w:val="20"/>
          <w:color w:val="auto"/>
        </w:rPr>
      </w:pPr>
    </w:p>
    <w:p>
      <w:pPr>
        <w:ind w:right="1400"/>
        <w:spacing w:after="0" w:line="237" w:lineRule="auto"/>
        <w:rPr>
          <w:sz w:val="20"/>
          <w:szCs w:val="20"/>
          <w:color w:val="auto"/>
        </w:rPr>
      </w:pPr>
      <w:r>
        <w:rPr>
          <w:rFonts w:ascii="Times New Roman" w:cs="Times New Roman" w:eastAsia="Times New Roman" w:hAnsi="Times New Roman"/>
          <w:sz w:val="14"/>
          <w:szCs w:val="14"/>
          <w:color w:val="auto"/>
        </w:rPr>
        <w:t>that help us identify, protect against, detect, respond to, and recover from security incidents. These efforts are implemented by our Global Technology &amp; Solutions (“GTS”) team in partnership with our business, legal, and compliance teams, and are essential for us to conduct investment activities, manage internal administration activities, and connect our global enterprise. Our systems, data, network, and infrastructure are monitored and administered by formal controls and risk management processes that log events and help protect the firm’s data. In addition, our business continuity plans are designed to allow critical business functions to continue in an orderly manner in the event of an emergency. The GTS team works closely with our business segment teams to maintain operational resilience through business continuity planning and annual information technology disaster recovery and incident response plan testing, which collectively support the goal of mitigating risk were an emergency to occur. These efforts are underpinned by the implementation of security best practices, where possible, such as:</w:t>
      </w:r>
    </w:p>
    <w:p>
      <w:pPr>
        <w:sectPr>
          <w:pgSz w:w="11900" w:h="16840" w:orient="portrait"/>
          <w:cols w:equalWidth="0" w:num="1">
            <w:col w:w="9400"/>
          </w:cols>
          <w:pgMar w:left="1060" w:top="557" w:right="1440"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jc w:val="both"/>
        <w:ind w:right="2880"/>
        <w:spacing w:after="0" w:line="203" w:lineRule="auto"/>
        <w:rPr>
          <w:sz w:val="20"/>
          <w:szCs w:val="20"/>
          <w:color w:val="auto"/>
        </w:rPr>
      </w:pPr>
      <w:r>
        <w:rPr>
          <w:rFonts w:ascii="Times New Roman" w:cs="Times New Roman" w:eastAsia="Times New Roman" w:hAnsi="Times New Roman"/>
          <w:sz w:val="16"/>
          <w:szCs w:val="16"/>
          <w:color w:val="auto"/>
        </w:rPr>
        <w:t>•Multi-factor authentication for remote access, privileged access management for system administrators, application whitelisting, laptop encryption, mobile device management software, and advanced malware defenses on endpoints;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•Incident preparedness and response planning and risk mitigation;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•Independent and continuous security testing, assessment, and third-party risk and vulnerability management;</w:t>
      </w:r>
    </w:p>
    <w:p>
      <w:pPr>
        <w:spacing w:after="0" w:line="3" w:lineRule="exact"/>
        <w:rPr>
          <w:sz w:val="20"/>
          <w:szCs w:val="20"/>
          <w:color w:val="auto"/>
        </w:rPr>
      </w:pPr>
    </w:p>
    <w:p>
      <w:pPr>
        <w:ind w:right="2940"/>
        <w:spacing w:after="0" w:line="203" w:lineRule="auto"/>
        <w:rPr>
          <w:sz w:val="20"/>
          <w:szCs w:val="20"/>
          <w:color w:val="auto"/>
        </w:rPr>
      </w:pPr>
      <w:r>
        <w:rPr>
          <w:rFonts w:ascii="Times New Roman" w:cs="Times New Roman" w:eastAsia="Times New Roman" w:hAnsi="Times New Roman"/>
          <w:sz w:val="16"/>
          <w:szCs w:val="16"/>
          <w:color w:val="auto"/>
        </w:rPr>
        <w:t>•Regular security awareness training, including phishing simulations, for Carlyle authorized users; •Restrictions on access to personal email accounts, cloud storage, social media, risk-based categories of websites, and USB storage devices;</w:t>
      </w:r>
    </w:p>
    <w:p>
      <w:pPr>
        <w:spacing w:after="0" w:line="1" w:lineRule="exact"/>
        <w:rPr>
          <w:sz w:val="20"/>
          <w:szCs w:val="20"/>
          <w:color w:val="auto"/>
        </w:rPr>
      </w:pPr>
    </w:p>
    <w:p>
      <w:pPr>
        <w:ind w:right="3040"/>
        <w:spacing w:after="0" w:line="203" w:lineRule="auto"/>
        <w:rPr>
          <w:sz w:val="20"/>
          <w:szCs w:val="20"/>
          <w:color w:val="auto"/>
        </w:rPr>
      </w:pPr>
      <w:r>
        <w:rPr>
          <w:rFonts w:ascii="Times New Roman" w:cs="Times New Roman" w:eastAsia="Times New Roman" w:hAnsi="Times New Roman"/>
          <w:sz w:val="16"/>
          <w:szCs w:val="16"/>
          <w:color w:val="auto"/>
        </w:rPr>
        <w:t>•Device and system access management policies and procedures that restrict access upon employee or contractor separation from the company; and</w:t>
      </w:r>
    </w:p>
    <w:p>
      <w:pPr>
        <w:spacing w:after="0" w:line="1" w:lineRule="exact"/>
        <w:rPr>
          <w:sz w:val="20"/>
          <w:szCs w:val="20"/>
          <w:color w:val="auto"/>
        </w:rPr>
      </w:pPr>
    </w:p>
    <w:p>
      <w:pPr>
        <w:ind w:right="2660"/>
        <w:spacing w:after="0" w:line="203" w:lineRule="auto"/>
        <w:rPr>
          <w:sz w:val="20"/>
          <w:szCs w:val="20"/>
          <w:color w:val="auto"/>
        </w:rPr>
      </w:pPr>
      <w:r>
        <w:rPr>
          <w:rFonts w:ascii="Times New Roman" w:cs="Times New Roman" w:eastAsia="Times New Roman" w:hAnsi="Times New Roman"/>
          <w:sz w:val="16"/>
          <w:szCs w:val="16"/>
          <w:color w:val="auto"/>
        </w:rPr>
        <w:t>•Compliance attestations by Carlyle personnel on firm policies, such as our acceptable use policy, upon hire and annually.</w:t>
      </w:r>
    </w:p>
    <w:p>
      <w:pPr>
        <w:spacing w:after="0" w:line="1"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In addition, we partner with third parties to assess the effectiveness of our cybersecurity program, including audits and assessments performed under the direction of Carlyle’s Internal Audit team, which co-sources with third-party cybersecurity experts in conducting its reviews. GTS also administers the firm’s cyber third-party risk management program, which assesses external service providers before onboarding and provides ongoing monitoring in accordance with certain risk- based cybersecurity criteria.</w:t>
      </w:r>
    </w:p>
    <w:p>
      <w:pPr>
        <w:spacing w:after="0" w:line="206" w:lineRule="auto"/>
        <w:rPr>
          <w:sz w:val="20"/>
          <w:szCs w:val="20"/>
          <w:color w:val="auto"/>
        </w:rPr>
      </w:pPr>
      <w:r>
        <w:rPr>
          <w:rFonts w:ascii="Times New Roman" w:cs="Times New Roman" w:eastAsia="Times New Roman" w:hAnsi="Times New Roman"/>
          <w:sz w:val="16"/>
          <w:szCs w:val="16"/>
          <w:color w:val="auto"/>
        </w:rPr>
        <w:t>To our knowledge, cybersecurity threats, including as a result of any previous detected or undetected cybersecurity</w:t>
      </w:r>
    </w:p>
    <w:p>
      <w:pPr>
        <w:ind w:right="1420"/>
        <w:spacing w:after="0" w:line="203" w:lineRule="auto"/>
        <w:rPr>
          <w:sz w:val="20"/>
          <w:szCs w:val="20"/>
          <w:color w:val="auto"/>
        </w:rPr>
      </w:pPr>
      <w:r>
        <w:rPr>
          <w:rFonts w:ascii="Times New Roman" w:cs="Times New Roman" w:eastAsia="Times New Roman" w:hAnsi="Times New Roman"/>
          <w:sz w:val="16"/>
          <w:szCs w:val="16"/>
          <w:color w:val="auto"/>
        </w:rPr>
        <w:t>incidents, have not materially affected us, including our business strategy, results of operations, or financial condition; however, we may learn new facts about these detected or undetected incidents and these facts may lead us to change this materiality assessment. The sophistication of cyber threats continues to increase and there can be no assurance that the various procedures and controls we utilize to mitigate these threats will be sufficient to prevent disruptions to our systems. Consequently, given that the magnitude of cybersecurity incidents or threats are difficult to predict, we are unable to determine at this time whether risks from cybersecurity threats are reasonably likely to materially affect us, including our business strategy, results of operations, or financial condition. For an additional description of cybersecurity risk and potential related impacts on us, see Part I, Item 1A “Risk Factors—Risks Related to Our Company—Operational risks (including those associated with our business model), system security risks, breaches of data protection, cyberattacks, or actions or failure to act by our employees or others with authorized access to our networks, including our ability to insure against such risks, may disrupt our businesses, result in losses, or limit our growth.”</w:t>
      </w:r>
    </w:p>
    <w:p>
      <w:pPr>
        <w:spacing w:after="0" w:line="209" w:lineRule="auto"/>
        <w:rPr>
          <w:sz w:val="20"/>
          <w:szCs w:val="20"/>
          <w:color w:val="auto"/>
        </w:rPr>
      </w:pPr>
      <w:r>
        <w:rPr>
          <w:rFonts w:ascii="Times New Roman" w:cs="Times New Roman" w:eastAsia="Times New Roman" w:hAnsi="Times New Roman"/>
          <w:sz w:val="16"/>
          <w:szCs w:val="16"/>
          <w:b w:val="1"/>
          <w:bCs w:val="1"/>
          <w:color w:val="auto"/>
        </w:rPr>
        <w:t>Governance</w:t>
      </w:r>
    </w:p>
    <w:p>
      <w:pPr>
        <w:ind w:right="1400"/>
        <w:spacing w:after="0" w:line="203" w:lineRule="auto"/>
        <w:rPr>
          <w:sz w:val="20"/>
          <w:szCs w:val="20"/>
          <w:color w:val="auto"/>
        </w:rPr>
      </w:pPr>
      <w:r>
        <w:rPr>
          <w:rFonts w:ascii="Times New Roman" w:cs="Times New Roman" w:eastAsia="Times New Roman" w:hAnsi="Times New Roman"/>
          <w:sz w:val="16"/>
          <w:szCs w:val="16"/>
          <w:color w:val="auto"/>
        </w:rPr>
        <w:t>Our Board of Directors oversees our enterprise risk management strategy, including our strategy on cybersecurity risks, directly and through its committees. In this respect, the Audit Committee of the Board of Directors (the “Audit Committee”) oversees our risk management program, which focuses on the most significant risks we face in the short-, intermediate- , and long -term timeframe. Audit Committee meetings include discussions of specific risk areas throughout the year, including, among others, those relating to cybersecurity, and reports from the Chief Audit Executive on our enterprise risk profile on an annual basis. In addition, our Chief Information Security Officer (“CISO”) leads our cybersecurity program, chairs our Information Security Steering Committee (“ISSC”), and provides cybersecurity status reporting to our Audit Committee at least annually. The ISSC meets quarterly and ensures that cybersecurity initiatives are in alignment with Carlyle’s strategic priorities.</w:t>
      </w:r>
    </w:p>
    <w:p>
      <w:pPr>
        <w:spacing w:after="0" w:line="208" w:lineRule="auto"/>
        <w:rPr>
          <w:sz w:val="20"/>
          <w:szCs w:val="20"/>
          <w:color w:val="auto"/>
        </w:rPr>
      </w:pPr>
      <w:r>
        <w:rPr>
          <w:rFonts w:ascii="Times New Roman" w:cs="Times New Roman" w:eastAsia="Times New Roman" w:hAnsi="Times New Roman"/>
          <w:sz w:val="16"/>
          <w:szCs w:val="16"/>
          <w:color w:val="auto"/>
        </w:rPr>
        <w:t>We take a risk-based approach to cybersecurity and have implemented cybersecurity policies, standards, processes,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and practices throughout our operations that are designed to address cybersecurity threats, events, and incidents. In particular, our cybersecurity program supports security governance, security awareness and training, security engineering and architecture, security risk management, vulnerability management, security monitoring, and incident response capabilities. In addition, our incident response plan contains escalation and reporting protocols, including reporting to the firm’s Disclosure Committee to consider materiality of cybersecurity incidents. Policies and procedures are in place to assist the firm’s Disclosure Committee with these materiality assessments and any resulting reporting requirements.</w:t>
      </w:r>
    </w:p>
    <w:p>
      <w:pPr>
        <w:spacing w:after="0" w:line="206" w:lineRule="auto"/>
        <w:rPr>
          <w:sz w:val="20"/>
          <w:szCs w:val="20"/>
          <w:color w:val="auto"/>
        </w:rPr>
      </w:pPr>
      <w:r>
        <w:rPr>
          <w:rFonts w:ascii="Times New Roman" w:cs="Times New Roman" w:eastAsia="Times New Roman" w:hAnsi="Times New Roman"/>
          <w:sz w:val="16"/>
          <w:szCs w:val="16"/>
          <w:color w:val="auto"/>
        </w:rPr>
        <w:t>Our CISO, in coordination with our Chief Financial Officer, Chief Compliance Officer, Chief Information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Risk Officer, and Chief Audit Executive, among certain other senior executives, is responsible for leading the assessment</w:t>
      </w:r>
    </w:p>
    <w:p>
      <w:pPr>
        <w:sectPr>
          <w:pgSz w:w="11900" w:h="16840" w:orient="portrait"/>
          <w:cols w:equalWidth="0" w:num="1">
            <w:col w:w="9400"/>
          </w:cols>
          <w:pgMar w:left="1060" w:top="1440"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color w:val="auto"/>
        </w:rPr>
        <w:t>97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and management of cybersecurity risks. The current CISO has over 22 years of experience in information security that includes key roles managing cybersecurity risk in both government and the private sector. As described above, our CISO leads our cybersecurity program, chairs Carlyle’s ISSC that comprises senior management and other sector representatives, and provides cybersecurity status reporting to our Audit Committee as necessary and at least annually.</w:t>
      </w:r>
    </w:p>
    <w:p>
      <w:pPr>
        <w:spacing w:after="0" w:line="235" w:lineRule="auto"/>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ind w:right="1700" w:firstLine="576"/>
        <w:spacing w:after="0" w:line="203" w:lineRule="auto"/>
        <w:rPr>
          <w:sz w:val="20"/>
          <w:szCs w:val="20"/>
          <w:color w:val="auto"/>
        </w:rPr>
      </w:pPr>
      <w:r>
        <w:rPr>
          <w:rFonts w:ascii="Times New Roman" w:cs="Times New Roman" w:eastAsia="Times New Roman" w:hAnsi="Times New Roman"/>
          <w:sz w:val="16"/>
          <w:szCs w:val="16"/>
          <w:color w:val="auto"/>
        </w:rPr>
        <w:t>Our principal executive offices are located in leased office space at 1001 Pennsylvania Avenue, NW, Washington, D.C. We also lease the space for our other 28 offices. We do not own any real property. We consider these facilities to be suitable and adequate for the management and operation of our business.</w:t>
      </w:r>
    </w:p>
    <w:p>
      <w:pPr>
        <w:spacing w:after="0" w:line="234" w:lineRule="auto"/>
        <w:tabs>
          <w:tab w:leader="none" w:pos="11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ind w:right="1940"/>
        <w:spacing w:after="0" w:line="232" w:lineRule="auto"/>
        <w:rPr>
          <w:sz w:val="20"/>
          <w:szCs w:val="20"/>
          <w:color w:val="auto"/>
        </w:rPr>
      </w:pPr>
      <w:r>
        <w:rPr>
          <w:rFonts w:ascii="Times New Roman" w:cs="Times New Roman" w:eastAsia="Times New Roman" w:hAnsi="Times New Roman"/>
          <w:sz w:val="14"/>
          <w:szCs w:val="14"/>
          <w:color w:val="auto"/>
        </w:rPr>
        <w:t>In the ordinary course of business, the Company is a party to litigation, investigations, inquiries, employment-related matters, disputes and other potential claims. See Note 8, Commitments and Contingencies, to the consolidated financial statements in Part II, Item 8 of this Annual Report on Form 10-K for a discussion of certain of these matters.</w:t>
      </w:r>
    </w:p>
    <w:p>
      <w:pPr>
        <w:spacing w:after="0" w:line="234" w:lineRule="auto"/>
        <w:tabs>
          <w:tab w:leader="none" w:pos="11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ind w:left="560"/>
        <w:spacing w:after="0" w:line="203" w:lineRule="auto"/>
        <w:rPr>
          <w:sz w:val="20"/>
          <w:szCs w:val="20"/>
          <w:color w:val="auto"/>
        </w:rPr>
      </w:pPr>
      <w:r>
        <w:rPr>
          <w:rFonts w:ascii="Times New Roman" w:cs="Times New Roman" w:eastAsia="Times New Roman" w:hAnsi="Times New Roman"/>
          <w:sz w:val="16"/>
          <w:szCs w:val="16"/>
          <w:color w:val="auto"/>
        </w:rPr>
        <w:t>Not Applicable.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PART II.</w:t>
      </w:r>
    </w:p>
    <w:p>
      <w:pPr>
        <w:ind w:right="1640"/>
        <w:spacing w:after="0" w:line="203"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04"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“CG.”</w:t>
      </w:r>
    </w:p>
    <w:p>
      <w:pPr>
        <w:ind w:right="2420"/>
        <w:spacing w:after="0" w:line="203" w:lineRule="auto"/>
        <w:rPr>
          <w:sz w:val="20"/>
          <w:szCs w:val="20"/>
          <w:color w:val="auto"/>
        </w:rPr>
      </w:pPr>
      <w:r>
        <w:rPr>
          <w:rFonts w:ascii="Times New Roman" w:cs="Times New Roman" w:eastAsia="Times New Roman" w:hAnsi="Times New Roman"/>
          <w:sz w:val="16"/>
          <w:szCs w:val="16"/>
          <w:color w:val="auto"/>
        </w:rPr>
        <w:t>The number of holders of record of our common stock as of February 20, 2025 was 6. This does not include the number of stockholders that hold shares in “street name” through banks or broker-dealers.</w:t>
      </w:r>
    </w:p>
    <w:p>
      <w:pPr>
        <w:ind w:left="560"/>
        <w:spacing w:after="0" w:line="204" w:lineRule="auto"/>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 w:lineRule="exact"/>
        <w:rPr>
          <w:sz w:val="20"/>
          <w:szCs w:val="20"/>
          <w:color w:val="auto"/>
        </w:rPr>
      </w:pPr>
    </w:p>
    <w:p>
      <w:pPr>
        <w:ind w:right="2060"/>
        <w:spacing w:after="0" w:line="203" w:lineRule="auto"/>
        <w:rPr>
          <w:sz w:val="20"/>
          <w:szCs w:val="20"/>
          <w:color w:val="auto"/>
        </w:rPr>
      </w:pPr>
      <w:r>
        <w:rPr>
          <w:rFonts w:ascii="Times New Roman" w:cs="Times New Roman" w:eastAsia="Times New Roman" w:hAnsi="Times New Roman"/>
          <w:sz w:val="16"/>
          <w:szCs w:val="16"/>
          <w:color w:val="auto"/>
        </w:rPr>
        <w:t>Under our dividend policy for our common stock, we expect to pay our common stockholders an annualized dividend of $1.40 per share of common stock, equal to a quarterly dividend of $0.35 per share of common stock.</w:t>
      </w:r>
    </w:p>
    <w:p>
      <w:pPr>
        <w:spacing w:after="0" w:line="204" w:lineRule="auto"/>
        <w:rPr>
          <w:sz w:val="20"/>
          <w:szCs w:val="20"/>
          <w:color w:val="auto"/>
        </w:rPr>
      </w:pPr>
      <w:r>
        <w:rPr>
          <w:rFonts w:ascii="Times New Roman" w:cs="Times New Roman" w:eastAsia="Times New Roman" w:hAnsi="Times New Roman"/>
          <w:sz w:val="16"/>
          <w:szCs w:val="16"/>
          <w:color w:val="auto"/>
        </w:rPr>
        <w:t>The declaration and payment of any dividends to holders of our common stock are subject to the discretion of our</w:t>
      </w:r>
    </w:p>
    <w:p>
      <w:pPr>
        <w:ind w:right="1500"/>
        <w:spacing w:after="0" w:line="203" w:lineRule="auto"/>
        <w:rPr>
          <w:sz w:val="20"/>
          <w:szCs w:val="20"/>
          <w:color w:val="auto"/>
        </w:rPr>
      </w:pPr>
      <w:r>
        <w:rPr>
          <w:rFonts w:ascii="Times New Roman" w:cs="Times New Roman" w:eastAsia="Times New Roman" w:hAnsi="Times New Roman"/>
          <w:sz w:val="16"/>
          <w:szCs w:val="16"/>
          <w:color w:val="auto"/>
        </w:rPr>
        <w:t>Board of Directors, which may change our dividend policy at any time or from time to time, and the terms of our amended and restated certificate of incorporation. There can be no assurance that dividends will be made as intended or at all or that any particular dividend policy will be maintained.</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Stock Performance Graph</w:t>
      </w:r>
    </w:p>
    <w:p>
      <w:pPr>
        <w:ind w:right="1540"/>
        <w:spacing w:after="0" w:line="203" w:lineRule="auto"/>
        <w:rPr>
          <w:sz w:val="20"/>
          <w:szCs w:val="20"/>
          <w:color w:val="auto"/>
        </w:rPr>
      </w:pPr>
      <w:r>
        <w:rPr>
          <w:rFonts w:ascii="Times New Roman" w:cs="Times New Roman" w:eastAsia="Times New Roman" w:hAnsi="Times New Roman"/>
          <w:sz w:val="16"/>
          <w:szCs w:val="16"/>
          <w:color w:val="auto"/>
        </w:rPr>
        <w:t>The following graph depicts the total return to holders of our common stock from the closing price on December 31, 2019, the last trading day of our 2019 fiscal year, through December 31, 2024, the last trading day of our 2024 fiscal year, relative to the performance of the Dow Jones U.S. Asset Managers index and the S&amp;P MidCap 400 index. The graph assumes $100 invested on December 31, 2019, and dividends received reinvested in the security or index.</w:t>
      </w:r>
    </w:p>
    <w:p>
      <w:pPr>
        <w:spacing w:after="0" w:line="205" w:lineRule="auto"/>
        <w:rPr>
          <w:sz w:val="20"/>
          <w:szCs w:val="20"/>
          <w:color w:val="auto"/>
        </w:rPr>
      </w:pPr>
      <w:r>
        <w:rPr>
          <w:rFonts w:ascii="Times New Roman" w:cs="Times New Roman" w:eastAsia="Times New Roman" w:hAnsi="Times New Roman"/>
          <w:sz w:val="16"/>
          <w:szCs w:val="16"/>
          <w:color w:val="auto"/>
        </w:rPr>
        <w:t>The performance graph is not intended to be indicative of future performance. The performance graph shall not be</w:t>
      </w:r>
    </w:p>
    <w:p>
      <w:pPr>
        <w:spacing w:after="0" w:line="1" w:lineRule="exact"/>
        <w:rPr>
          <w:sz w:val="20"/>
          <w:szCs w:val="20"/>
          <w:color w:val="auto"/>
        </w:rPr>
      </w:pPr>
    </w:p>
    <w:p>
      <w:pPr>
        <w:ind w:right="1440"/>
        <w:spacing w:after="0" w:line="216" w:lineRule="auto"/>
        <w:rPr>
          <w:sz w:val="20"/>
          <w:szCs w:val="20"/>
          <w:color w:val="auto"/>
        </w:rPr>
      </w:pPr>
      <w:r>
        <w:rPr>
          <w:rFonts w:ascii="Times New Roman" w:cs="Times New Roman" w:eastAsia="Times New Roman" w:hAnsi="Times New Roman"/>
          <w:sz w:val="16"/>
          <w:szCs w:val="16"/>
          <w:color w:val="auto"/>
        </w:rPr>
        <w:t>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ectPr>
          <w:pgSz w:w="11900" w:h="16840" w:orient="portrait"/>
          <w:cols w:equalWidth="0" w:num="1">
            <w:col w:w="9400"/>
          </w:cols>
          <w:pgMar w:left="106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98</w:t>
      </w:r>
    </w:p>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ectPr>
          <w:pgSz w:w="11900" w:h="16840" w:orient="portrait"/>
          <w:cols w:equalWidth="0" w:num="1">
            <w:col w:w="9400"/>
          </w:cols>
          <w:pgMar w:left="1060" w:top="1171" w:right="1440" w:bottom="1440"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4847590" cy="2949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847590" cy="294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3" w:lineRule="auto"/>
        <w:rPr>
          <w:sz w:val="20"/>
          <w:szCs w:val="20"/>
          <w:color w:val="auto"/>
        </w:rPr>
      </w:pPr>
      <w:r>
        <w:rPr>
          <w:rFonts w:ascii="Times New Roman" w:cs="Times New Roman" w:eastAsia="Times New Roman" w:hAnsi="Times New Roman"/>
          <w:sz w:val="16"/>
          <w:szCs w:val="16"/>
          <w:color w:val="auto"/>
        </w:rPr>
        <w:t>The following table sets forth repurchases of our common stock during the three months ended December 31, 2024 for</w:t>
      </w:r>
    </w:p>
    <w:p>
      <w:pPr>
        <w:ind w:right="1480"/>
        <w:spacing w:after="0" w:line="208" w:lineRule="auto"/>
        <w:rPr>
          <w:sz w:val="20"/>
          <w:szCs w:val="20"/>
          <w:color w:val="auto"/>
        </w:rPr>
      </w:pPr>
      <w:r>
        <w:rPr>
          <w:rFonts w:ascii="Times New Roman" w:cs="Times New Roman" w:eastAsia="Times New Roman" w:hAnsi="Times New Roman"/>
          <w:sz w:val="16"/>
          <w:szCs w:val="16"/>
          <w:color w:val="auto"/>
        </w:rPr>
        <w:t>the periods indicated. During the three months ended December 31, 2024, 1.0 million shares were repurchased. In addition, 0.5 million shares were retired in connection with the net share settlement of equity-based awards, which are not included in the table below.</w:t>
      </w:r>
    </w:p>
    <w:tbl>
      <w:tblPr>
        <w:tblLayout w:type="fixed"/>
        <w:tblInd w:w="0" w:type="dxa"/>
        <w:tblCellMar>
          <w:top w:w="0" w:type="dxa"/>
          <w:left w:w="0" w:type="dxa"/>
          <w:bottom w:w="0" w:type="dxa"/>
          <w:right w:w="0" w:type="dxa"/>
        </w:tblCellMar>
      </w:tblPr>
      <w:tr>
        <w:trPr>
          <w:trHeight w:val="129"/>
        </w:trPr>
        <w:tc>
          <w:tcPr>
            <w:tcW w:w="27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3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 Total number</w:t>
            </w:r>
          </w:p>
        </w:tc>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 Average</w:t>
            </w:r>
          </w:p>
        </w:tc>
        <w:tc>
          <w:tcPr>
            <w:tcW w:w="13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 Total number of</w:t>
            </w:r>
          </w:p>
        </w:tc>
        <w:tc>
          <w:tcPr>
            <w:tcW w:w="17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 Maximum number (or</w:t>
            </w:r>
          </w:p>
        </w:tc>
      </w:tr>
      <w:tr>
        <w:trPr>
          <w:trHeight w:val="144"/>
        </w:trPr>
        <w:tc>
          <w:tcPr>
            <w:tcW w:w="2760" w:type="dxa"/>
            <w:vAlign w:val="bottom"/>
          </w:tcPr>
          <w:p>
            <w:pPr>
              <w:spacing w:after="0"/>
              <w:rPr>
                <w:sz w:val="12"/>
                <w:szCs w:val="12"/>
                <w:color w:val="auto"/>
              </w:rPr>
            </w:pPr>
          </w:p>
        </w:tc>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44"/>
        </w:trPr>
        <w:tc>
          <w:tcPr>
            <w:tcW w:w="2760" w:type="dxa"/>
            <w:vAlign w:val="bottom"/>
          </w:tcPr>
          <w:p>
            <w:pPr>
              <w:spacing w:after="0"/>
              <w:rPr>
                <w:sz w:val="12"/>
                <w:szCs w:val="12"/>
                <w:color w:val="auto"/>
              </w:rPr>
            </w:pPr>
          </w:p>
        </w:tc>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spacing w:after="0"/>
              <w:rPr>
                <w:sz w:val="12"/>
                <w:szCs w:val="12"/>
                <w:color w:val="auto"/>
              </w:rPr>
            </w:pPr>
          </w:p>
        </w:tc>
        <w:tc>
          <w:tcPr>
            <w:tcW w:w="1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44"/>
        </w:trPr>
        <w:tc>
          <w:tcPr>
            <w:tcW w:w="2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7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plans or programs (3)</w:t>
            </w:r>
          </w:p>
        </w:tc>
      </w:tr>
      <w:tr>
        <w:trPr>
          <w:trHeight w:val="26"/>
        </w:trPr>
        <w:tc>
          <w:tcPr>
            <w:tcW w:w="27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2760" w:type="dxa"/>
            <w:vAlign w:val="bottom"/>
          </w:tcPr>
          <w:p>
            <w:pPr>
              <w:spacing w:after="0"/>
              <w:rPr>
                <w:sz w:val="15"/>
                <w:szCs w:val="15"/>
                <w:color w:val="auto"/>
              </w:rPr>
            </w:pPr>
          </w:p>
        </w:tc>
        <w:tc>
          <w:tcPr>
            <w:tcW w:w="3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unit and per unit data)</w:t>
            </w: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8"/>
        </w:trPr>
        <w:tc>
          <w:tcPr>
            <w:tcW w:w="2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0"/>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1, 2024 to October 31, 2024 (1)</w:t>
            </w: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1,054.4</w:t>
            </w:r>
          </w:p>
        </w:tc>
      </w:tr>
      <w:tr>
        <w:trPr>
          <w:trHeight w:val="132"/>
        </w:trPr>
        <w:tc>
          <w:tcPr>
            <w:tcW w:w="27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November 1, 2024 to November 30, 2024</w:t>
            </w:r>
          </w:p>
        </w:tc>
        <w:tc>
          <w:tcPr>
            <w:tcW w:w="13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716,872</w:t>
            </w:r>
          </w:p>
        </w:tc>
        <w:tc>
          <w:tcPr>
            <w:tcW w:w="52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52.17</w:t>
            </w:r>
          </w:p>
        </w:tc>
        <w:tc>
          <w:tcPr>
            <w:tcW w:w="138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716,872</w:t>
            </w:r>
          </w:p>
        </w:tc>
        <w:tc>
          <w:tcPr>
            <w:tcW w:w="62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1,017.0</w:t>
            </w: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2"/>
        </w:trPr>
        <w:tc>
          <w:tcPr>
            <w:tcW w:w="2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32"/>
        </w:trPr>
        <w:tc>
          <w:tcPr>
            <w:tcW w:w="27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December 1, 2024 to December 31, 2024</w:t>
            </w:r>
          </w:p>
        </w:tc>
        <w:tc>
          <w:tcPr>
            <w:tcW w:w="13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238,937</w:t>
            </w:r>
          </w:p>
        </w:tc>
        <w:tc>
          <w:tcPr>
            <w:tcW w:w="5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52.82</w:t>
            </w:r>
          </w:p>
        </w:tc>
        <w:tc>
          <w:tcPr>
            <w:tcW w:w="138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238,937</w:t>
            </w:r>
          </w:p>
        </w:tc>
        <w:tc>
          <w:tcPr>
            <w:tcW w:w="6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1,004.4</w:t>
            </w:r>
          </w:p>
        </w:tc>
      </w:tr>
      <w:tr>
        <w:trPr>
          <w:trHeight w:val="240"/>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(1)(2)</w:t>
            </w: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180"/>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955,809</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955,809</w:t>
            </w: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10160</wp:posOffset>
            </wp:positionV>
            <wp:extent cx="8305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0580" cy="762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10160</wp:posOffset>
            </wp:positionV>
            <wp:extent cx="8763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76300" cy="7620"/>
                    </a:xfrm>
                    <a:prstGeom prst="rect">
                      <a:avLst/>
                    </a:prstGeom>
                    <a:noFill/>
                  </pic:spPr>
                </pic:pic>
              </a:graphicData>
            </a:graphic>
          </wp:anchor>
        </w:drawing>
      </w:r>
    </w:p>
    <w:p>
      <w:pPr>
        <w:spacing w:after="0" w:line="19" w:lineRule="exact"/>
        <w:rPr>
          <w:sz w:val="20"/>
          <w:szCs w:val="20"/>
          <w:color w:val="auto"/>
        </w:rPr>
      </w:pPr>
    </w:p>
    <w:p>
      <w:pPr>
        <w:ind w:right="1940"/>
        <w:spacing w:after="0"/>
        <w:rPr>
          <w:sz w:val="20"/>
          <w:szCs w:val="20"/>
          <w:color w:val="auto"/>
        </w:rPr>
      </w:pPr>
      <w:r>
        <w:rPr>
          <w:rFonts w:ascii="Times New Roman" w:cs="Times New Roman" w:eastAsia="Times New Roman" w:hAnsi="Times New Roman"/>
          <w:sz w:val="14"/>
          <w:szCs w:val="14"/>
          <w:color w:val="auto"/>
        </w:rPr>
        <w:t>(1)The Board of Directors reset the total repurchase authorization of our previously approved share repurchase program to $1.4 billion in shares of our common stock, effective as of February 6, 2024, which authorization replaced the Company’s prior $500 million authorization. Under the share repurchase program, shares of our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and price, economic, and market conditions. In addition to the repurchase of common stock, the share repurchase program is used for the payment of tax withholding amounts upon net share settlement of equity- based awards granted pursuant to our Equity Incentive Plan or otherwise based on the value of shares of withheld that would have otherwise been issued to the award holder. The repurchase program may be suspended or discontinued at any time and does not have a specified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-911225</wp:posOffset>
            </wp:positionV>
            <wp:extent cx="8305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0580" cy="762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-911225</wp:posOffset>
            </wp:positionV>
            <wp:extent cx="8763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6300" cy="762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(2)Reflects shares purchased in open market and brokered transactions, which were subsequently retired.</w:t>
      </w:r>
    </w:p>
    <w:p>
      <w:pPr>
        <w:ind w:right="1880"/>
        <w:spacing w:after="0" w:line="222" w:lineRule="auto"/>
        <w:rPr>
          <w:sz w:val="20"/>
          <w:szCs w:val="20"/>
          <w:color w:val="auto"/>
        </w:rPr>
      </w:pPr>
      <w:r>
        <w:rPr>
          <w:rFonts w:ascii="Times New Roman" w:cs="Times New Roman" w:eastAsia="Times New Roman" w:hAnsi="Times New Roman"/>
          <w:sz w:val="16"/>
          <w:szCs w:val="16"/>
          <w:color w:val="auto"/>
        </w:rPr>
        <w:t>(3)The remaining repurchase authorization was $852.2 million as of December 31, 2024, when factoring in the net share settlement of equity-based awards.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200"/>
        <w:spacing w:after="0" w:line="204" w:lineRule="auto"/>
        <w:rPr>
          <w:sz w:val="20"/>
          <w:szCs w:val="20"/>
          <w:color w:val="auto"/>
        </w:rPr>
      </w:pPr>
      <w:r>
        <w:rPr>
          <w:rFonts w:ascii="Times New Roman" w:cs="Times New Roman" w:eastAsia="Times New Roman" w:hAnsi="Times New Roman"/>
          <w:sz w:val="16"/>
          <w:szCs w:val="16"/>
          <w:b w:val="1"/>
          <w:bCs w:val="1"/>
          <w:color w:val="auto"/>
        </w:rPr>
        <w:t>Sales of Unregistered Securities</w:t>
      </w:r>
    </w:p>
    <w:p>
      <w:pPr>
        <w:spacing w:after="0" w:line="203" w:lineRule="auto"/>
        <w:rPr>
          <w:sz w:val="20"/>
          <w:szCs w:val="20"/>
          <w:color w:val="auto"/>
        </w:rPr>
      </w:pPr>
      <w:r>
        <w:rPr>
          <w:rFonts w:ascii="Times New Roman" w:cs="Times New Roman" w:eastAsia="Times New Roman" w:hAnsi="Times New Roman"/>
          <w:sz w:val="16"/>
          <w:szCs w:val="16"/>
          <w:color w:val="auto"/>
        </w:rPr>
        <w:t>In 2017, we amended our agreement with NGP Management. Pursuant to the amended agreement, we agreed, among</w:t>
      </w:r>
    </w:p>
    <w:p>
      <w:pPr>
        <w:ind w:right="1540"/>
        <w:spacing w:after="0" w:line="203" w:lineRule="auto"/>
        <w:rPr>
          <w:sz w:val="20"/>
          <w:szCs w:val="20"/>
          <w:color w:val="auto"/>
        </w:rPr>
      </w:pPr>
      <w:r>
        <w:rPr>
          <w:rFonts w:ascii="Times New Roman" w:cs="Times New Roman" w:eastAsia="Times New Roman" w:hAnsi="Times New Roman"/>
          <w:sz w:val="16"/>
          <w:szCs w:val="16"/>
          <w:color w:val="auto"/>
        </w:rPr>
        <w:t>other things, to issue additional shares of common stock on each of February 1, 2018, 2019, and 2020, with a value of $10.0 million per year to an affiliate of NGP Management. For each year thereafter, we agreed to issue additional shares of common stock on February 1 in an amount based on total distributions received by the Company from NGP Management, in any case not to exceed $10.0 million per year.</w:t>
      </w:r>
    </w:p>
    <w:p>
      <w:pPr>
        <w:spacing w:after="0" w:line="2" w:lineRule="exact"/>
        <w:rPr>
          <w:sz w:val="20"/>
          <w:szCs w:val="20"/>
          <w:color w:val="auto"/>
        </w:rPr>
      </w:pPr>
    </w:p>
    <w:p>
      <w:pPr>
        <w:ind w:right="2040"/>
        <w:spacing w:after="0" w:line="210" w:lineRule="auto"/>
        <w:rPr>
          <w:sz w:val="20"/>
          <w:szCs w:val="20"/>
          <w:color w:val="auto"/>
        </w:rPr>
      </w:pPr>
      <w:r>
        <w:rPr>
          <w:rFonts w:ascii="Times New Roman" w:cs="Times New Roman" w:eastAsia="Times New Roman" w:hAnsi="Times New Roman"/>
          <w:sz w:val="16"/>
          <w:szCs w:val="16"/>
          <w:color w:val="auto"/>
        </w:rPr>
        <w:t>In order to effectuate the amended NGP agreement, we entered into agreements with an affiliate of NGP Management on each of the dates below to deliver such shares as follows:</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Shares of Common Stock Delivered / Deliverable in August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01"/>
        </w:trPr>
        <w:tc>
          <w:tcPr>
            <w:tcW w:w="1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Date of Agreement:</w:t>
            </w: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2019</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164,393</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2"/>
        </w:trPr>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0"/>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 2020</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89,821</w:t>
            </w:r>
          </w:p>
        </w:tc>
        <w:tc>
          <w:tcPr>
            <w:tcW w:w="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89,820</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2021</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116,559</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87,419</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87,418</w:t>
            </w:r>
          </w:p>
        </w:tc>
        <w:tc>
          <w:tcPr>
            <w:tcW w:w="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2"/>
        </w:trPr>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0"/>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 2022</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75,290</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56,467</w:t>
            </w: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56,467</w:t>
            </w: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2023</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103,432</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77,574</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77,573</w:t>
            </w:r>
          </w:p>
        </w:tc>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52"/>
        </w:trPr>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0"/>
        </w:trPr>
        <w:tc>
          <w:tcPr>
            <w:tcW w:w="1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1, 2024</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98,918</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74,188</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74,187</w:t>
            </w:r>
          </w:p>
        </w:tc>
        <w:tc>
          <w:tcPr>
            <w:tcW w:w="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February 1, 2025</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68,757</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51,567</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51,567</w:t>
            </w: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securities have been offered and sold in reliance on the exemption contained in Section 4(a)(2) of the Securities</w:t>
      </w:r>
    </w:p>
    <w:p>
      <w:pPr>
        <w:ind w:right="1500"/>
        <w:spacing w:after="0" w:line="203" w:lineRule="auto"/>
        <w:rPr>
          <w:sz w:val="20"/>
          <w:szCs w:val="20"/>
          <w:color w:val="auto"/>
        </w:rPr>
      </w:pPr>
      <w:r>
        <w:rPr>
          <w:rFonts w:ascii="Times New Roman" w:cs="Times New Roman" w:eastAsia="Times New Roman" w:hAnsi="Times New Roman"/>
          <w:sz w:val="16"/>
          <w:szCs w:val="16"/>
          <w:color w:val="auto"/>
        </w:rPr>
        <w:t>Act as a transaction by the issuer not involving a public offering. No general solicitation or underwriters were involved in such offer and sale.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Rule 10b5-1 Trading Plans</w:t>
      </w:r>
    </w:p>
    <w:p>
      <w:pPr>
        <w:spacing w:after="0" w:line="204" w:lineRule="auto"/>
        <w:rPr>
          <w:sz w:val="20"/>
          <w:szCs w:val="20"/>
          <w:color w:val="auto"/>
        </w:rPr>
      </w:pPr>
      <w:r>
        <w:rPr>
          <w:rFonts w:ascii="Times New Roman" w:cs="Times New Roman" w:eastAsia="Times New Roman" w:hAnsi="Times New Roman"/>
          <w:sz w:val="16"/>
          <w:szCs w:val="16"/>
          <w:color w:val="auto"/>
        </w:rPr>
        <w:t>As permitted by our policies and procedures governing transactions in our securities by our directors, executive</w:t>
      </w:r>
    </w:p>
    <w:p>
      <w:pPr>
        <w:ind w:right="1600"/>
        <w:spacing w:after="0" w:line="203" w:lineRule="auto"/>
        <w:rPr>
          <w:sz w:val="20"/>
          <w:szCs w:val="20"/>
          <w:color w:val="auto"/>
        </w:rPr>
      </w:pPr>
      <w:r>
        <w:rPr>
          <w:rFonts w:ascii="Times New Roman" w:cs="Times New Roman" w:eastAsia="Times New Roman" w:hAnsi="Times New Roman"/>
          <w:sz w:val="16"/>
          <w:szCs w:val="16"/>
          <w:color w:val="auto"/>
        </w:rPr>
        <w:t>officers, and other employees, from time to time, some of these persons may establish plans or arrangements complying with Rule 10b5-1 under the Exchange Act, and similar plans and arrangements relating to our common stock.</w:t>
      </w:r>
    </w:p>
    <w:p>
      <w:pPr>
        <w:spacing w:after="0" w:line="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ectPr>
          <w:pgSz w:w="11900" w:h="16840" w:orient="portrait"/>
          <w:cols w:equalWidth="0" w:num="1">
            <w:col w:w="9400"/>
          </w:cols>
          <w:pgMar w:left="1060" w:top="1440" w:right="1440" w:bottom="2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Unless context suggests otherwise, references in this report to “Carlyle,” the “Company,” “we,” “us,” and “our”</w:t>
      </w:r>
    </w:p>
    <w:p>
      <w:pPr>
        <w:spacing w:after="0" w:line="1" w:lineRule="exact"/>
        <w:rPr>
          <w:sz w:val="20"/>
          <w:szCs w:val="20"/>
          <w:color w:val="auto"/>
        </w:rPr>
      </w:pPr>
    </w:p>
    <w:p>
      <w:pPr>
        <w:ind w:right="1440"/>
        <w:spacing w:after="0" w:line="203"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refer to The Carlyle Group Inc. and its consolidated subsidiaries. The following discussion and analysis should be read in conjunction with the consolidated financial statements and the related notes included in this Annual Report on Form 10 -K. The following discussion includes a comparison of our results for the years ended December 31, 2024 and 2023. For a discussion of our results for the year ended December 31, 2022 and a comparison of results for the years ended December 31, 2023 and 2022, see Part II, Item 7 “</w:t>
      </w:r>
      <w:hyperlink r:id="rId24">
        <w:r>
          <w:rPr>
            <w:rFonts w:ascii="Times New Roman" w:cs="Times New Roman" w:eastAsia="Times New Roman" w:hAnsi="Times New Roman"/>
            <w:sz w:val="16"/>
            <w:szCs w:val="16"/>
            <w:i w:val="1"/>
            <w:iCs w:val="1"/>
            <w:u w:val="single" w:color="auto"/>
            <w:color w:val="0000FF"/>
          </w:rPr>
          <w:t>Management’s Discussion and Analysis of Financial Condition and Results of Operations</w:t>
        </w:r>
      </w:hyperlink>
      <w:r>
        <w:rPr>
          <w:rFonts w:ascii="Times New Roman" w:cs="Times New Roman" w:eastAsia="Times New Roman" w:hAnsi="Times New Roman"/>
          <w:sz w:val="16"/>
          <w:szCs w:val="16"/>
          <w:i w:val="1"/>
          <w:iCs w:val="1"/>
          <w:color w:val="auto"/>
        </w:rPr>
        <w:t>” of our Annual Report on Form 10- K for the year ended December 31, 2023, which specific discussion is incorporated herein by reference.</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Overview</w:t>
      </w:r>
    </w:p>
    <w:p>
      <w:pPr>
        <w:ind w:right="1940"/>
        <w:spacing w:after="0" w:line="216" w:lineRule="auto"/>
        <w:rPr>
          <w:sz w:val="20"/>
          <w:szCs w:val="20"/>
          <w:color w:val="auto"/>
        </w:rPr>
      </w:pPr>
      <w:r>
        <w:rPr>
          <w:rFonts w:ascii="Times New Roman" w:cs="Times New Roman" w:eastAsia="Times New Roman" w:hAnsi="Times New Roman"/>
          <w:sz w:val="16"/>
          <w:szCs w:val="16"/>
          <w:color w:val="auto"/>
        </w:rPr>
        <w:t>We are one of the world’s largest global investment firms that deploys private capital across its business, and we conduct our operations through three reportable segments: Global Private Equity, Global Credit, and Global Investment Solutions.</w:t>
      </w:r>
    </w:p>
    <w:p>
      <w:pPr>
        <w:spacing w:after="0" w:line="47" w:lineRule="exact"/>
        <w:rPr>
          <w:sz w:val="20"/>
          <w:szCs w:val="20"/>
          <w:color w:val="auto"/>
        </w:rPr>
      </w:pPr>
    </w:p>
    <w:p>
      <w:pPr>
        <w:ind w:right="2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Private Equity</w:t>
      </w:r>
      <w:r>
        <w:rPr>
          <w:rFonts w:ascii="Times New Roman" w:cs="Times New Roman" w:eastAsia="Times New Roman" w:hAnsi="Times New Roman"/>
          <w:sz w:val="14"/>
          <w:szCs w:val="14"/>
          <w:color w:val="auto"/>
        </w:rPr>
        <w:t xml:space="preserve"> —Our Global Private Equity segment advises our buyout, middle market, and growth capital funds, our U.S. and internationally focused real estate funds, and our infrastructure and natural resources funds. The segment also includes the NGP Carry Funds advised by NGP. As of December 31, 2024, our Global Private Equity segment had $ 163.5 billion in AUM and $98.0 billion in Fee-earning AUM.</w:t>
      </w:r>
    </w:p>
    <w:p>
      <w:pPr>
        <w:ind w:right="256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Credit</w:t>
      </w:r>
      <w:r>
        <w:rPr>
          <w:rFonts w:ascii="Times New Roman" w:cs="Times New Roman" w:eastAsia="Times New Roman" w:hAnsi="Times New Roman"/>
          <w:sz w:val="14"/>
          <w:szCs w:val="14"/>
          <w:color w:val="auto"/>
        </w:rPr>
        <w:t>—Our Global Credit segment advises funds and vehicles that pursue investment strategies including insurance solutions, liquid credit, opportunistic credit, direct lending, asset-backed finance, aviation finance, infrastructure credit, cross-platform credit products, and global capital markets. As of December 31, 2024, our Global Credit segment had $192.4 billion in AUM and $154.2 billion in Fee-earning AUM.</w:t>
      </w:r>
    </w:p>
    <w:p>
      <w:pPr>
        <w:spacing w:after="0" w:line="2" w:lineRule="exact"/>
        <w:rPr>
          <w:sz w:val="20"/>
          <w:szCs w:val="20"/>
          <w:color w:val="auto"/>
        </w:rPr>
      </w:pPr>
    </w:p>
    <w:p>
      <w:pPr>
        <w:ind w:right="2980"/>
        <w:spacing w:after="0" w:line="23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Investment Solutions</w:t>
      </w:r>
      <w:r>
        <w:rPr>
          <w:rFonts w:ascii="Times New Roman" w:cs="Times New Roman" w:eastAsia="Times New Roman" w:hAnsi="Times New Roman"/>
          <w:sz w:val="14"/>
          <w:szCs w:val="14"/>
          <w:color w:val="auto"/>
        </w:rPr>
        <w:t>—Our Global Investment Solutions segment advises global private equity programs and related co-investment and secondary activities. As of December 31, 2024, our Global Investment Solutions segment had $ 85.1 billion in AUM and $52.1 billion in Fee-earning AUM.</w:t>
      </w:r>
    </w:p>
    <w:p>
      <w:pPr>
        <w:spacing w:after="0" w:line="1" w:lineRule="exact"/>
        <w:rPr>
          <w:sz w:val="20"/>
          <w:szCs w:val="20"/>
          <w:color w:val="auto"/>
        </w:rPr>
      </w:pPr>
    </w:p>
    <w:p>
      <w:pPr>
        <w:ind w:right="1480"/>
        <w:spacing w:after="0" w:line="207" w:lineRule="auto"/>
        <w:rPr>
          <w:sz w:val="20"/>
          <w:szCs w:val="20"/>
          <w:color w:val="auto"/>
        </w:rPr>
      </w:pPr>
      <w:r>
        <w:rPr>
          <w:rFonts w:ascii="Times New Roman" w:cs="Times New Roman" w:eastAsia="Times New Roman" w:hAnsi="Times New Roman"/>
          <w:sz w:val="16"/>
          <w:szCs w:val="16"/>
          <w:color w:val="auto"/>
        </w:rPr>
        <w:t>We earn management fees pursuant to contractual arrangements with the investment funds that we manage and fees for transaction advisory and oversight services provided to portfolio companies of these funds. We also typically receive a performance fee from an investment fund, which may be either an incentive fee or a special residual allocation of income, which we refer to as a performance allocation, or carried interest, in the event that specified investment returns are achieved by the fund. Under U.S. generally accepted accounting principles (“U.S. GAAP”), we are required to consolidate some of the investment funds that we advise. However, for segment reporting purposes, we present revenues and expenses on a basis that deconsolidates these investment funds. Refer to Note 15, Segment Reporting, to the consolidated financial statements included in this Annual Report on Form 10-K for more information on the differences between our financial results reported pursuant to U.S. GAAP and our financial results for segment reporting purposes.</w:t>
      </w:r>
    </w:p>
    <w:p>
      <w:pPr>
        <w:sectPr>
          <w:pgSz w:w="11900" w:h="16840" w:orient="portrait"/>
          <w:cols w:equalWidth="0" w:num="1">
            <w:col w:w="9400"/>
          </w:cols>
          <w:pgMar w:left="1060" w:top="1440" w:right="1440"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Trends Affecting our Business</w:t>
      </w:r>
    </w:p>
    <w:p>
      <w:pPr>
        <w:spacing w:after="0" w:line="203" w:lineRule="auto"/>
        <w:rPr>
          <w:sz w:val="20"/>
          <w:szCs w:val="20"/>
          <w:color w:val="auto"/>
        </w:rPr>
      </w:pPr>
      <w:r>
        <w:rPr>
          <w:rFonts w:ascii="Times New Roman" w:cs="Times New Roman" w:eastAsia="Times New Roman" w:hAnsi="Times New Roman"/>
          <w:sz w:val="16"/>
          <w:szCs w:val="16"/>
          <w:color w:val="auto"/>
        </w:rPr>
        <w:t>The year 2024 was marked by the initiation of a broad global monetary policy easing cycle against a backdrop of</w:t>
      </w:r>
    </w:p>
    <w:p>
      <w:pPr>
        <w:spacing w:after="0" w:line="204" w:lineRule="auto"/>
        <w:rPr>
          <w:sz w:val="20"/>
          <w:szCs w:val="20"/>
          <w:color w:val="auto"/>
        </w:rPr>
      </w:pPr>
      <w:r>
        <w:rPr>
          <w:rFonts w:ascii="Times New Roman" w:cs="Times New Roman" w:eastAsia="Times New Roman" w:hAnsi="Times New Roman"/>
          <w:sz w:val="16"/>
          <w:szCs w:val="16"/>
          <w:color w:val="auto"/>
        </w:rPr>
        <w:t>stable growth. Amid more favorable financing conditions, global mergers and acquisitions (“M&amp;A”) activity recovered</w:t>
      </w:r>
    </w:p>
    <w:p>
      <w:pPr>
        <w:spacing w:after="0" w:line="232" w:lineRule="auto"/>
        <w:rPr>
          <w:sz w:val="20"/>
          <w:szCs w:val="20"/>
          <w:color w:val="auto"/>
        </w:rPr>
      </w:pPr>
      <w:r>
        <w:rPr>
          <w:rFonts w:ascii="Times New Roman" w:cs="Times New Roman" w:eastAsia="Times New Roman" w:hAnsi="Times New Roman"/>
          <w:sz w:val="14"/>
          <w:szCs w:val="14"/>
          <w:color w:val="auto"/>
        </w:rPr>
        <w:t>modestly, though exit conditions remained challenging as market participants exercised patience in anticipation of future rate</w:t>
      </w:r>
    </w:p>
    <w:p>
      <w:pPr>
        <w:spacing w:after="0" w:line="233" w:lineRule="auto"/>
        <w:rPr>
          <w:sz w:val="20"/>
          <w:szCs w:val="20"/>
          <w:color w:val="auto"/>
        </w:rPr>
      </w:pPr>
      <w:r>
        <w:rPr>
          <w:rFonts w:ascii="Times New Roman" w:cs="Times New Roman" w:eastAsia="Times New Roman" w:hAnsi="Times New Roman"/>
          <w:sz w:val="14"/>
          <w:szCs w:val="14"/>
          <w:color w:val="auto"/>
        </w:rPr>
        <w:t>cuts and lower borrowing costs. Entering 2025, as the inflation and growth outlook for the U.S. has grown more complex, the</w:t>
      </w:r>
    </w:p>
    <w:p>
      <w:pPr>
        <w:spacing w:after="0" w:line="233" w:lineRule="auto"/>
        <w:rPr>
          <w:sz w:val="20"/>
          <w:szCs w:val="20"/>
          <w:color w:val="auto"/>
        </w:rPr>
      </w:pPr>
      <w:r>
        <w:rPr>
          <w:rFonts w:ascii="Times New Roman" w:cs="Times New Roman" w:eastAsia="Times New Roman" w:hAnsi="Times New Roman"/>
          <w:sz w:val="14"/>
          <w:szCs w:val="14"/>
          <w:color w:val="auto"/>
        </w:rPr>
        <w:t>expectation of near-term rate cuts and lower borrowing costs has dissipated, which we expect will in turn facilitate greater deal</w:t>
      </w:r>
    </w:p>
    <w:p>
      <w:pPr>
        <w:spacing w:after="0" w:line="203" w:lineRule="auto"/>
        <w:rPr>
          <w:sz w:val="20"/>
          <w:szCs w:val="20"/>
          <w:color w:val="auto"/>
        </w:rPr>
      </w:pPr>
      <w:r>
        <w:rPr>
          <w:rFonts w:ascii="Times New Roman" w:cs="Times New Roman" w:eastAsia="Times New Roman" w:hAnsi="Times New Roman"/>
          <w:sz w:val="16"/>
          <w:szCs w:val="16"/>
          <w:color w:val="auto"/>
        </w:rPr>
        <w:t>activity. Globally, central banks’ policy paths appear likely to be far less synchronized than during the recent simultaneous</w:t>
      </w:r>
    </w:p>
    <w:p>
      <w:pPr>
        <w:spacing w:after="0" w:line="233" w:lineRule="auto"/>
        <w:rPr>
          <w:sz w:val="20"/>
          <w:szCs w:val="20"/>
          <w:color w:val="auto"/>
        </w:rPr>
      </w:pPr>
      <w:r>
        <w:rPr>
          <w:rFonts w:ascii="Times New Roman" w:cs="Times New Roman" w:eastAsia="Times New Roman" w:hAnsi="Times New Roman"/>
          <w:sz w:val="14"/>
          <w:szCs w:val="14"/>
          <w:color w:val="auto"/>
        </w:rPr>
        <w:t>tightening cycle. Central banks in most other developed markets (with Japan a notable exception) have room to further cut rates</w:t>
      </w:r>
    </w:p>
    <w:p>
      <w:pPr>
        <w:spacing w:after="0" w:line="233" w:lineRule="auto"/>
        <w:rPr>
          <w:sz w:val="20"/>
          <w:szCs w:val="20"/>
          <w:color w:val="auto"/>
        </w:rPr>
      </w:pPr>
      <w:r>
        <w:rPr>
          <w:rFonts w:ascii="Times New Roman" w:cs="Times New Roman" w:eastAsia="Times New Roman" w:hAnsi="Times New Roman"/>
          <w:sz w:val="14"/>
          <w:szCs w:val="14"/>
          <w:color w:val="auto"/>
        </w:rPr>
        <w:t>as inflation risks diminish and economic weakness persists, which could in turn put more upward pressure on the U.S. dollar.</w:t>
      </w:r>
    </w:p>
    <w:p>
      <w:pPr>
        <w:spacing w:after="0" w:line="203" w:lineRule="auto"/>
        <w:rPr>
          <w:sz w:val="20"/>
          <w:szCs w:val="20"/>
          <w:color w:val="auto"/>
        </w:rPr>
      </w:pPr>
      <w:r>
        <w:rPr>
          <w:rFonts w:ascii="Times New Roman" w:cs="Times New Roman" w:eastAsia="Times New Roman" w:hAnsi="Times New Roman"/>
          <w:sz w:val="16"/>
          <w:szCs w:val="16"/>
          <w:color w:val="auto"/>
        </w:rPr>
        <w:t>At its last meeting of 2024, the Federal Open Market Committee (“FOMC”) reduced the federal funds rate by 25 basis</w:t>
      </w:r>
    </w:p>
    <w:p>
      <w:pPr>
        <w:spacing w:after="0" w:line="233" w:lineRule="auto"/>
        <w:rPr>
          <w:sz w:val="20"/>
          <w:szCs w:val="20"/>
          <w:color w:val="auto"/>
        </w:rPr>
      </w:pPr>
      <w:r>
        <w:rPr>
          <w:rFonts w:ascii="Times New Roman" w:cs="Times New Roman" w:eastAsia="Times New Roman" w:hAnsi="Times New Roman"/>
          <w:sz w:val="14"/>
          <w:szCs w:val="14"/>
          <w:color w:val="auto"/>
        </w:rPr>
        <w:t>points, marking the third consecutive cut of the year and bringing cumulative 2024 reductions to 100 basis points. However, the</w:t>
      </w:r>
    </w:p>
    <w:p>
      <w:pPr>
        <w:spacing w:after="0" w:line="232" w:lineRule="auto"/>
        <w:rPr>
          <w:sz w:val="20"/>
          <w:szCs w:val="20"/>
          <w:color w:val="auto"/>
        </w:rPr>
      </w:pPr>
      <w:r>
        <w:rPr>
          <w:rFonts w:ascii="Times New Roman" w:cs="Times New Roman" w:eastAsia="Times New Roman" w:hAnsi="Times New Roman"/>
          <w:sz w:val="14"/>
          <w:szCs w:val="14"/>
          <w:color w:val="auto"/>
        </w:rPr>
        <w:t>Federal Reserve’s preferred inflation gauge, the core PCE Price Index, ended the year up 2.8% year-over-year, reflecting a lack</w:t>
      </w:r>
    </w:p>
    <w:p>
      <w:pPr>
        <w:spacing w:after="0" w:line="233" w:lineRule="auto"/>
        <w:rPr>
          <w:sz w:val="20"/>
          <w:szCs w:val="20"/>
          <w:color w:val="auto"/>
        </w:rPr>
      </w:pPr>
      <w:r>
        <w:rPr>
          <w:rFonts w:ascii="Times New Roman" w:cs="Times New Roman" w:eastAsia="Times New Roman" w:hAnsi="Times New Roman"/>
          <w:sz w:val="14"/>
          <w:szCs w:val="14"/>
          <w:color w:val="auto"/>
        </w:rPr>
        <w:t>of further downward inflation progress in recent months. While outright reinflation has not yet materialized, strong economic</w:t>
      </w:r>
    </w:p>
    <w:p>
      <w:pPr>
        <w:spacing w:after="0" w:line="204" w:lineRule="auto"/>
        <w:rPr>
          <w:sz w:val="20"/>
          <w:szCs w:val="20"/>
          <w:color w:val="auto"/>
        </w:rPr>
      </w:pPr>
      <w:r>
        <w:rPr>
          <w:rFonts w:ascii="Times New Roman" w:cs="Times New Roman" w:eastAsia="Times New Roman" w:hAnsi="Times New Roman"/>
          <w:sz w:val="16"/>
          <w:szCs w:val="16"/>
          <w:color w:val="auto"/>
        </w:rPr>
        <w:t>data, inflation readings persistently above target, and easy financial conditions have raised questions about whether current</w:t>
      </w:r>
    </w:p>
    <w:p>
      <w:pPr>
        <w:spacing w:after="0" w:line="232" w:lineRule="auto"/>
        <w:rPr>
          <w:sz w:val="20"/>
          <w:szCs w:val="20"/>
          <w:color w:val="auto"/>
        </w:rPr>
      </w:pPr>
      <w:r>
        <w:rPr>
          <w:rFonts w:ascii="Times New Roman" w:cs="Times New Roman" w:eastAsia="Times New Roman" w:hAnsi="Times New Roman"/>
          <w:sz w:val="14"/>
          <w:szCs w:val="14"/>
          <w:color w:val="auto"/>
        </w:rPr>
        <w:t>interest rate policy remains as restrictive as Federal Reserve officials suggest. The FOMC opted to pause further rate reductions</w:t>
      </w:r>
    </w:p>
    <w:p>
      <w:pPr>
        <w:spacing w:after="0" w:line="233" w:lineRule="auto"/>
        <w:rPr>
          <w:sz w:val="20"/>
          <w:szCs w:val="20"/>
          <w:color w:val="auto"/>
        </w:rPr>
      </w:pPr>
      <w:r>
        <w:rPr>
          <w:rFonts w:ascii="Times New Roman" w:cs="Times New Roman" w:eastAsia="Times New Roman" w:hAnsi="Times New Roman"/>
          <w:sz w:val="14"/>
          <w:szCs w:val="14"/>
          <w:color w:val="auto"/>
        </w:rPr>
        <w:t>at its January 2025 meeting. Futures have now priced in just one to two additional cuts in 2025, down from expectations for six</w:t>
      </w:r>
    </w:p>
    <w:p>
      <w:pPr>
        <w:spacing w:after="0" w:line="232" w:lineRule="auto"/>
        <w:rPr>
          <w:sz w:val="20"/>
          <w:szCs w:val="20"/>
          <w:color w:val="auto"/>
        </w:rPr>
      </w:pPr>
      <w:r>
        <w:rPr>
          <w:rFonts w:ascii="Times New Roman" w:cs="Times New Roman" w:eastAsia="Times New Roman" w:hAnsi="Times New Roman"/>
          <w:sz w:val="14"/>
          <w:szCs w:val="14"/>
          <w:color w:val="auto"/>
        </w:rPr>
        <w:t>as recently as September 2024. Notably, 10-year Treasury yields have risen rapidly since the first interest rate cut in September,</w:t>
      </w:r>
    </w:p>
    <w:p>
      <w:pPr>
        <w:spacing w:after="0" w:line="233" w:lineRule="auto"/>
        <w:rPr>
          <w:sz w:val="20"/>
          <w:szCs w:val="20"/>
          <w:color w:val="auto"/>
        </w:rPr>
      </w:pPr>
      <w:r>
        <w:rPr>
          <w:rFonts w:ascii="Times New Roman" w:cs="Times New Roman" w:eastAsia="Times New Roman" w:hAnsi="Times New Roman"/>
          <w:sz w:val="14"/>
          <w:szCs w:val="14"/>
          <w:color w:val="auto"/>
        </w:rPr>
        <w:t>a phenomenon that is without precedent across the seven prior easing cycles. Though attributed by many to potential changes in</w:t>
      </w:r>
    </w:p>
    <w:p>
      <w:pPr>
        <w:spacing w:after="0" w:line="204" w:lineRule="auto"/>
        <w:rPr>
          <w:sz w:val="20"/>
          <w:szCs w:val="20"/>
          <w:color w:val="auto"/>
        </w:rPr>
      </w:pPr>
      <w:r>
        <w:rPr>
          <w:rFonts w:ascii="Times New Roman" w:cs="Times New Roman" w:eastAsia="Times New Roman" w:hAnsi="Times New Roman"/>
          <w:sz w:val="16"/>
          <w:szCs w:val="16"/>
          <w:color w:val="auto"/>
        </w:rPr>
        <w:t>trade, immigration, and fiscal policy, this may also reflect the market’s realization that base rates may not currently be as</w:t>
      </w:r>
    </w:p>
    <w:p>
      <w:pPr>
        <w:spacing w:after="0" w:line="203" w:lineRule="auto"/>
        <w:rPr>
          <w:sz w:val="20"/>
          <w:szCs w:val="20"/>
          <w:color w:val="auto"/>
        </w:rPr>
      </w:pPr>
      <w:r>
        <w:rPr>
          <w:rFonts w:ascii="Times New Roman" w:cs="Times New Roman" w:eastAsia="Times New Roman" w:hAnsi="Times New Roman"/>
          <w:sz w:val="16"/>
          <w:szCs w:val="16"/>
          <w:color w:val="auto"/>
        </w:rPr>
        <w:t>restrictive as previously thought.</w:t>
      </w:r>
    </w:p>
    <w:p>
      <w:pPr>
        <w:spacing w:after="0" w:line="204" w:lineRule="auto"/>
        <w:rPr>
          <w:sz w:val="20"/>
          <w:szCs w:val="20"/>
          <w:color w:val="auto"/>
        </w:rPr>
      </w:pPr>
      <w:r>
        <w:rPr>
          <w:rFonts w:ascii="Times New Roman" w:cs="Times New Roman" w:eastAsia="Times New Roman" w:hAnsi="Times New Roman"/>
          <w:sz w:val="16"/>
          <w:szCs w:val="16"/>
          <w:color w:val="auto"/>
        </w:rPr>
        <w:t>The economy grew at an estimated 2.3% annualized rate in the fourth quarter of 2024 and averaged 2.8% over the</w:t>
      </w:r>
    </w:p>
    <w:p>
      <w:pPr>
        <w:ind w:right="1460"/>
        <w:spacing w:after="0" w:line="232" w:lineRule="auto"/>
        <w:rPr>
          <w:sz w:val="20"/>
          <w:szCs w:val="20"/>
          <w:color w:val="auto"/>
        </w:rPr>
      </w:pPr>
      <w:r>
        <w:rPr>
          <w:rFonts w:ascii="Times New Roman" w:cs="Times New Roman" w:eastAsia="Times New Roman" w:hAnsi="Times New Roman"/>
          <w:sz w:val="14"/>
          <w:szCs w:val="14"/>
          <w:color w:val="auto"/>
        </w:rPr>
        <w:t>year, despite higher levels of interest rates. Overall, U.S. economic growth has outperformed relative to consensus expectations over the past two years. This has been driven by government spending and large fiscal deficits, resilient household consumption, supported by the prevalence of fixed-rate liabilities that have insulated disposable income from higher borrowing costs, and, most significantly, by a generational boom in industrial fixed investment tied to AI spend and the energy transition. This marked increase in capital expenditures has been led by companies known as “hyperscalers” (Amazon, Alphabet, Meta, and Microsoft), and highlights a level of continued concentration risk to both U.S. economic growth and equity performance. Any pullback in spending or shift in AI strategy could have notable negative implications for the broader U.S. macro-outlook. While U.S. economic growth has consistently surprised to the upside and the inflation outlook has grown more</w:t>
      </w:r>
    </w:p>
    <w:p>
      <w:pPr>
        <w:spacing w:after="0" w:line="3"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uncertain, euro area growth has by contrast struggled, and the European Central Bank’s (“ECB”) inflation target is now within reach. The ECB delivered two additional 25 basis point cuts to its deposit rate during the fourth quarter of 2024, following two cuts earlier in the year, and another 25 basis point cut in January 2025. Forward interest rates imply that the gap between U.S. dollar and euro base rates will widen to more than 200 basis points over the next year, suggesting there is potential for the euro to break through parity with the dollar. Euro area GDP grew at just a 0.2% annualized rate during the fourth quarter, though underlying performance across member states has diverged. Germany, the region’s largest economy, continues to bear the brunt of the energy supply shock caused by Russia’s invasion of Ukraine. German energy-intensive manufacturing output has fallen 20% below pre- invasion levels and the manufacturing job market there is now weaker than at any time since tracking began in 2002 outside of the Global Financial Crisis (GFC) and the onset of the COVID-19 pandemic. Growth in Spain, by contrast, has been a relative bright spot and is projected to have grown 3.2% in 2024, over four times the eurozone average, boosted by strong tourism flows and services exports. Outside of the euro area, the UK economy also expanded sluggishly, growing at a</w:t>
      </w:r>
    </w:p>
    <w:p>
      <w:pPr>
        <w:spacing w:after="0" w:line="107"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0.4% annualized rate in the fourth quarter. The Bank of England’s policy outlook is complicated by persistent price pressures in the context of this slower growth.</w:t>
      </w:r>
    </w:p>
    <w:p>
      <w:pPr>
        <w:spacing w:after="0" w:line="204" w:lineRule="auto"/>
        <w:rPr>
          <w:sz w:val="20"/>
          <w:szCs w:val="20"/>
          <w:color w:val="auto"/>
        </w:rPr>
      </w:pPr>
      <w:r>
        <w:rPr>
          <w:rFonts w:ascii="Times New Roman" w:cs="Times New Roman" w:eastAsia="Times New Roman" w:hAnsi="Times New Roman"/>
          <w:sz w:val="16"/>
          <w:szCs w:val="16"/>
          <w:color w:val="auto"/>
        </w:rPr>
        <w:t>While global monetary policy generally eased in 2024, the opposite was true for Japan. The Bank of Japan (“BoJ”)</w:t>
      </w:r>
    </w:p>
    <w:p>
      <w:pPr>
        <w:spacing w:after="0" w:line="1" w:lineRule="exact"/>
        <w:rPr>
          <w:sz w:val="20"/>
          <w:szCs w:val="20"/>
          <w:color w:val="auto"/>
        </w:rPr>
      </w:pPr>
    </w:p>
    <w:p>
      <w:pPr>
        <w:ind w:right="1420"/>
        <w:spacing w:after="0" w:line="237" w:lineRule="auto"/>
        <w:rPr>
          <w:sz w:val="20"/>
          <w:szCs w:val="20"/>
          <w:color w:val="auto"/>
        </w:rPr>
      </w:pPr>
      <w:r>
        <w:rPr>
          <w:rFonts w:ascii="Times New Roman" w:cs="Times New Roman" w:eastAsia="Times New Roman" w:hAnsi="Times New Roman"/>
          <w:sz w:val="14"/>
          <w:szCs w:val="14"/>
          <w:color w:val="auto"/>
        </w:rPr>
        <w:t>ended its negative interest rate regime in 2024 and outlined a plan to taper its asset purchases, a pivotal shift from its decade-long stimulus program. Through January 2025, the BoJ has raised its policy rate three times to a current level of 0.5%, its highest since 2008, as annual inflation remains elevated relative to target. Although Japan experienced a contraction in the first quarter of 2024, its economy has since gained momentum with three consecutive quarters of growth supported by both domestic demand and strong semiconductor and electronics output. Against this backdrop, it seems likely that the BoJ will raise rates again by June 2025. In India, economic growth slowed through 2024, prompting the Reserve Bank of India to cut its benchmark interest rate by 25 basis points to 6.25%—its first reduction in five years—as policymakers sought to support weakening consumption and investment even as inflation pressures remained elevated. In China, underlying growth was uneven as policymakers implemented targeted measures to stabilize property markets and boost domestic demand amid the country’s</w:t>
      </w:r>
    </w:p>
    <w:p>
      <w:pPr>
        <w:sectPr>
          <w:pgSz w:w="11900" w:h="16840" w:orient="portrait"/>
          <w:cols w:equalWidth="0" w:num="1">
            <w:col w:w="9400"/>
          </w:cols>
          <w:pgMar w:left="1060" w:top="1440" w:right="1440"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102</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880"/>
        <w:spacing w:after="0" w:line="242" w:lineRule="auto"/>
        <w:rPr>
          <w:sz w:val="20"/>
          <w:szCs w:val="20"/>
          <w:color w:val="auto"/>
        </w:rPr>
      </w:pPr>
      <w:r>
        <w:rPr>
          <w:rFonts w:ascii="Times New Roman" w:cs="Times New Roman" w:eastAsia="Times New Roman" w:hAnsi="Times New Roman"/>
          <w:sz w:val="16"/>
          <w:szCs w:val="16"/>
          <w:color w:val="auto"/>
        </w:rPr>
        <w:t>transition to a sustainable growth model centered on high-value industries such as semiconductors, batteries, and electric vehicles (EVs).</w:t>
      </w:r>
    </w:p>
    <w:p>
      <w:pPr>
        <w:ind w:left="10"/>
        <w:spacing w:after="0" w:line="204" w:lineRule="auto"/>
        <w:rPr>
          <w:sz w:val="20"/>
          <w:szCs w:val="20"/>
          <w:color w:val="auto"/>
        </w:rPr>
      </w:pPr>
      <w:r>
        <w:rPr>
          <w:rFonts w:ascii="Times New Roman" w:cs="Times New Roman" w:eastAsia="Times New Roman" w:hAnsi="Times New Roman"/>
          <w:sz w:val="16"/>
          <w:szCs w:val="16"/>
          <w:color w:val="auto"/>
        </w:rPr>
        <w:t>Earnings are estimated to have grown by 16.9% in the fourth quarter of 2024 compared to the same period a year ago,</w:t>
      </w:r>
    </w:p>
    <w:p>
      <w:pPr>
        <w:spacing w:after="0" w:line="1" w:lineRule="exact"/>
        <w:rPr>
          <w:sz w:val="20"/>
          <w:szCs w:val="20"/>
          <w:color w:val="auto"/>
        </w:rPr>
      </w:pPr>
    </w:p>
    <w:p>
      <w:pPr>
        <w:jc w:val="both"/>
        <w:ind w:left="10" w:right="1480"/>
        <w:spacing w:after="0" w:line="203" w:lineRule="auto"/>
        <w:rPr>
          <w:sz w:val="20"/>
          <w:szCs w:val="20"/>
          <w:color w:val="auto"/>
        </w:rPr>
      </w:pPr>
      <w:r>
        <w:rPr>
          <w:rFonts w:ascii="Times New Roman" w:cs="Times New Roman" w:eastAsia="Times New Roman" w:hAnsi="Times New Roman"/>
          <w:sz w:val="16"/>
          <w:szCs w:val="16"/>
          <w:color w:val="auto"/>
        </w:rPr>
        <w:t>led by the financials, communication services, and consumer discretionary sectors. The estimated blended net profit margin for the fourth quarter of 2024 was reported at 12.5%, nearly a full percentage point higher than the 11.3% margin observed a year earlier.</w:t>
      </w:r>
    </w:p>
    <w:p>
      <w:pPr>
        <w:ind w:left="10"/>
        <w:spacing w:after="0" w:line="205" w:lineRule="auto"/>
        <w:rPr>
          <w:sz w:val="20"/>
          <w:szCs w:val="20"/>
          <w:color w:val="auto"/>
        </w:rPr>
      </w:pPr>
      <w:r>
        <w:rPr>
          <w:rFonts w:ascii="Times New Roman" w:cs="Times New Roman" w:eastAsia="Times New Roman" w:hAnsi="Times New Roman"/>
          <w:sz w:val="16"/>
          <w:szCs w:val="16"/>
          <w:color w:val="auto"/>
        </w:rPr>
        <w:t>The new U.S. administration has introduced aggressive and unpredictable trade policies and has imposed or threatened</w:t>
      </w:r>
    </w:p>
    <w:p>
      <w:pPr>
        <w:ind w:left="10" w:right="1420"/>
        <w:spacing w:after="0" w:line="203" w:lineRule="auto"/>
        <w:rPr>
          <w:sz w:val="20"/>
          <w:szCs w:val="20"/>
          <w:color w:val="auto"/>
        </w:rPr>
      </w:pPr>
      <w:r>
        <w:rPr>
          <w:rFonts w:ascii="Times New Roman" w:cs="Times New Roman" w:eastAsia="Times New Roman" w:hAnsi="Times New Roman"/>
          <w:sz w:val="16"/>
          <w:szCs w:val="16"/>
          <w:color w:val="auto"/>
        </w:rPr>
        <w:t>to impose tariffs on goods, materials, inputs, and intermediate parts with numerous U.S. trade partners. The tariffs proposed to date, if enacted in full, would amount to a tax increase roughly equivalent to 1% of GDP, a shock large enough to have negative implications for broader growth. Analysts do not appear to have factored this risk into their estimates so far, and currently expect results for full-year 2025 to not only meet but exceed those for 2024, with earnings growth for companies in the S&amp;P 500 projected to be nearly 13%, compared to 10% in 2024. These optimistic projections suggest potential downside risk to equities in 2025 in the event that actual results disappoint relative to estimates. Within our portfolio, the majority of our Global Private Equity segment is either domestically focused or services- rather than goods-oriented, which we believe mitigates exposure to tariff risk. However, we continue to closely monitor shifts in global trade policy and evaluate their potential impacts.</w:t>
      </w:r>
    </w:p>
    <w:p>
      <w:pPr>
        <w:ind w:left="10"/>
        <w:spacing w:after="0" w:line="208" w:lineRule="auto"/>
        <w:rPr>
          <w:sz w:val="20"/>
          <w:szCs w:val="20"/>
          <w:color w:val="auto"/>
        </w:rPr>
      </w:pPr>
      <w:r>
        <w:rPr>
          <w:rFonts w:ascii="Times New Roman" w:cs="Times New Roman" w:eastAsia="Times New Roman" w:hAnsi="Times New Roman"/>
          <w:sz w:val="16"/>
          <w:szCs w:val="16"/>
          <w:color w:val="auto"/>
        </w:rPr>
        <w:t>Global financial markets generally performed well in 2024. The S&amp;P 500 returned 23%, nearly matching its</w:t>
      </w:r>
    </w:p>
    <w:p>
      <w:pPr>
        <w:ind w:left="10" w:right="1400"/>
        <w:spacing w:after="0" w:line="232" w:lineRule="auto"/>
        <w:rPr>
          <w:sz w:val="20"/>
          <w:szCs w:val="20"/>
          <w:color w:val="auto"/>
        </w:rPr>
      </w:pPr>
      <w:r>
        <w:rPr>
          <w:rFonts w:ascii="Times New Roman" w:cs="Times New Roman" w:eastAsia="Times New Roman" w:hAnsi="Times New Roman"/>
          <w:sz w:val="14"/>
          <w:szCs w:val="14"/>
          <w:color w:val="auto"/>
        </w:rPr>
        <w:t>performance in 2023. For a second consecutive year, returns in the U.S. were driven by a small number of mega-cap tech stocks (known as the “Magnificent Seven”). These stocks accounted for over half of the S&amp;P 500’s annual return and made up an astounding 34% of the index’s market cap by the end of December. Excluding the Magnificent Seven, the “S&amp;P 493” returned 11% in 2024. Notably, since the market bottom in October 2022, value-weighted returns across the U.S. equity market have outpaced equal- weighted returns by over 20 percentage points on an annualized basis. In 2024, the broad U.S. equity market returned 8% on an equal- weighted basis. This represents a significant divergence from historical norms, as value-weighted and equal-weighted performance were roughly comparable over the previous decade. The reliance of U.S. equity outperformance on</w:t>
      </w:r>
    </w:p>
    <w:p>
      <w:pPr>
        <w:spacing w:after="0" w:line="3" w:lineRule="exact"/>
        <w:rPr>
          <w:sz w:val="20"/>
          <w:szCs w:val="20"/>
          <w:color w:val="auto"/>
        </w:rPr>
      </w:pPr>
    </w:p>
    <w:p>
      <w:pPr>
        <w:ind w:left="10" w:right="1500" w:hanging="10"/>
        <w:spacing w:after="0" w:line="203" w:lineRule="auto"/>
        <w:tabs>
          <w:tab w:leader="none" w:pos="11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small pool of mega-cap tech stocks and the dichotomy of value-weighted versus equal-weighted returns both complicates the effort to benchmark returns in the private markets and highlights the concentration risk of public equity performance in 2025. Equities elsewhere lagged U.S. performance in 2024 but still produced positive returns and were comparable to the</w:t>
      </w:r>
    </w:p>
    <w:p>
      <w:pPr>
        <w:spacing w:after="0" w:line="1"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results excluding the Magnificent Seven. In euro terms, the Euro Stoxx 50 rose 8.3% over the year, but was nearly flat</w:t>
      </w:r>
    </w:p>
    <w:p>
      <w:pPr>
        <w:ind w:left="10" w:right="146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in dollar terms, largely due to rapid euro depreciation that started in the fourth quarter and accelerated in the aftermath of the U.S. election. This combination of significantly cheaper valuations relative to U.S. equities (forward ratios are nearly 40% lower) and the historically weak euro have brought investors back to the market: year-to-date through February 11, 2025, the Euro Stoxx 50 is up nearly 10% compared to just 3% for the S&amp;P 500. Japan’s Nikkei 225 and China’s Shanghai Composite returned 19% and 12%, respectively, in 2024, while the MSCI World Index closed the year up 17% despite a weaker fourth quarter. This robust full-year performance across indexes masks interim volatility during the year, the most notable of which was the selloff in the third quarter associated with the monetary policy-driven disruption to the yen carry trade. As demonstrated by full-year returns, equities recovered relatively quickly, although the Nikkei 225 remains 5.5% below its July 11th peak as of year-end 2024. A stronger yen in 2025 due to narrowing interest rate differentials with the U.S. could put downward pressure on Japanese equities.</w:t>
      </w:r>
    </w:p>
    <w:p>
      <w:pPr>
        <w:spacing w:after="0" w:line="4" w:lineRule="exact"/>
        <w:rPr>
          <w:rFonts w:ascii="Times New Roman" w:cs="Times New Roman" w:eastAsia="Times New Roman" w:hAnsi="Times New Roman"/>
          <w:sz w:val="16"/>
          <w:szCs w:val="16"/>
          <w:color w:val="auto"/>
        </w:rPr>
      </w:pPr>
    </w:p>
    <w:p>
      <w:pPr>
        <w:ind w:left="10" w:right="144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spreads across both leveraged loans and high yield bonds compressed to post-2008 lows in 2024 as strong demand, particularly from collateralized loan obligations (“CLOs”), continued to outpace supply. Historically tight credit spreads drove a surge in refinancing activity, pushing total global leveraged finance issuance in 2024 to nearly $1.2 trillion, up 92% from 2023 and one of the highest years on record. In the U.S., leveraged loan issuance doubled to $654 billion, the highest total outside of the 2021 pandemic-era boom, with about half used for refinancing. Non-refinancing issuance also rebounded in 2024: in the U.S., total M&amp;A-related leveraged loan volumes for the year (including pro-rata transactions) were 95% higher than in 2023, led by a more than 200% increase in volume tied to leveraged buyout (“LBO”) activity. In Europe, leveraged loan issuance rose 130% to $117 billion, returning to pre-pandemic averages.</w:t>
      </w:r>
    </w:p>
    <w:p>
      <w:pPr>
        <w:spacing w:after="0" w:line="3"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this backdrop of relatively favorable financing conditions, global M&amp;A activity recovered modestly, totaling</w:t>
      </w:r>
    </w:p>
    <w:p>
      <w:pPr>
        <w:ind w:left="10" w:right="144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$3.5 trillion in 2024, a 12% increase over 2023 but still 11% lower than the yearly average from 2015 through 2019 and 41% below the $6 trillion surge in 2021. Europe led the recovery, with deal volume rising 15% to $884 billion, though momentum softened in the second half. U.S. M&amp;A volume reached $1.6 trillion, an 8% increase, while Asia-Pacific transactions totaled $858 billion, a 12% increase, with deal activity accelerating in the second half of the year. Buyout activity also rebounded, with financial sponsors announcing $448 billion in buyout transactions, a 35% increase over 2023. Including add-ons, total deal</w:t>
      </w:r>
    </w:p>
    <w:p>
      <w:pPr>
        <w:sectPr>
          <w:pgSz w:w="11900" w:h="16840" w:orient="portrait"/>
          <w:cols w:equalWidth="0" w:num="1">
            <w:col w:w="9410"/>
          </w:cols>
          <w:pgMar w:left="1050" w:top="1440" w:right="144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103</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40"/>
        <w:spacing w:after="0" w:line="244" w:lineRule="auto"/>
        <w:rPr>
          <w:sz w:val="20"/>
          <w:szCs w:val="20"/>
          <w:color w:val="auto"/>
        </w:rPr>
      </w:pPr>
      <w:r>
        <w:rPr>
          <w:rFonts w:ascii="Times New Roman" w:cs="Times New Roman" w:eastAsia="Times New Roman" w:hAnsi="Times New Roman"/>
          <w:sz w:val="14"/>
          <w:szCs w:val="14"/>
          <w:color w:val="auto"/>
        </w:rPr>
        <w:t>volume reached $ 520 billion, up 27% year- over-year and roughly in line with historical averages from 2015 through 2019. U.S. targets accounted for 42% of global buyout volume, while Europe represented 37%. Despite more robust deal activity, exit conditions remained challenging, with buyout-backed exits rising just 6% from 2023, while total deal value fell by 12% as deal sizes declined on average. However, the IPO market showed early signs of recovery, with 168 U.S.-listed IPOs raising $32</w:t>
      </w:r>
    </w:p>
    <w:p>
      <w:pPr>
        <w:sectPr>
          <w:pgSz w:w="11900" w:h="16840" w:orient="portrait"/>
          <w:cols w:equalWidth="0" w:num="1">
            <w:col w:w="9410"/>
          </w:cols>
          <w:pgMar w:left="1050" w:top="1440" w:right="1440" w:bottom="138"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billion, a 60% increase in proceeds and a 44% rise in transaction count compared to 2023.</w:t>
      </w:r>
    </w:p>
    <w:p>
      <w:pPr>
        <w:ind w:right="1420"/>
        <w:spacing w:after="0" w:line="203" w:lineRule="auto"/>
        <w:rPr>
          <w:sz w:val="20"/>
          <w:szCs w:val="20"/>
          <w:color w:val="auto"/>
        </w:rPr>
      </w:pPr>
      <w:r>
        <w:rPr>
          <w:rFonts w:ascii="Times New Roman" w:cs="Times New Roman" w:eastAsia="Times New Roman" w:hAnsi="Times New Roman"/>
          <w:sz w:val="16"/>
          <w:szCs w:val="16"/>
          <w:color w:val="auto"/>
        </w:rPr>
        <w:t>Our carry fund portfolio appreciated 8% during 2024. Within our Global Private Equity segment, our corporate private equity funds appreciated 8%, with particular strength in our two latest vintage U.S. buyout funds, which appreciated 15% and 21%, respectively, during the year, outpacing growth in the S&amp;P 493. Our infrastructure and natural resources funds appreciated 8%, and our real estate funds appreciated 5%. Our Global Credit carry funds (which represent approximately 11% of the total Global Credit remaining fair value as of December 31, 2024) appreciated 12% in 2024 and carry funds in our Global Investment Solutions segment appreciated 9%.</w:t>
      </w:r>
    </w:p>
    <w:p>
      <w:pPr>
        <w:spacing w:after="0" w:line="206" w:lineRule="auto"/>
        <w:rPr>
          <w:sz w:val="20"/>
          <w:szCs w:val="20"/>
          <w:color w:val="auto"/>
        </w:rPr>
      </w:pPr>
      <w:r>
        <w:rPr>
          <w:rFonts w:ascii="Times New Roman" w:cs="Times New Roman" w:eastAsia="Times New Roman" w:hAnsi="Times New Roman"/>
          <w:sz w:val="16"/>
          <w:szCs w:val="16"/>
          <w:color w:val="auto"/>
        </w:rPr>
        <w:t>Activity across our platform in 2024 reflected the rebound in global deal activity during the year over depressed 2023</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levels. During the year ended December 31, 2024, our net transaction and portfolio advisory fees of $152.5 million more than doubled from $68.6 million last year, driven by significant activity in our capital markets business. We generated $ 28.6 billion in realized proceeds from our carry funds, including $12.4 billion from our corporate private equity funds which nearly doubled from $6.5 billion in realized proceeds in 2023. We deployed $42.7 billion across our platform during 2024, a nearly 50% increase compared to $28.8 billion in 2023, which included $ 8.2 billion and $10.0 billion in invested capital in our Global Private Equity and Global Investment Solutions segments. In our Global Credit segment, deployment of $24.5 billion in 2024 included the closing of ten new CLOs, gross originations across our platform including $ 3.7 billion in direct lending, and invested capital in our carry funds. Over one -third of our realized proceeds in 2024 were generated in the fourth quarter, reflecting the acceleration of deal activity in the latter part of the year.</w:t>
      </w:r>
    </w:p>
    <w:p>
      <w:pPr>
        <w:spacing w:after="0" w:line="4"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We had $40.8 billion in capital inflows in 2024, exceeding our previously announced target of $40 billion, with Global Credit and Global Investment Solutions comprising over two-thirds of the activity. While we believe that we will continue to attract a significant amount of capital for our buyout funds, we have seen a decline in buyout fund sizes across most geographies, which may continue to result in lower management fees in Global Private Equity in the future.</w:t>
      </w:r>
    </w:p>
    <w:p>
      <w:pPr>
        <w:spacing w:after="0" w:line="205" w:lineRule="auto"/>
        <w:rPr>
          <w:sz w:val="20"/>
          <w:szCs w:val="20"/>
          <w:color w:val="auto"/>
        </w:rPr>
      </w:pPr>
      <w:r>
        <w:rPr>
          <w:rFonts w:ascii="Times New Roman" w:cs="Times New Roman" w:eastAsia="Times New Roman" w:hAnsi="Times New Roman"/>
          <w:sz w:val="16"/>
          <w:szCs w:val="16"/>
          <w:color w:val="auto"/>
        </w:rPr>
        <w:t>The U.S. Securities and Exchange Commission (the “SEC”) has put forth several rule proposals, and we are evaluating</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the potential impacts to our business and operations and those of our portfolio companies. The future of several final rules, such as the public company climate-related disclosure rules and the private fund adviser rules, is in doubt pending the resolution of recent litigation. We are closely evaluating potential impacts to our business of rule proposals and adoptions and various financial, regulatory, and other proposals put forth by the new administration and Congress. The potential for policy changes may create regulatory uncertainty for our investment strategies and our portfolio companies and could adversely affect our profitability and the profitability of our portfolio companies.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Dividends</w:t>
      </w:r>
    </w:p>
    <w:p>
      <w:pPr>
        <w:ind w:right="2320"/>
        <w:spacing w:after="0" w:line="203" w:lineRule="auto"/>
        <w:rPr>
          <w:sz w:val="20"/>
          <w:szCs w:val="20"/>
          <w:color w:val="auto"/>
        </w:rPr>
      </w:pPr>
      <w:r>
        <w:rPr>
          <w:rFonts w:ascii="Times New Roman" w:cs="Times New Roman" w:eastAsia="Times New Roman" w:hAnsi="Times New Roman"/>
          <w:sz w:val="16"/>
          <w:szCs w:val="16"/>
          <w:color w:val="auto"/>
        </w:rPr>
        <w:t>In February 2025, the Company’s Board of Directors declared a quarterly dividend of $0.35 per share to common stockholders of record at the close of business on February 21, 2025, payable on February 28, 2025.</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Key Financial Measures</w:t>
      </w:r>
    </w:p>
    <w:p>
      <w:pPr>
        <w:spacing w:after="0" w:line="204" w:lineRule="auto"/>
        <w:rPr>
          <w:sz w:val="20"/>
          <w:szCs w:val="20"/>
          <w:color w:val="auto"/>
        </w:rPr>
      </w:pPr>
      <w:r>
        <w:rPr>
          <w:rFonts w:ascii="Times New Roman" w:cs="Times New Roman" w:eastAsia="Times New Roman" w:hAnsi="Times New Roman"/>
          <w:sz w:val="16"/>
          <w:szCs w:val="16"/>
          <w:color w:val="auto"/>
        </w:rPr>
        <w:t>Our key financial measures and operating metrics are discussed in the following pages. Additional information</w:t>
      </w:r>
    </w:p>
    <w:p>
      <w:pPr>
        <w:ind w:right="1540"/>
        <w:spacing w:after="0" w:line="203" w:lineRule="auto"/>
        <w:rPr>
          <w:sz w:val="20"/>
          <w:szCs w:val="20"/>
          <w:color w:val="auto"/>
        </w:rPr>
      </w:pPr>
      <w:r>
        <w:rPr>
          <w:rFonts w:ascii="Times New Roman" w:cs="Times New Roman" w:eastAsia="Times New Roman" w:hAnsi="Times New Roman"/>
          <w:sz w:val="16"/>
          <w:szCs w:val="16"/>
          <w:color w:val="auto"/>
        </w:rPr>
        <w:t>regarding U.S. GAAP measures and our other significant accounting policies can be found in Note 2, Summary of Significant Accounting Policies, to the consolidated financial statements included in this Annual Report on Form 10-K.</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Revenues primarily consist of Fund management fees, Incentive fees, Investment income (including Performance allocations, realized and unrealized gains of our investments in our funds and other principal investments), as well as Interest and other income.</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 xml:space="preserve">Fund management fees. </w:t>
      </w:r>
      <w:r>
        <w:rPr>
          <w:rFonts w:ascii="Times New Roman" w:cs="Times New Roman" w:eastAsia="Times New Roman" w:hAnsi="Times New Roman"/>
          <w:sz w:val="16"/>
          <w:szCs w:val="16"/>
          <w:color w:val="auto"/>
        </w:rPr>
        <w:t>Fund management fees include management fees and transaction and portfolio advisory fees.</w:t>
      </w:r>
    </w:p>
    <w:p>
      <w:pPr>
        <w:ind w:right="1540"/>
        <w:spacing w:after="0" w:line="268" w:lineRule="auto"/>
        <w:rPr>
          <w:sz w:val="20"/>
          <w:szCs w:val="20"/>
          <w:color w:val="auto"/>
        </w:rPr>
      </w:pPr>
      <w:r>
        <w:rPr>
          <w:rFonts w:ascii="Times New Roman" w:cs="Times New Roman" w:eastAsia="Times New Roman" w:hAnsi="Times New Roman"/>
          <w:sz w:val="14"/>
          <w:szCs w:val="14"/>
          <w:color w:val="auto"/>
        </w:rPr>
        <w:t>We earn management fees for advisory services we provide to funds in which we hold a general partner interest or to funds or certain portfolio companies with which we have an investment advisory or investment management agreement. These fees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40"/>
        <w:spacing w:after="0" w:line="203" w:lineRule="auto"/>
        <w:rPr>
          <w:sz w:val="20"/>
          <w:szCs w:val="20"/>
          <w:color w:val="auto"/>
        </w:rPr>
      </w:pPr>
      <w:r>
        <w:rPr>
          <w:rFonts w:ascii="Times New Roman" w:cs="Times New Roman" w:eastAsia="Times New Roman" w:hAnsi="Times New Roman"/>
          <w:sz w:val="16"/>
          <w:szCs w:val="16"/>
          <w:color w:val="auto"/>
        </w:rPr>
        <w:t>largely from either traditional closed-end, long-dated funds, which are highly predictable and stable, or Perpetual Capital products as defined below. Management fees also include catch-up management fees, which are episodic in nature and represent management fees charged to fund investors in subsequent closings of a fund which apply to the time period between the fee initiation date and the subsequent closing date. We also earn management fees on our CLOs and other structured products.</w:t>
      </w:r>
    </w:p>
    <w:p>
      <w:pPr>
        <w:spacing w:after="0" w:line="206" w:lineRule="auto"/>
        <w:rPr>
          <w:sz w:val="20"/>
          <w:szCs w:val="20"/>
          <w:color w:val="auto"/>
        </w:rPr>
      </w:pPr>
      <w:r>
        <w:rPr>
          <w:rFonts w:ascii="Times New Roman" w:cs="Times New Roman" w:eastAsia="Times New Roman" w:hAnsi="Times New Roman"/>
          <w:sz w:val="16"/>
          <w:szCs w:val="16"/>
          <w:color w:val="auto"/>
        </w:rPr>
        <w:t>Transaction and portfolio advisory fees generally include capital markets fees generated by Carlyle Global Capital</w:t>
      </w:r>
    </w:p>
    <w:p>
      <w:pPr>
        <w:ind w:right="1440"/>
        <w:spacing w:after="0" w:line="203" w:lineRule="auto"/>
        <w:rPr>
          <w:sz w:val="20"/>
          <w:szCs w:val="20"/>
          <w:color w:val="auto"/>
        </w:rPr>
      </w:pPr>
      <w:r>
        <w:rPr>
          <w:rFonts w:ascii="Times New Roman" w:cs="Times New Roman" w:eastAsia="Times New Roman" w:hAnsi="Times New Roman"/>
          <w:sz w:val="16"/>
          <w:szCs w:val="16"/>
          <w:color w:val="auto"/>
        </w:rPr>
        <w:t>Markets in connection with activities related to the underwriting, issuance and placement of debt and equity securities, and loan syndication for our portfolio companies and third-party clients, which are generally not subject to rebate offsets as described below with respect to our most recent vintages (but are subject to the rebate offsets set forth below for older funds) . Underwriting fees include gains, losses, and fees arising from securities offerings in which we participate in the underwriter syndicate.</w:t>
      </w:r>
    </w:p>
    <w:p>
      <w:pPr>
        <w:spacing w:after="0" w:line="2"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Transaction and portfolio advisory fees also include fees we receive for the transaction and portfolio advisory services we provide to our portfolio companies. When covered by separate contractual agreements, we recognize transaction and portfolio advisory fees for these services when the performance obligation has been satisfied and collection is reasonably assured. We are generally required to offset our fund management fees by the transaction and advisory fees earned, which we refer to as “rebate offsets.”</w:t>
      </w:r>
    </w:p>
    <w:p>
      <w:pPr>
        <w:spacing w:after="0" w:line="206" w:lineRule="auto"/>
        <w:rPr>
          <w:sz w:val="20"/>
          <w:szCs w:val="20"/>
          <w:color w:val="auto"/>
        </w:rPr>
      </w:pPr>
      <w:r>
        <w:rPr>
          <w:rFonts w:ascii="Times New Roman" w:cs="Times New Roman" w:eastAsia="Times New Roman" w:hAnsi="Times New Roman"/>
          <w:sz w:val="16"/>
          <w:szCs w:val="16"/>
          <w:color w:val="auto"/>
        </w:rPr>
        <w:t>The recognition of portfolio advisory fees, transactions fees, and capital markets fees can be volatile as they are</w:t>
      </w:r>
    </w:p>
    <w:p>
      <w:pPr>
        <w:ind w:right="1480"/>
        <w:spacing w:after="0" w:line="203" w:lineRule="auto"/>
        <w:rPr>
          <w:sz w:val="20"/>
          <w:szCs w:val="20"/>
          <w:color w:val="auto"/>
        </w:rPr>
      </w:pPr>
      <w:r>
        <w:rPr>
          <w:rFonts w:ascii="Times New Roman" w:cs="Times New Roman" w:eastAsia="Times New Roman" w:hAnsi="Times New Roman"/>
          <w:sz w:val="16"/>
          <w:szCs w:val="16"/>
          <w:color w:val="auto"/>
        </w:rPr>
        <w:t>primarily generated by investment activity within our funds, and therefore are impacted by our investment pace or other capital transactions at our portfolio companies.</w:t>
      </w:r>
    </w:p>
    <w:p>
      <w:pPr>
        <w:spacing w:after="0" w:line="1" w:lineRule="exact"/>
        <w:rPr>
          <w:sz w:val="20"/>
          <w:szCs w:val="20"/>
          <w:color w:val="auto"/>
        </w:rPr>
      </w:pPr>
    </w:p>
    <w:p>
      <w:pPr>
        <w:ind w:right="1460"/>
        <w:spacing w:after="0" w:line="213"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Incentive fees consist of performance-based incentive arrangements pursuant to management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from certain of our Global Credit funds, when the return on assets under management exceeds certain benchmark returns or other performance targets. In such arrangements, incentive fees are recognized when the performance benchmark has been achieved.</w:t>
      </w:r>
    </w:p>
    <w:p>
      <w:pPr>
        <w:sectPr>
          <w:pgSz w:w="11900" w:h="16840" w:orient="portrait"/>
          <w:cols w:equalWidth="0" w:num="1">
            <w:col w:w="9400"/>
          </w:cols>
          <w:pgMar w:left="1060" w:top="547" w:right="1440" w:bottom="79"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i w:val="1"/>
          <w:iCs w:val="1"/>
          <w:color w:val="auto"/>
        </w:rPr>
        <w:t xml:space="preserve">Investment income (loss). </w:t>
      </w:r>
      <w:r>
        <w:rPr>
          <w:rFonts w:ascii="Times New Roman" w:cs="Times New Roman" w:eastAsia="Times New Roman" w:hAnsi="Times New Roman"/>
          <w:sz w:val="16"/>
          <w:szCs w:val="16"/>
          <w:color w:val="auto"/>
        </w:rPr>
        <w:t>Investment income (loss) consists of our performance allocations as well as the realized and</w:t>
      </w:r>
    </w:p>
    <w:p>
      <w:pPr>
        <w:spacing w:after="0" w:line="203" w:lineRule="auto"/>
        <w:rPr>
          <w:sz w:val="20"/>
          <w:szCs w:val="20"/>
          <w:color w:val="auto"/>
        </w:rPr>
      </w:pPr>
      <w:r>
        <w:rPr>
          <w:rFonts w:ascii="Times New Roman" w:cs="Times New Roman" w:eastAsia="Times New Roman" w:hAnsi="Times New Roman"/>
          <w:sz w:val="16"/>
          <w:szCs w:val="16"/>
          <w:color w:val="auto"/>
        </w:rPr>
        <w:t>unrealized gains and losses resulting from our equity method investments and other principal investments.</w:t>
      </w:r>
    </w:p>
    <w:p>
      <w:pPr>
        <w:spacing w:after="0" w:line="204" w:lineRule="auto"/>
        <w:rPr>
          <w:sz w:val="20"/>
          <w:szCs w:val="20"/>
          <w:color w:val="auto"/>
        </w:rPr>
      </w:pPr>
      <w:r>
        <w:rPr>
          <w:rFonts w:ascii="Times New Roman" w:cs="Times New Roman" w:eastAsia="Times New Roman" w:hAnsi="Times New Roman"/>
          <w:sz w:val="16"/>
          <w:szCs w:val="16"/>
          <w:color w:val="auto"/>
        </w:rPr>
        <w:t>Performance allocations consist principally of the performance-based capital allocation from fund limited partners to</w:t>
      </w:r>
    </w:p>
    <w:p>
      <w:pPr>
        <w:spacing w:after="0" w:line="203" w:lineRule="auto"/>
        <w:rPr>
          <w:sz w:val="20"/>
          <w:szCs w:val="20"/>
          <w:color w:val="auto"/>
        </w:rPr>
      </w:pPr>
      <w:r>
        <w:rPr>
          <w:rFonts w:ascii="Times New Roman" w:cs="Times New Roman" w:eastAsia="Times New Roman" w:hAnsi="Times New Roman"/>
          <w:sz w:val="16"/>
          <w:szCs w:val="16"/>
          <w:color w:val="auto"/>
        </w:rPr>
        <w:t>us, commonly referred to as carried interest, from certain of our investment funds, which we refer to as the “carry funds.”</w:t>
      </w:r>
    </w:p>
    <w:p>
      <w:pPr>
        <w:spacing w:after="0" w:line="204" w:lineRule="auto"/>
        <w:rPr>
          <w:sz w:val="20"/>
          <w:szCs w:val="20"/>
          <w:color w:val="auto"/>
        </w:rPr>
      </w:pPr>
      <w:r>
        <w:rPr>
          <w:rFonts w:ascii="Times New Roman" w:cs="Times New Roman" w:eastAsia="Times New Roman" w:hAnsi="Times New Roman"/>
          <w:sz w:val="16"/>
          <w:szCs w:val="16"/>
          <w:color w:val="auto"/>
        </w:rPr>
        <w:t>Carried interest revenue is recognized by Carlyle upon appreciation of the valuation of our funds’ investments above certain</w:t>
      </w:r>
    </w:p>
    <w:p>
      <w:pPr>
        <w:spacing w:after="0" w:line="232" w:lineRule="auto"/>
        <w:rPr>
          <w:sz w:val="20"/>
          <w:szCs w:val="20"/>
          <w:color w:val="auto"/>
        </w:rPr>
      </w:pPr>
      <w:r>
        <w:rPr>
          <w:rFonts w:ascii="Times New Roman" w:cs="Times New Roman" w:eastAsia="Times New Roman" w:hAnsi="Times New Roman"/>
          <w:sz w:val="14"/>
          <w:szCs w:val="14"/>
          <w:color w:val="auto"/>
        </w:rPr>
        <w:t>return hurdles as set forth in each respective partnership agreement and is based on the amount that would be due to us pursuant</w:t>
      </w:r>
    </w:p>
    <w:p>
      <w:pPr>
        <w:spacing w:after="0" w:line="204" w:lineRule="auto"/>
        <w:rPr>
          <w:sz w:val="20"/>
          <w:szCs w:val="20"/>
          <w:color w:val="auto"/>
        </w:rPr>
      </w:pPr>
      <w:r>
        <w:rPr>
          <w:rFonts w:ascii="Times New Roman" w:cs="Times New Roman" w:eastAsia="Times New Roman" w:hAnsi="Times New Roman"/>
          <w:sz w:val="16"/>
          <w:szCs w:val="16"/>
          <w:color w:val="auto"/>
        </w:rPr>
        <w:t>to the fund partnership agreement at each period end as if the funds were liquidated at such date. Accordingly, the amount of</w:t>
      </w:r>
    </w:p>
    <w:p>
      <w:pPr>
        <w:spacing w:after="0" w:line="203" w:lineRule="auto"/>
        <w:rPr>
          <w:sz w:val="20"/>
          <w:szCs w:val="20"/>
          <w:color w:val="auto"/>
        </w:rPr>
      </w:pPr>
      <w:r>
        <w:rPr>
          <w:rFonts w:ascii="Times New Roman" w:cs="Times New Roman" w:eastAsia="Times New Roman" w:hAnsi="Times New Roman"/>
          <w:sz w:val="16"/>
          <w:szCs w:val="16"/>
          <w:color w:val="auto"/>
        </w:rPr>
        <w:t>carried interest recognized as performance allocations reflects our share of the fair value gains and losses of the associated</w:t>
      </w:r>
    </w:p>
    <w:p>
      <w:pPr>
        <w:spacing w:after="0" w:line="204" w:lineRule="auto"/>
        <w:rPr>
          <w:sz w:val="20"/>
          <w:szCs w:val="20"/>
          <w:color w:val="auto"/>
        </w:rPr>
      </w:pPr>
      <w:r>
        <w:rPr>
          <w:rFonts w:ascii="Times New Roman" w:cs="Times New Roman" w:eastAsia="Times New Roman" w:hAnsi="Times New Roman"/>
          <w:sz w:val="16"/>
          <w:szCs w:val="16"/>
          <w:color w:val="auto"/>
        </w:rPr>
        <w:t>funds’ underlying investments measured at their then-current fair values relative to the fair values as of the end of the prior</w:t>
      </w:r>
    </w:p>
    <w:p>
      <w:pPr>
        <w:spacing w:after="0" w:line="233" w:lineRule="auto"/>
        <w:rPr>
          <w:sz w:val="20"/>
          <w:szCs w:val="20"/>
          <w:color w:val="auto"/>
        </w:rPr>
      </w:pPr>
      <w:r>
        <w:rPr>
          <w:rFonts w:ascii="Times New Roman" w:cs="Times New Roman" w:eastAsia="Times New Roman" w:hAnsi="Times New Roman"/>
          <w:sz w:val="14"/>
          <w:szCs w:val="14"/>
          <w:color w:val="auto"/>
        </w:rPr>
        <w:t>period. As a result, the performance allocations earned in an applicable reporting period are not indicative of any future period,</w:t>
      </w:r>
    </w:p>
    <w:p>
      <w:pPr>
        <w:spacing w:after="0" w:line="232" w:lineRule="auto"/>
        <w:rPr>
          <w:sz w:val="20"/>
          <w:szCs w:val="20"/>
          <w:color w:val="auto"/>
        </w:rPr>
      </w:pPr>
      <w:r>
        <w:rPr>
          <w:rFonts w:ascii="Times New Roman" w:cs="Times New Roman" w:eastAsia="Times New Roman" w:hAnsi="Times New Roman"/>
          <w:sz w:val="14"/>
          <w:szCs w:val="14"/>
          <w:color w:val="auto"/>
        </w:rPr>
        <w:t>as fair values are based on conditions prevalent as of the reporting date. Refer to “—Trends Affecting our Business” for further</w:t>
      </w:r>
    </w:p>
    <w:p>
      <w:pPr>
        <w:spacing w:after="0" w:line="204" w:lineRule="auto"/>
        <w:rPr>
          <w:sz w:val="20"/>
          <w:szCs w:val="20"/>
          <w:color w:val="auto"/>
        </w:rPr>
      </w:pPr>
      <w:r>
        <w:rPr>
          <w:rFonts w:ascii="Times New Roman" w:cs="Times New Roman" w:eastAsia="Times New Roman" w:hAnsi="Times New Roman"/>
          <w:sz w:val="16"/>
          <w:szCs w:val="16"/>
          <w:color w:val="auto"/>
        </w:rPr>
        <w:t>discussion.</w:t>
      </w:r>
    </w:p>
    <w:p>
      <w:pPr>
        <w:spacing w:after="0" w:line="203" w:lineRule="auto"/>
        <w:rPr>
          <w:sz w:val="20"/>
          <w:szCs w:val="20"/>
          <w:color w:val="auto"/>
        </w:rPr>
      </w:pPr>
      <w:r>
        <w:rPr>
          <w:rFonts w:ascii="Times New Roman" w:cs="Times New Roman" w:eastAsia="Times New Roman" w:hAnsi="Times New Roman"/>
          <w:sz w:val="16"/>
          <w:szCs w:val="16"/>
          <w:color w:val="auto"/>
        </w:rPr>
        <w:t>For any given period, performance allocations revenue on our statement of operations may include reversals of</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previously recognized performance allocations due to a decrease in the value of a particular fund that results in a decrease of cumulative performance allocations earned to date. Since fund return hurdles are cumulative, previously recognized performance allocations also may be reversed in a period of appreciation that is lower than the particular fund’s hurdle rate. Additionally, unrealized performance allocations reverse when performance allocations are realized, and unrealized performance allocations can be negative if the amount of realized performance allocations exceed total performance allocations generated in the period. The timing and receipt of realized performance allocations varies with the lifecycle of our carry funds and there is often a difference between the time we start accruing performance allocations and realization. The timing of performance allocations realizations from our Global Investment Solutions, Carlyle Aviation, and Abingworth funds is typically later than in our other carry funds based on the terms of such arrangements.</w:t>
      </w:r>
    </w:p>
    <w:p>
      <w:pPr>
        <w:spacing w:after="0" w:line="208" w:lineRule="auto"/>
        <w:rPr>
          <w:sz w:val="20"/>
          <w:szCs w:val="20"/>
          <w:color w:val="auto"/>
        </w:rPr>
      </w:pPr>
      <w:r>
        <w:rPr>
          <w:rFonts w:ascii="Times New Roman" w:cs="Times New Roman" w:eastAsia="Times New Roman" w:hAnsi="Times New Roman"/>
          <w:sz w:val="16"/>
          <w:szCs w:val="16"/>
          <w:color w:val="auto"/>
        </w:rPr>
        <w:t>Under our arrangements with the historical owners and management teams of AlpInvest and Abingworth, the amount</w:t>
      </w:r>
    </w:p>
    <w:p>
      <w:pPr>
        <w:ind w:right="1580"/>
        <w:spacing w:after="0" w:line="211" w:lineRule="auto"/>
        <w:rPr>
          <w:sz w:val="20"/>
          <w:szCs w:val="20"/>
          <w:color w:val="auto"/>
        </w:rPr>
      </w:pPr>
      <w:r>
        <w:rPr>
          <w:rFonts w:ascii="Times New Roman" w:cs="Times New Roman" w:eastAsia="Times New Roman" w:hAnsi="Times New Roman"/>
          <w:sz w:val="16"/>
          <w:szCs w:val="16"/>
          <w:color w:val="auto"/>
        </w:rPr>
        <w:t>of carried interest to which we are entitled varies. In some cases, we are entitled to 15% of the carried interest in respect of commitments from the historical owners of AlpInvest for the period between 2011 and 2020. In certain instances, carried interest associated with the AlpInvest fund vehicles is subject to entity level income taxes in the Netherlands. Additionally, in connection with the acquisition of Abingworth, we are entitled to 15% of carried interest generated from certain Abingworth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00"/>
        <w:spacing w:after="0" w:line="203" w:lineRule="auto"/>
        <w:rPr>
          <w:sz w:val="20"/>
          <w:szCs w:val="20"/>
          <w:color w:val="auto"/>
        </w:rPr>
      </w:pPr>
      <w:r>
        <w:rPr>
          <w:rFonts w:ascii="Times New Roman" w:cs="Times New Roman" w:eastAsia="Times New Roman" w:hAnsi="Times New Roman"/>
          <w:sz w:val="16"/>
          <w:szCs w:val="16"/>
          <w:color w:val="auto"/>
        </w:rPr>
        <w:t>Realized carried interest may be clawed back or given back to the fund if the fund’s investment values decline below certain return hurdles, which vary from fund to fund. This amount is known as the “giveback obligation.” In all cases, each investment fund is considered separately in evaluating carried interest and potential giveback obligations. See Note 8, Commitments and Contingencies, to the consolidated financial statements in Part II, Item 8 of this Annual Report on Form 10-K for additional information.</w:t>
      </w:r>
    </w:p>
    <w:p>
      <w:pPr>
        <w:spacing w:after="0" w:line="206" w:lineRule="auto"/>
        <w:rPr>
          <w:sz w:val="20"/>
          <w:szCs w:val="20"/>
          <w:color w:val="auto"/>
        </w:rPr>
      </w:pPr>
      <w:r>
        <w:rPr>
          <w:rFonts w:ascii="Times New Roman" w:cs="Times New Roman" w:eastAsia="Times New Roman" w:hAnsi="Times New Roman"/>
          <w:sz w:val="16"/>
          <w:szCs w:val="16"/>
          <w:color w:val="auto"/>
        </w:rPr>
        <w:t>Accrued performance allocations and accrued giveback obligations at a point in time assume a hypothetical liquidation</w:t>
      </w:r>
    </w:p>
    <w:p>
      <w:pPr>
        <w:ind w:right="1420"/>
        <w:spacing w:after="0" w:line="203" w:lineRule="auto"/>
        <w:rPr>
          <w:sz w:val="20"/>
          <w:szCs w:val="20"/>
          <w:color w:val="auto"/>
        </w:rPr>
      </w:pPr>
      <w:r>
        <w:rPr>
          <w:rFonts w:ascii="Times New Roman" w:cs="Times New Roman" w:eastAsia="Times New Roman" w:hAnsi="Times New Roman"/>
          <w:sz w:val="16"/>
          <w:szCs w:val="16"/>
          <w:color w:val="auto"/>
        </w:rPr>
        <w:t>of the funds’ investments at their then current fair values. Each investment fund is considered separately in evaluating carried interest and potential giveback obligations. These assets and liabilities will continue to fluctuate in accordance with the fair values of the funds’ investments until they are realized. The Company uses “net accrued performance revenues” to refer to the aggregation of the accrued performance allocations net of (i) accrued giveback obligations, (ii) accrued performance allocations related compensation, (iii) performance allocations related tax obligations, and (iv) accrued performance allocations attributable to non- controlling interests. Net accrued performance revenues exclude any net accrued performance allocations and incentive fees that have been realized but will be collected in subsequent periods, as well as net accrued performance revenues which are presented as fee related performance revenues when realized in our non -GAAP financial measures. Realized performance allocation -related compensation associated with our updated compensation program that has not yet been paid is also excluded from our net accrued performance allocations.</w:t>
      </w:r>
    </w:p>
    <w:p>
      <w:pPr>
        <w:spacing w:after="0" w:line="4"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In addition, realized performance allocations may be reversed in future periods to the extent that such amounts become subject to a giveback obligation. The aggregate amount of giveback obligations realized since Carlyle’s inception totaled $256.5 million, $175.0 million of which was related to various Legacy Energy Funds. Given that current and former senior Carlyle professionals and other limited partners of the Carlyle Holdings partnerships are responsible for paying the majority of the realized giveback obligation, only $86.5 million of the $256.5 million aggregate giveback obligation realized since inception was attributable to Carlyle. The realization of giveback obligations for the Company’s portion of such obligations reduces Distributable Earnings in the period realized. Further, each individual who holds equity interests in carried interest generated by our funds and is a recipient of realized carried interest typically signs a guarantee agreement or partnership agreement that personally obligates such person to return his/her pro rata share of any amounts of realized carried interest previously distributed that are later clawed back. Accordingly, carried interest as performance allocation compensation is subject to return to the Company in the event a giveback obligation is funded. Generally, the actual giveback liability, if any, does not become due until the end of a fund’s life.</w:t>
      </w:r>
    </w:p>
    <w:p>
      <w:pPr>
        <w:spacing w:after="0" w:line="5"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In addition, in our discussion of our non-GAAP results, we use the term “realized net performance revenues” to refer to realized performance allocations and incentive fees from our funds, net of the portion allocated to our investment professionals, and other employees and certain tax expenses associated with carried interest attributable to certain partners and employees, which are reflected as realized performance allocations and incentive fees related compensation expense. See “— Non- GAAP Financial Measures” and “—Segment Analysis” for the amount of realized net performance revenues recognized each period and related discussion.</w:t>
      </w:r>
    </w:p>
    <w:p>
      <w:pPr>
        <w:spacing w:after="0" w:line="206" w:lineRule="auto"/>
        <w:rPr>
          <w:sz w:val="20"/>
          <w:szCs w:val="20"/>
          <w:color w:val="auto"/>
        </w:rPr>
      </w:pPr>
      <w:r>
        <w:rPr>
          <w:rFonts w:ascii="Times New Roman" w:cs="Times New Roman" w:eastAsia="Times New Roman" w:hAnsi="Times New Roman"/>
          <w:sz w:val="16"/>
          <w:szCs w:val="16"/>
          <w:color w:val="auto"/>
        </w:rPr>
        <w:t>Investment income also represents the realized and unrealized gains and losses on our principal investments, including</w:t>
      </w:r>
    </w:p>
    <w:p>
      <w:pPr>
        <w:spacing w:after="0" w:line="1" w:lineRule="exact"/>
        <w:rPr>
          <w:sz w:val="20"/>
          <w:szCs w:val="20"/>
          <w:color w:val="auto"/>
        </w:rPr>
      </w:pPr>
    </w:p>
    <w:p>
      <w:pPr>
        <w:ind w:right="1400"/>
        <w:spacing w:after="0" w:line="232" w:lineRule="auto"/>
        <w:rPr>
          <w:sz w:val="20"/>
          <w:szCs w:val="20"/>
          <w:color w:val="auto"/>
        </w:rPr>
      </w:pPr>
      <w:r>
        <w:rPr>
          <w:rFonts w:ascii="Times New Roman" w:cs="Times New Roman" w:eastAsia="Times New Roman" w:hAnsi="Times New Roman"/>
          <w:sz w:val="14"/>
          <w:szCs w:val="14"/>
          <w:color w:val="auto"/>
        </w:rPr>
        <w:t>our investments in Carlyle funds that are not consolidated, and our strategic investments in NGP as described below. Realized principal investment income (loss) is recorded when we redeem all or a portion of our investment or when we receive or are due cash income, such as dividends or distributions. A realized principal investment loss is also recorded when an investment is deemed to be worthless. Unrealized principal investment income (loss) results from changes in the fair value of the underlying investment, as well as the reversal of previously recognized unrealized gains (losses) at the time an investment is realized. We account for our investments in NGP under the equity method of accounting. Our investments in NGP include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interests in NGP Management Company, L.L.C. (“NGP Management”) and the general partners of certain carry funds</w:t>
      </w:r>
    </w:p>
    <w:p>
      <w:pPr>
        <w:sectPr>
          <w:pgSz w:w="11900" w:h="16840" w:orient="portrait"/>
          <w:cols w:equalWidth="0" w:num="1">
            <w:col w:w="9400"/>
          </w:cols>
          <w:pgMar w:left="1060" w:top="547" w:right="1440" w:bottom="43" w:gutter="0" w:footer="0" w:header="0"/>
        </w:sectPr>
      </w:pPr>
    </w:p>
    <w:bookmarkStart w:id="86" w:name="page87"/>
    <w:bookmarkEnd w:id="86"/>
    <w:p>
      <w:pPr>
        <w:ind w:right="1440"/>
        <w:spacing w:after="0"/>
        <w:rPr>
          <w:sz w:val="20"/>
          <w:szCs w:val="20"/>
          <w:color w:val="auto"/>
        </w:rPr>
      </w:pPr>
      <w:r>
        <w:rPr>
          <w:rFonts w:ascii="Times New Roman" w:cs="Times New Roman" w:eastAsia="Times New Roman" w:hAnsi="Times New Roman"/>
          <w:sz w:val="14"/>
          <w:szCs w:val="14"/>
          <w:color w:val="auto"/>
        </w:rPr>
        <w:t>advised by NGP. These interests entitle us to an allocation of income equal to 55.0% of the management fee related revenues of NGP Management, which serves as the investment advisor to certain NGP funds, as well as 47.5% (40.0% or 42.75% in the case of certain funds) of the performance allocations that NGP receives from the NGP Carry Funds. We record investment income (loss) for our equity income allocation from NGP management fee related revenues and our share of any allocated expenses from NGP Management, as well as expenses associated with the compensatory elements of the strategic investment. We also record our equity income allocation from NGP performance allocations in principal investment income (loss) from equity method investments rather than performance allocations in our consolidated statements of operations. We do not control or manage NGP. Moreover, we do not operate NGP’s business, have representation on NGP’s board or serve as an investment advisor to any investment fund sponsored by NGP, nor do we direct the operations of any of NGP portfolio companies. While we have consent rights over certain major actions by NGP outside of the ordinary course of NGP’s business (including, for example, consent rights over items such as amendments to the organizational documents of the entity in which we are invested, changes to the management fee streams earned by NGP under its fund agreements, or the incurrence of certain debt by NGP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jc w:val="both"/>
        <w:ind w:right="1480"/>
        <w:spacing w:after="0" w:line="203" w:lineRule="auto"/>
        <w:rPr>
          <w:sz w:val="20"/>
          <w:szCs w:val="20"/>
          <w:color w:val="auto"/>
        </w:rPr>
      </w:pPr>
      <w:r>
        <w:rPr>
          <w:rFonts w:ascii="Times New Roman" w:cs="Times New Roman" w:eastAsia="Times New Roman" w:hAnsi="Times New Roman"/>
          <w:sz w:val="16"/>
          <w:szCs w:val="16"/>
          <w:color w:val="auto"/>
        </w:rPr>
        <w:t>and other similar items), we have no voting rights or consent rights on any NGP investment committee that selects investments to be made by NGP funds. For further information regarding our strategic investments in NGP, refer to Note 4, Investments, to the consolidated financial statements in Part II, Item 8 of this Annual Report on Form 10-K.</w:t>
      </w:r>
    </w:p>
    <w:p>
      <w:pPr>
        <w:spacing w:after="0" w:line="1" w:lineRule="exact"/>
        <w:rPr>
          <w:sz w:val="20"/>
          <w:szCs w:val="20"/>
          <w:color w:val="auto"/>
        </w:rPr>
      </w:pPr>
    </w:p>
    <w:p>
      <w:pPr>
        <w:ind w:right="194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Interest and other income. </w:t>
      </w:r>
      <w:r>
        <w:rPr>
          <w:rFonts w:ascii="Times New Roman" w:cs="Times New Roman" w:eastAsia="Times New Roman" w:hAnsi="Times New Roman"/>
          <w:sz w:val="16"/>
          <w:szCs w:val="16"/>
          <w:color w:val="auto"/>
        </w:rPr>
        <w:t>Interest and other income primarily represents reimbursement of certain costs incurred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behalf of our funds, as well as interest income that we earn such as from our cash and money market accounts and other investments, including CLO senior and subordinated notes.</w:t>
      </w:r>
    </w:p>
    <w:p>
      <w:pPr>
        <w:spacing w:after="0" w:line="1" w:lineRule="exact"/>
        <w:rPr>
          <w:sz w:val="20"/>
          <w:szCs w:val="20"/>
          <w:color w:val="auto"/>
        </w:rPr>
      </w:pPr>
    </w:p>
    <w:p>
      <w:pPr>
        <w:ind w:right="26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Interest and other income of Consolidated Funds. </w:t>
      </w:r>
      <w:r>
        <w:rPr>
          <w:rFonts w:ascii="Times New Roman" w:cs="Times New Roman" w:eastAsia="Times New Roman" w:hAnsi="Times New Roman"/>
          <w:sz w:val="16"/>
          <w:szCs w:val="16"/>
          <w:color w:val="auto"/>
        </w:rPr>
        <w:t>Interest and other income of Consolidated Funds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represents the interest earned on assets of consolidated CLOs.</w:t>
      </w:r>
    </w:p>
    <w:p>
      <w:pPr>
        <w:spacing w:after="0" w:line="1"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Net investment income (loss) of Consolidated Funds. </w:t>
      </w:r>
      <w:r>
        <w:rPr>
          <w:rFonts w:ascii="Times New Roman" w:cs="Times New Roman" w:eastAsia="Times New Roman" w:hAnsi="Times New Roman"/>
          <w:sz w:val="16"/>
          <w:szCs w:val="16"/>
          <w:color w:val="auto"/>
        </w:rPr>
        <w:t>Net investment income (loss) of Consolidated Funds generally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measures the change in the difference in fair value between the assets and the liabilities of the Consolidated Funds. Income (loss) indicates that the fair value of the assets of the Consolidated Funds appreciated more (less), or depreciated less (more), than the fair value of the liabilities of the Consolidated Funds. Income or loss is not necessarily indicative of the investment performance of the Consolidated Funds and does not impact the management or incentive fees received by Carlyle for its management of the Consolidated Funds. The portion of the net investment income (losses) of Consolidated Funds attributable to the limited partner investors is allocated to non- controlling interests. Therefore, income or loss is not expected to have a material impact on the revenues or profitability of the Company. Moreover, although the assets of the Consolidated Funds are consolidated onto our balance sheet pursuant to U.S. GAAP, ultimately we do not have recourse to such assets and such liabilities are generally non-recourse to us. Therefore, income or loss from the Consolidated Funds generally does not impact the assets available to our common stockholders.</w:t>
      </w:r>
    </w:p>
    <w:p>
      <w:pPr>
        <w:spacing w:after="0" w:line="209" w:lineRule="auto"/>
        <w:rPr>
          <w:sz w:val="20"/>
          <w:szCs w:val="20"/>
          <w:color w:val="auto"/>
        </w:rPr>
      </w:pPr>
      <w:r>
        <w:rPr>
          <w:rFonts w:ascii="Times New Roman" w:cs="Times New Roman" w:eastAsia="Times New Roman" w:hAnsi="Times New Roman"/>
          <w:sz w:val="16"/>
          <w:szCs w:val="16"/>
          <w:b w:val="1"/>
          <w:bCs w:val="1"/>
          <w:i w:val="1"/>
          <w:iCs w:val="1"/>
          <w:color w:val="auto"/>
        </w:rPr>
        <w:t>Expenses</w:t>
      </w:r>
    </w:p>
    <w:p>
      <w:pPr>
        <w:ind w:right="21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Compensation and benefits. </w:t>
      </w:r>
      <w:r>
        <w:rPr>
          <w:rFonts w:ascii="Times New Roman" w:cs="Times New Roman" w:eastAsia="Times New Roman" w:hAnsi="Times New Roman"/>
          <w:sz w:val="16"/>
          <w:szCs w:val="16"/>
          <w:color w:val="auto"/>
        </w:rPr>
        <w:t>Compensation includes salaries, bonuses, equity- based compensation, and performance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arrangements. Bonuses are accrued over the service period to which they relate.</w:t>
      </w:r>
    </w:p>
    <w:p>
      <w:pPr>
        <w:spacing w:after="0" w:line="1" w:lineRule="exact"/>
        <w:rPr>
          <w:sz w:val="20"/>
          <w:szCs w:val="20"/>
          <w:color w:val="auto"/>
        </w:rPr>
      </w:pPr>
    </w:p>
    <w:p>
      <w:pPr>
        <w:ind w:right="1400"/>
        <w:spacing w:after="0"/>
        <w:rPr>
          <w:sz w:val="20"/>
          <w:szCs w:val="20"/>
          <w:color w:val="auto"/>
        </w:rPr>
      </w:pPr>
      <w:r>
        <w:rPr>
          <w:rFonts w:ascii="Times New Roman" w:cs="Times New Roman" w:eastAsia="Times New Roman" w:hAnsi="Times New Roman"/>
          <w:sz w:val="14"/>
          <w:szCs w:val="14"/>
          <w:color w:val="auto"/>
        </w:rPr>
        <w:t>We recognize as compensation expense the portion of performance allocations and incentive fees that are due to our employees, senior Carlyle professionals, advisors, and operating executives in a manner consistent with how we recognize the performance allocations and incentive fee revenue. These amounts are accounted for as compensation expense in conjunction with the related performance allocations and incentive fee revenue and, until paid, are recognized as a component of the accrued compensation and benefits liability. Compensation in respect of performance allocations and incentive fees is paid when the related performance allocations and incentive fees are realized, and not when such performance allocations and incentive fees are accrued. The funds do not have a uniform allocation of performance allocations and incentive fees to our employees, senior Carlyle professionals, advisors, and operating executives. However, subsequent to the updates made to our compensation strategy effective December 31, 2023, we generally allocate a range of 60% to 70% of performance allocations and incentive fees to our employees. As a result, the portion of performance allocations and incentive fees paid as compensation has increased and cash-based compensation and benefits has decreased in 2024 compared to the prior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we have implemented various equity-based compensation arrangements that require senior Carlyle</w:t>
      </w:r>
    </w:p>
    <w:p>
      <w:pPr>
        <w:ind w:right="1500"/>
        <w:spacing w:after="0" w:line="203" w:lineRule="auto"/>
        <w:rPr>
          <w:sz w:val="20"/>
          <w:szCs w:val="20"/>
          <w:color w:val="auto"/>
        </w:rPr>
      </w:pPr>
      <w:r>
        <w:rPr>
          <w:rFonts w:ascii="Times New Roman" w:cs="Times New Roman" w:eastAsia="Times New Roman" w:hAnsi="Times New Roman"/>
          <w:sz w:val="16"/>
          <w:szCs w:val="16"/>
          <w:color w:val="auto"/>
        </w:rPr>
        <w:t>professionals and other employees to provide services over a service period of generally one year to four years in order to vest in the applicable equity interests, which under U.S. GAAP will result in compensation charges over current and future periods. In certain of our equity- based compensation arrangements, vesting is based on the achievement of certain performance targets or market conditions. See Note 14, Equity-Based Compensation, to the consolidated financial statements in Part II, Item 8 of this Annual Report on Form 10 -K for additional information. Compensation charges associated with all equity-based compensation grants are excluded from Fee Related Earnings and Distributable Earnings.</w:t>
      </w:r>
    </w:p>
    <w:p>
      <w:pPr>
        <w:spacing w:after="0" w:line="3" w:lineRule="exact"/>
        <w:rPr>
          <w:sz w:val="20"/>
          <w:szCs w:val="20"/>
          <w:color w:val="auto"/>
        </w:rPr>
      </w:pPr>
    </w:p>
    <w:p>
      <w:pPr>
        <w:ind w:right="1720"/>
        <w:spacing w:after="0" w:line="203" w:lineRule="auto"/>
        <w:rPr>
          <w:sz w:val="20"/>
          <w:szCs w:val="20"/>
          <w:color w:val="auto"/>
        </w:rPr>
      </w:pPr>
      <w:r>
        <w:rPr>
          <w:rFonts w:ascii="Times New Roman" w:cs="Times New Roman" w:eastAsia="Times New Roman" w:hAnsi="Times New Roman"/>
          <w:sz w:val="16"/>
          <w:szCs w:val="16"/>
          <w:color w:val="auto"/>
        </w:rPr>
        <w:t>We may hire additional individuals and overall compensation levels may correspondingly increase, which could result in an increase in compensation and benefits expense. As a result of prior acquisitions, we have charges associated with contingent consideration taking the form of earn-outs and profit participation, some of which are reflected as compensation expense.</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expenses. </w:t>
      </w:r>
      <w:r>
        <w:rPr>
          <w:rFonts w:ascii="Times New Roman" w:cs="Times New Roman" w:eastAsia="Times New Roman" w:hAnsi="Times New Roman"/>
          <w:sz w:val="16"/>
          <w:szCs w:val="16"/>
          <w:color w:val="auto"/>
        </w:rPr>
        <w:t>General, administrative and other expenses include occupancy and</w:t>
      </w:r>
    </w:p>
    <w:p>
      <w:pPr>
        <w:spacing w:after="0" w:line="1" w:lineRule="exact"/>
        <w:rPr>
          <w:sz w:val="20"/>
          <w:szCs w:val="20"/>
          <w:color w:val="auto"/>
        </w:rPr>
      </w:pPr>
    </w:p>
    <w:p>
      <w:pPr>
        <w:ind w:right="1440"/>
        <w:spacing w:after="0" w:line="241" w:lineRule="auto"/>
        <w:rPr>
          <w:sz w:val="20"/>
          <w:szCs w:val="20"/>
          <w:color w:val="auto"/>
        </w:rPr>
      </w:pPr>
      <w:r>
        <w:rPr>
          <w:rFonts w:ascii="Times New Roman" w:cs="Times New Roman" w:eastAsia="Times New Roman" w:hAnsi="Times New Roman"/>
          <w:sz w:val="14"/>
          <w:szCs w:val="14"/>
          <w:color w:val="auto"/>
        </w:rPr>
        <w:t>equipment expenses and other expenses, which consist principally of professional fees, including those related to our global regulatory compliance program, external costs of fundraising, travel and related expenses, communications and information services, depreciation and amortization (including intangible asset amortization and impairment), bad debt expense, and foreign currency transactions. We expect that general, administrative and other expenses will vary due to infrequently occurring or unusual items, such as impairment of intangible assets or lease right-of-use assets and expenses or insurance recoveries</w:t>
      </w:r>
    </w:p>
    <w:p>
      <w:pPr>
        <w:sectPr>
          <w:pgSz w:w="11900" w:h="16840" w:orient="portrait"/>
          <w:cols w:equalWidth="0" w:num="1">
            <w:col w:w="9400"/>
          </w:cols>
          <w:pgMar w:left="1060" w:top="557" w:right="1440"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20"/>
        <w:spacing w:after="0" w:line="203" w:lineRule="auto"/>
        <w:rPr>
          <w:sz w:val="20"/>
          <w:szCs w:val="20"/>
          <w:color w:val="auto"/>
        </w:rPr>
      </w:pPr>
      <w:r>
        <w:rPr>
          <w:rFonts w:ascii="Times New Roman" w:cs="Times New Roman" w:eastAsia="Times New Roman" w:hAnsi="Times New Roman"/>
          <w:sz w:val="16"/>
          <w:szCs w:val="16"/>
          <w:color w:val="auto"/>
        </w:rPr>
        <w:t xml:space="preserve">associated with litigation and contingencies. Also, in periods of significant fundraising, to the extent that we use third parties to assist in our fundraising efforts, our general, administrative and other expenses may increase accordingly. Similarly, our general, administrative and other expenses may increase as a result of professional and other fees incurred as part of due diligence related to strategic acquisitions and new product development. Additionally, we anticipate that general, administrative and other expenses will fluctuate from period to period due to the impact of foreign exchange transactions. </w:t>
      </w:r>
      <w:r>
        <w:rPr>
          <w:rFonts w:ascii="Times New Roman" w:cs="Times New Roman" w:eastAsia="Times New Roman" w:hAnsi="Times New Roman"/>
          <w:sz w:val="16"/>
          <w:szCs w:val="16"/>
          <w:i w:val="1"/>
          <w:iCs w:val="1"/>
          <w:color w:val="auto"/>
        </w:rPr>
        <w:t xml:space="preserve">Interest and other expenses of Consolidated Funds. </w:t>
      </w:r>
      <w:r>
        <w:rPr>
          <w:rFonts w:ascii="Times New Roman" w:cs="Times New Roman" w:eastAsia="Times New Roman" w:hAnsi="Times New Roman"/>
          <w:sz w:val="16"/>
          <w:szCs w:val="16"/>
          <w:color w:val="auto"/>
        </w:rPr>
        <w:t>Interest and other expenses of Consolidated Funds consist</w:t>
      </w:r>
    </w:p>
    <w:p>
      <w:pPr>
        <w:spacing w:after="0" w:line="236" w:lineRule="auto"/>
        <w:rPr>
          <w:sz w:val="20"/>
          <w:szCs w:val="20"/>
          <w:color w:val="auto"/>
        </w:rPr>
      </w:pPr>
      <w:r>
        <w:rPr>
          <w:rFonts w:ascii="Times New Roman" w:cs="Times New Roman" w:eastAsia="Times New Roman" w:hAnsi="Times New Roman"/>
          <w:sz w:val="14"/>
          <w:szCs w:val="14"/>
          <w:color w:val="auto"/>
        </w:rPr>
        <w:t>primarily of interest expense related primarily to loans of consolidated CLOs, professional fees and other third-party expenses.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Income taxes are accounted for using the asset and liability method of accounting. Under this method,</w:t>
      </w:r>
    </w:p>
    <w:p>
      <w:pPr>
        <w:spacing w:after="0" w:line="233"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expected future tax consequences of differences between the carrying</w:t>
      </w:r>
    </w:p>
    <w:p>
      <w:pPr>
        <w:spacing w:after="0" w:line="204" w:lineRule="auto"/>
        <w:rPr>
          <w:sz w:val="20"/>
          <w:szCs w:val="20"/>
          <w:color w:val="auto"/>
        </w:rPr>
      </w:pPr>
      <w:r>
        <w:rPr>
          <w:rFonts w:ascii="Times New Roman" w:cs="Times New Roman" w:eastAsia="Times New Roman" w:hAnsi="Times New Roman"/>
          <w:sz w:val="16"/>
          <w:szCs w:val="16"/>
          <w:color w:val="auto"/>
        </w:rPr>
        <w:t>amounts of assets and liabilities and their respective tax basis, using currently enacted tax rates. The effect on deferred tax</w:t>
      </w:r>
    </w:p>
    <w:p>
      <w:pPr>
        <w:spacing w:after="0" w:line="232" w:lineRule="auto"/>
        <w:rPr>
          <w:sz w:val="20"/>
          <w:szCs w:val="20"/>
          <w:color w:val="auto"/>
        </w:rPr>
      </w:pPr>
      <w:r>
        <w:rPr>
          <w:rFonts w:ascii="Times New Roman" w:cs="Times New Roman" w:eastAsia="Times New Roman" w:hAnsi="Times New Roman"/>
          <w:sz w:val="14"/>
          <w:szCs w:val="14"/>
          <w:color w:val="auto"/>
        </w:rPr>
        <w:t>assets and liabilities of a change in tax rates is recognized in income in the period in which the change is enacted. Deferred tax</w:t>
      </w:r>
    </w:p>
    <w:p>
      <w:pPr>
        <w:spacing w:after="0" w:line="233" w:lineRule="auto"/>
        <w:rPr>
          <w:sz w:val="20"/>
          <w:szCs w:val="20"/>
          <w:color w:val="auto"/>
        </w:rPr>
      </w:pPr>
      <w:r>
        <w:rPr>
          <w:rFonts w:ascii="Times New Roman" w:cs="Times New Roman" w:eastAsia="Times New Roman" w:hAnsi="Times New Roman"/>
          <w:sz w:val="14"/>
          <w:szCs w:val="14"/>
          <w:color w:val="auto"/>
        </w:rPr>
        <w:t>assets are reduced by a valuation allowance when it is more likely than not that some or all of the deferred tax assets will not be</w:t>
      </w:r>
    </w:p>
    <w:p>
      <w:pPr>
        <w:spacing w:after="0" w:line="203" w:lineRule="auto"/>
        <w:rPr>
          <w:sz w:val="20"/>
          <w:szCs w:val="20"/>
          <w:color w:val="auto"/>
        </w:rPr>
      </w:pPr>
      <w:r>
        <w:rPr>
          <w:rFonts w:ascii="Times New Roman" w:cs="Times New Roman" w:eastAsia="Times New Roman" w:hAnsi="Times New Roman"/>
          <w:sz w:val="16"/>
          <w:szCs w:val="16"/>
          <w:color w:val="auto"/>
        </w:rPr>
        <w:t>realized.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Non-controlling Interests in Consolidated Entities. </w:t>
      </w:r>
      <w:r>
        <w:rPr>
          <w:rFonts w:ascii="Times New Roman" w:cs="Times New Roman" w:eastAsia="Times New Roman" w:hAnsi="Times New Roman"/>
          <w:sz w:val="16"/>
          <w:szCs w:val="16"/>
          <w:color w:val="auto"/>
        </w:rPr>
        <w:t>Non-controlling interests in consolidated entities represent the</w:t>
      </w:r>
    </w:p>
    <w:p>
      <w:pPr>
        <w:spacing w:after="0" w:line="204" w:lineRule="auto"/>
        <w:rPr>
          <w:sz w:val="20"/>
          <w:szCs w:val="20"/>
          <w:color w:val="auto"/>
        </w:rPr>
      </w:pPr>
      <w:r>
        <w:rPr>
          <w:rFonts w:ascii="Times New Roman" w:cs="Times New Roman" w:eastAsia="Times New Roman" w:hAnsi="Times New Roman"/>
          <w:sz w:val="16"/>
          <w:szCs w:val="16"/>
          <w:color w:val="auto"/>
        </w:rPr>
        <w:t>component of equity in consolidated entities not held by us. These interests are adjusted for general partner allocations.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Earnings Per Common Share. </w:t>
      </w:r>
      <w:r>
        <w:rPr>
          <w:rFonts w:ascii="Times New Roman" w:cs="Times New Roman" w:eastAsia="Times New Roman" w:hAnsi="Times New Roman"/>
          <w:sz w:val="16"/>
          <w:szCs w:val="16"/>
          <w:color w:val="auto"/>
        </w:rPr>
        <w:t>We compute earnings per common share in accordance with ASC 260,</w:t>
      </w:r>
      <w:r>
        <w:rPr>
          <w:rFonts w:ascii="Times New Roman" w:cs="Times New Roman" w:eastAsia="Times New Roman" w:hAnsi="Times New Roman"/>
          <w:sz w:val="16"/>
          <w:szCs w:val="16"/>
          <w:i w:val="1"/>
          <w:iCs w:val="1"/>
          <w:color w:val="auto"/>
        </w:rPr>
        <w:t xml:space="preserve"> Earnings Per</w:t>
      </w:r>
    </w:p>
    <w:p>
      <w:pPr>
        <w:spacing w:after="0" w:line="233" w:lineRule="auto"/>
        <w:rPr>
          <w:sz w:val="20"/>
          <w:szCs w:val="20"/>
          <w:color w:val="auto"/>
        </w:rPr>
      </w:pPr>
      <w:r>
        <w:rPr>
          <w:rFonts w:ascii="Times New Roman" w:cs="Times New Roman" w:eastAsia="Times New Roman" w:hAnsi="Times New Roman"/>
          <w:sz w:val="14"/>
          <w:szCs w:val="14"/>
          <w:i w:val="1"/>
          <w:iCs w:val="1"/>
          <w:color w:val="auto"/>
        </w:rPr>
        <w:t>Share</w:t>
      </w:r>
      <w:r>
        <w:rPr>
          <w:rFonts w:ascii="Times New Roman" w:cs="Times New Roman" w:eastAsia="Times New Roman" w:hAnsi="Times New Roman"/>
          <w:sz w:val="14"/>
          <w:szCs w:val="14"/>
          <w:color w:val="auto"/>
        </w:rPr>
        <w:t>. Basic earnings per common share is calculated by dividing net income (loss) attributable to the common shares of the</w:t>
      </w:r>
    </w:p>
    <w:p>
      <w:pPr>
        <w:spacing w:after="0" w:line="232" w:lineRule="auto"/>
        <w:rPr>
          <w:sz w:val="20"/>
          <w:szCs w:val="20"/>
          <w:color w:val="auto"/>
        </w:rPr>
      </w:pPr>
      <w:r>
        <w:rPr>
          <w:rFonts w:ascii="Times New Roman" w:cs="Times New Roman" w:eastAsia="Times New Roman" w:hAnsi="Times New Roman"/>
          <w:sz w:val="14"/>
          <w:szCs w:val="14"/>
          <w:color w:val="auto"/>
        </w:rPr>
        <w:t>Company by the weighted average number of common shares outstanding for the period. Diluted earnings per common share</w:t>
      </w:r>
    </w:p>
    <w:p>
      <w:pPr>
        <w:spacing w:after="0" w:line="204" w:lineRule="auto"/>
        <w:rPr>
          <w:sz w:val="20"/>
          <w:szCs w:val="20"/>
          <w:color w:val="auto"/>
        </w:rPr>
      </w:pPr>
      <w:r>
        <w:rPr>
          <w:rFonts w:ascii="Times New Roman" w:cs="Times New Roman" w:eastAsia="Times New Roman" w:hAnsi="Times New Roman"/>
          <w:sz w:val="16"/>
          <w:szCs w:val="16"/>
          <w:color w:val="auto"/>
        </w:rPr>
        <w:t>reflects the assumed conversion of all dilutive securities. See Note 12, Earnings Per Common Share, to the consolidated</w:t>
      </w:r>
    </w:p>
    <w:p>
      <w:pPr>
        <w:spacing w:after="0" w:line="203" w:lineRule="auto"/>
        <w:rPr>
          <w:sz w:val="20"/>
          <w:szCs w:val="20"/>
          <w:color w:val="auto"/>
        </w:rPr>
      </w:pPr>
      <w:r>
        <w:rPr>
          <w:rFonts w:ascii="Times New Roman" w:cs="Times New Roman" w:eastAsia="Times New Roman" w:hAnsi="Times New Roman"/>
          <w:sz w:val="16"/>
          <w:szCs w:val="16"/>
          <w:color w:val="auto"/>
        </w:rPr>
        <w:t>financial statements in Part II, Item 8 of this Annual Report on Form 10-K for additional information.</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Non-GAAP Financial Measures</w:t>
      </w:r>
    </w:p>
    <w:p>
      <w:pPr>
        <w:ind w:right="142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Distributable Earnings. </w:t>
      </w:r>
      <w:r>
        <w:rPr>
          <w:rFonts w:ascii="Times New Roman" w:cs="Times New Roman" w:eastAsia="Times New Roman" w:hAnsi="Times New Roman"/>
          <w:sz w:val="16"/>
          <w:szCs w:val="16"/>
          <w:color w:val="auto"/>
        </w:rPr>
        <w:t>Distributable Earnings, or “DE,” is a key performance benchmark used in our industry and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evaluated regularly 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w:t>
      </w:r>
    </w:p>
    <w:p>
      <w:pPr>
        <w:spacing w:after="0" w:line="207" w:lineRule="auto"/>
        <w:rPr>
          <w:sz w:val="20"/>
          <w:szCs w:val="20"/>
          <w:color w:val="auto"/>
        </w:rPr>
      </w:pPr>
      <w:r>
        <w:rPr>
          <w:rFonts w:ascii="Times New Roman" w:cs="Times New Roman" w:eastAsia="Times New Roman" w:hAnsi="Times New Roman"/>
          <w:sz w:val="16"/>
          <w:szCs w:val="16"/>
          <w:color w:val="auto"/>
        </w:rPr>
        <w:t>Distributable Earnings differs from income (loss) before provision for income taxes computed in accordance with U.S.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GAAP in that it includes certain tax expenses associated with certain foreign performance revenues (composed of performance allocations and incentive fees), and does not include unrealized performance allocations and related compensation expense, unrealized principal investment income, equity-based compensation expense, net income (loss) attributable to non -Carlyle interest in consolidated entities, or charges (credits) related to Carlyle corporate actions and non-recurring items that affect period-to- period comparability and are not reflective of the Company’s operational performance. Charges (credits) related to Carlyle corporate actions and non-recurring items include: charges associated with the Conversion, charges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 issued in conjunction with acquisitions or strategic investments, impairment charges associated with lease right- of-use assets, gains and losses from the retirement of debt, charges associated with contract terminations and employee severance, and certain general, administrative and other expenses when the timing of any future payment is uncertain, and non-recurring items that affect period -to-period comparability and are not reflective of the Company’s operating performance. We believe the inclusion or exclusion of these items provides investors with a meaningful indication of our core operating performance. This measure supplements and should be considered in addition to and not in lieu of the results of operations discussed further under “—Consolidated Results of Operations” prepared in accordance with U.S. GAAP.</w:t>
      </w:r>
    </w:p>
    <w:p>
      <w:pPr>
        <w:spacing w:after="0" w:line="7" w:lineRule="exact"/>
        <w:rPr>
          <w:sz w:val="20"/>
          <w:szCs w:val="20"/>
          <w:color w:val="auto"/>
        </w:rPr>
      </w:pPr>
    </w:p>
    <w:p>
      <w:pPr>
        <w:ind w:right="1620"/>
        <w:spacing w:after="0" w:line="241" w:lineRule="auto"/>
        <w:rPr>
          <w:sz w:val="20"/>
          <w:szCs w:val="20"/>
          <w:color w:val="auto"/>
        </w:rPr>
      </w:pPr>
      <w:r>
        <w:rPr>
          <w:rFonts w:ascii="Times New Roman" w:cs="Times New Roman" w:eastAsia="Times New Roman" w:hAnsi="Times New Roman"/>
          <w:sz w:val="14"/>
          <w:szCs w:val="14"/>
          <w:i w:val="1"/>
          <w:iCs w:val="1"/>
          <w:color w:val="auto"/>
        </w:rPr>
        <w:t xml:space="preserve">Fee Related Earnings. </w:t>
      </w:r>
      <w:r>
        <w:rPr>
          <w:rFonts w:ascii="Times New Roman" w:cs="Times New Roman" w:eastAsia="Times New Roman" w:hAnsi="Times New Roman"/>
          <w:sz w:val="14"/>
          <w:szCs w:val="14"/>
          <w:color w:val="auto"/>
        </w:rPr>
        <w:t>Fee Related Earnings, or “FRE,” is a component of DE and is used to assess the ability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to cover base compensation and operating expenses from total fee revenues. FRE adjusts DE to exclude net realized performance revenues, realized principal investment income from investments in Carlyle funds, and net interest (interest income less interest expense). Fee Related Earnings includes fee related performance revenues and related compensation expense, which is generally approximately 45% of fee related performance revenues. Fee related performance revenues</w:t>
      </w:r>
    </w:p>
    <w:p>
      <w:pPr>
        <w:sectPr>
          <w:pgSz w:w="11900" w:h="16840" w:orient="portrait"/>
          <w:cols w:equalWidth="0" w:num="1">
            <w:col w:w="9400"/>
          </w:cols>
          <w:pgMar w:left="1060" w:top="1440"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108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80"/>
        <w:spacing w:after="0" w:line="203" w:lineRule="auto"/>
        <w:rPr>
          <w:sz w:val="20"/>
          <w:szCs w:val="20"/>
          <w:color w:val="auto"/>
        </w:rPr>
      </w:pPr>
      <w:r>
        <w:rPr>
          <w:rFonts w:ascii="Times New Roman" w:cs="Times New Roman" w:eastAsia="Times New Roman" w:hAnsi="Times New Roman"/>
          <w:sz w:val="16"/>
          <w:szCs w:val="16"/>
          <w:color w:val="auto"/>
        </w:rPr>
        <w:t>represent the realized portion of performance revenues that are measured and received on a recurring basis, are not dependent on realization events, and which have no risk of giveback.</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Operating Metrics</w:t>
      </w:r>
    </w:p>
    <w:p>
      <w:pPr>
        <w:ind w:left="560"/>
        <w:spacing w:after="0" w:line="204" w:lineRule="auto"/>
        <w:rPr>
          <w:sz w:val="20"/>
          <w:szCs w:val="20"/>
          <w:color w:val="auto"/>
        </w:rPr>
      </w:pPr>
      <w:r>
        <w:rPr>
          <w:rFonts w:ascii="Times New Roman" w:cs="Times New Roman" w:eastAsia="Times New Roman" w:hAnsi="Times New Roman"/>
          <w:sz w:val="16"/>
          <w:szCs w:val="16"/>
          <w:color w:val="auto"/>
        </w:rPr>
        <w:t>We monitor certain operating metrics that are common to the asset management industry.</w:t>
      </w:r>
    </w:p>
    <w:p>
      <w:pPr>
        <w:ind w:right="156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Fee-earning Assets under Management. </w:t>
      </w:r>
      <w:r>
        <w:rPr>
          <w:rFonts w:ascii="Times New Roman" w:cs="Times New Roman" w:eastAsia="Times New Roman" w:hAnsi="Times New Roman"/>
          <w:sz w:val="16"/>
          <w:szCs w:val="16"/>
          <w:color w:val="auto"/>
        </w:rPr>
        <w:t>Fee-earning assets under management or Fee-earning AUM refers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we manage or advise from which we derive recurring fund management fees. Our Fee-earning AUM is generally based on one of the following, once fees have been activated:</w:t>
      </w:r>
    </w:p>
    <w:p>
      <w:pPr>
        <w:spacing w:after="0" w:line="1" w:lineRule="exact"/>
        <w:rPr>
          <w:sz w:val="20"/>
          <w:szCs w:val="20"/>
          <w:color w:val="auto"/>
        </w:rPr>
      </w:pPr>
    </w:p>
    <w:p>
      <w:pPr>
        <w:ind w:right="2120"/>
        <w:spacing w:after="0" w:line="203" w:lineRule="auto"/>
        <w:rPr>
          <w:sz w:val="20"/>
          <w:szCs w:val="20"/>
          <w:color w:val="auto"/>
        </w:rPr>
      </w:pPr>
      <w:r>
        <w:rPr>
          <w:rFonts w:ascii="Times New Roman" w:cs="Times New Roman" w:eastAsia="Times New Roman" w:hAnsi="Times New Roman"/>
          <w:sz w:val="16"/>
          <w:szCs w:val="16"/>
          <w:color w:val="auto"/>
        </w:rPr>
        <w:t>(a)the amount of limited partner capital commitments, generally for carry funds where the original investment period has not expired and for AlpInvest carry funds during the commitment fee period (see “Fee -earning AUM based on capital commitments” in the table below for the amount of this component at each period);</w:t>
      </w:r>
    </w:p>
    <w:p>
      <w:pPr>
        <w:spacing w:after="0" w:line="1" w:lineRule="exact"/>
        <w:rPr>
          <w:sz w:val="20"/>
          <w:szCs w:val="20"/>
          <w:color w:val="auto"/>
        </w:rPr>
      </w:pPr>
    </w:p>
    <w:p>
      <w:pPr>
        <w:ind w:right="2400"/>
        <w:spacing w:after="0" w:line="203" w:lineRule="auto"/>
        <w:rPr>
          <w:sz w:val="20"/>
          <w:szCs w:val="20"/>
          <w:color w:val="auto"/>
        </w:rPr>
      </w:pPr>
      <w:r>
        <w:rPr>
          <w:rFonts w:ascii="Times New Roman" w:cs="Times New Roman" w:eastAsia="Times New Roman" w:hAnsi="Times New Roman"/>
          <w:sz w:val="16"/>
          <w:szCs w:val="16"/>
          <w:color w:val="auto"/>
        </w:rPr>
        <w:t>(b)the remaining amount of limited partner invested capital at cost, generally for carry funds and certain co-investment vehicles where the original investment period has expired (see “Fee-earning AUM based on invested capital” in the table below for the amount of this component at each period);</w:t>
      </w:r>
    </w:p>
    <w:p>
      <w:pPr>
        <w:spacing w:after="0" w:line="1" w:lineRule="exact"/>
        <w:rPr>
          <w:sz w:val="20"/>
          <w:szCs w:val="20"/>
          <w:color w:val="auto"/>
        </w:rPr>
      </w:pPr>
    </w:p>
    <w:p>
      <w:pPr>
        <w:ind w:right="2260"/>
        <w:spacing w:after="0" w:line="203" w:lineRule="auto"/>
        <w:rPr>
          <w:sz w:val="20"/>
          <w:szCs w:val="20"/>
          <w:color w:val="auto"/>
        </w:rPr>
      </w:pPr>
      <w:r>
        <w:rPr>
          <w:rFonts w:ascii="Times New Roman" w:cs="Times New Roman" w:eastAsia="Times New Roman" w:hAnsi="Times New Roman"/>
          <w:sz w:val="16"/>
          <w:szCs w:val="16"/>
          <w:color w:val="auto"/>
        </w:rPr>
        <w:t>(c)the amount of aggregate fee -earning collateral balance at par of our CLOs and other securitization vehicles, as defined in the fund indentures (pre-2020 CLO vintages are generally exclusive of equities and defaulted positions) as of the quarterly cut-off date;</w:t>
      </w:r>
    </w:p>
    <w:p>
      <w:pPr>
        <w:spacing w:after="0" w:line="1" w:lineRule="exact"/>
        <w:rPr>
          <w:sz w:val="20"/>
          <w:szCs w:val="20"/>
          <w:color w:val="auto"/>
        </w:rPr>
      </w:pPr>
    </w:p>
    <w:p>
      <w:pPr>
        <w:ind w:right="2380"/>
        <w:spacing w:after="0" w:line="203" w:lineRule="auto"/>
        <w:rPr>
          <w:sz w:val="20"/>
          <w:szCs w:val="20"/>
          <w:color w:val="auto"/>
        </w:rPr>
      </w:pPr>
      <w:r>
        <w:rPr>
          <w:rFonts w:ascii="Times New Roman" w:cs="Times New Roman" w:eastAsia="Times New Roman" w:hAnsi="Times New Roman"/>
          <w:sz w:val="16"/>
          <w:szCs w:val="16"/>
          <w:color w:val="auto"/>
        </w:rPr>
        <w:t>(d)the external investor portion of the net asset value of certain carry funds (see “Fee-earning AUM based on net asset value” in the table below for the amount of this component at each period);</w:t>
      </w:r>
    </w:p>
    <w:p>
      <w:pPr>
        <w:spacing w:after="0" w:line="1" w:lineRule="exact"/>
        <w:rPr>
          <w:sz w:val="20"/>
          <w:szCs w:val="20"/>
          <w:color w:val="auto"/>
        </w:rPr>
      </w:pPr>
    </w:p>
    <w:p>
      <w:pPr>
        <w:ind w:right="2260"/>
        <w:spacing w:after="0" w:line="203" w:lineRule="auto"/>
        <w:rPr>
          <w:sz w:val="20"/>
          <w:szCs w:val="20"/>
          <w:color w:val="auto"/>
        </w:rPr>
      </w:pPr>
      <w:r>
        <w:rPr>
          <w:rFonts w:ascii="Times New Roman" w:cs="Times New Roman" w:eastAsia="Times New Roman" w:hAnsi="Times New Roman"/>
          <w:sz w:val="16"/>
          <w:szCs w:val="16"/>
          <w:color w:val="auto"/>
        </w:rPr>
        <w:t>(e)the fair value of Fortitude’s general account assets invested under the strategic advisory services agreement (see “Fee-earning AUM based on fair value and other” in the table below);</w:t>
      </w:r>
    </w:p>
    <w:p>
      <w:pPr>
        <w:spacing w:after="0" w:line="1" w:lineRule="exact"/>
        <w:rPr>
          <w:sz w:val="20"/>
          <w:szCs w:val="20"/>
          <w:color w:val="auto"/>
        </w:rPr>
      </w:pPr>
    </w:p>
    <w:p>
      <w:pPr>
        <w:ind w:right="2380"/>
        <w:spacing w:after="0" w:line="203" w:lineRule="auto"/>
        <w:rPr>
          <w:sz w:val="20"/>
          <w:szCs w:val="20"/>
          <w:color w:val="auto"/>
        </w:rPr>
      </w:pPr>
      <w:r>
        <w:rPr>
          <w:rFonts w:ascii="Times New Roman" w:cs="Times New Roman" w:eastAsia="Times New Roman" w:hAnsi="Times New Roman"/>
          <w:sz w:val="16"/>
          <w:szCs w:val="16"/>
          <w:color w:val="auto"/>
        </w:rPr>
        <w:t>(f)the gross assets (including assets acquired with leverage), excluding cash and cash equivalents, of one of our business development companies and certain carry funds (included in “Fee- earning AUM based on lower of cost or fair value and other” in the table below); and</w:t>
      </w:r>
    </w:p>
    <w:p>
      <w:pPr>
        <w:spacing w:after="0" w:line="1" w:lineRule="exact"/>
        <w:rPr>
          <w:sz w:val="20"/>
          <w:szCs w:val="20"/>
          <w:color w:val="auto"/>
        </w:rPr>
      </w:pPr>
    </w:p>
    <w:p>
      <w:pPr>
        <w:ind w:right="2220"/>
        <w:spacing w:after="0" w:line="216" w:lineRule="auto"/>
        <w:rPr>
          <w:sz w:val="20"/>
          <w:szCs w:val="20"/>
          <w:color w:val="auto"/>
        </w:rPr>
      </w:pPr>
      <w:r>
        <w:rPr>
          <w:rFonts w:ascii="Times New Roman" w:cs="Times New Roman" w:eastAsia="Times New Roman" w:hAnsi="Times New Roman"/>
          <w:sz w:val="16"/>
          <w:szCs w:val="16"/>
          <w:color w:val="auto"/>
        </w:rPr>
        <w:t>(g)the lower of cost or fair value of invested capital, generally for AlpInvest carry funds where the commitment fee period has expired and certain carry funds where the investment period has expired, (included in “Fee-earning AUM based on lower of cost or fair value and other” in the table below).</w:t>
      </w:r>
    </w:p>
    <w:p>
      <w:pPr>
        <w:sectPr>
          <w:pgSz w:w="11900" w:h="16840" w:orient="portrait"/>
          <w:cols w:equalWidth="0" w:num="1">
            <w:col w:w="9400"/>
          </w:cols>
          <w:pgMar w:left="106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color w:val="auto"/>
        </w:rPr>
        <w:t>The chart below presents Fee-earning AUM by segment at each period, in billions.</w:t>
      </w:r>
    </w:p>
    <w:p>
      <w:pPr>
        <w:sectPr>
          <w:pgSz w:w="11900" w:h="16840" w:orient="portrait"/>
          <w:cols w:equalWidth="0" w:num="1">
            <w:col w:w="9400"/>
          </w:cols>
          <w:pgMar w:left="1060" w:top="547" w:right="1440"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5304790" cy="2522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0479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table below details Fee-earning AUM by its respective components at each period.</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
        </w:trPr>
        <w:tc>
          <w:tcPr>
            <w:tcW w:w="57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76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r>
      <w:tr>
        <w:trPr>
          <w:trHeight w:val="26"/>
        </w:trPr>
        <w:tc>
          <w:tcPr>
            <w:tcW w:w="57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90"/>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Components of Fee-earning AUM</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8"/>
        </w:trPr>
        <w:tc>
          <w:tcPr>
            <w:tcW w:w="5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2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capital commitments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58,885</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71,920</w:t>
            </w:r>
          </w:p>
        </w:tc>
      </w:tr>
      <w:tr>
        <w:trPr>
          <w:trHeight w:val="18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invested capital</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81,826</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69,371</w:t>
            </w:r>
          </w:p>
        </w:tc>
      </w:tr>
      <w:tr>
        <w:trPr>
          <w:trHeight w:val="52"/>
        </w:trPr>
        <w:tc>
          <w:tcPr>
            <w:tcW w:w="5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2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collateral balances, at par</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45,890</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49,999</w:t>
            </w:r>
          </w:p>
        </w:tc>
      </w:tr>
      <w:tr>
        <w:trPr>
          <w:trHeight w:val="188"/>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net asset value</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23,369</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19,537</w:t>
            </w:r>
          </w:p>
        </w:tc>
      </w:tr>
      <w:tr>
        <w:trPr>
          <w:trHeight w:val="52"/>
        </w:trPr>
        <w:tc>
          <w:tcPr>
            <w:tcW w:w="5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fair value and other</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94,388</w:t>
            </w: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96,591</w:t>
            </w:r>
          </w:p>
        </w:tc>
      </w:tr>
      <w:tr>
        <w:trPr>
          <w:trHeight w:val="182"/>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r>
              <w:rPr>
                <w:rFonts w:ascii="Times New Roman" w:cs="Times New Roman" w:eastAsia="Times New Roman" w:hAnsi="Times New Roman"/>
                <w:sz w:val="9"/>
                <w:szCs w:val="9"/>
                <w:b w:val="1"/>
                <w:bCs w:val="1"/>
                <w:color w:val="auto"/>
              </w:rPr>
              <w:t>(1)</w:t>
            </w: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304,358</w:t>
            </w:r>
          </w:p>
        </w:tc>
        <w:tc>
          <w:tcPr>
            <w:tcW w:w="60" w:type="dxa"/>
            <w:vAlign w:val="bottom"/>
          </w:tcPr>
          <w:p>
            <w:pPr>
              <w:spacing w:after="0"/>
              <w:rPr>
                <w:sz w:val="15"/>
                <w:szCs w:val="15"/>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1270</wp:posOffset>
            </wp:positionV>
            <wp:extent cx="15932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5" w:lineRule="exact"/>
        <w:rPr>
          <w:sz w:val="20"/>
          <w:szCs w:val="20"/>
          <w:color w:val="auto"/>
        </w:rPr>
      </w:pPr>
    </w:p>
    <w:p>
      <w:pPr>
        <w:ind w:left="10" w:right="1440"/>
        <w:spacing w:after="0" w:line="227" w:lineRule="auto"/>
        <w:rPr>
          <w:sz w:val="20"/>
          <w:szCs w:val="20"/>
          <w:color w:val="auto"/>
        </w:rPr>
      </w:pPr>
      <w:r>
        <w:rPr>
          <w:rFonts w:ascii="Times New Roman" w:cs="Times New Roman" w:eastAsia="Times New Roman" w:hAnsi="Times New Roman"/>
          <w:sz w:val="14"/>
          <w:szCs w:val="14"/>
          <w:color w:val="auto"/>
        </w:rPr>
        <w:t>(1) Ending balances as of December 31, 2024 and 2023 exclude $22.8 billion and $15.3 billion, respectively, of pending Fee-earning AUM for which fees have not yet been activated.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-184785</wp:posOffset>
            </wp:positionV>
            <wp:extent cx="15932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left="10"/>
        <w:spacing w:after="0" w:line="220" w:lineRule="auto"/>
        <w:rPr>
          <w:sz w:val="20"/>
          <w:szCs w:val="20"/>
          <w:color w:val="auto"/>
        </w:rPr>
      </w:pPr>
      <w:r>
        <w:rPr>
          <w:rFonts w:ascii="Times New Roman" w:cs="Times New Roman" w:eastAsia="Times New Roman" w:hAnsi="Times New Roman"/>
          <w:sz w:val="16"/>
          <w:szCs w:val="16"/>
          <w:color w:val="auto"/>
        </w:rPr>
        <w:t>The table below provides the period to period rollforward of Fee-earning AUM.</w:t>
      </w:r>
    </w:p>
    <w:p>
      <w:pPr>
        <w:ind w:left="579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37" w:lineRule="exact"/>
        <w:rPr>
          <w:sz w:val="20"/>
          <w:szCs w:val="20"/>
          <w:color w:val="auto"/>
        </w:rPr>
      </w:pPr>
    </w:p>
    <w:p>
      <w:pPr>
        <w:ind w:left="5790"/>
        <w:spacing w:after="0"/>
        <w:tabs>
          <w:tab w:leader="none" w:pos="7049"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-100330</wp:posOffset>
            </wp:positionV>
            <wp:extent cx="15932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35" w:lineRule="exact"/>
        <w:rPr>
          <w:sz w:val="20"/>
          <w:szCs w:val="20"/>
          <w:color w:val="auto"/>
        </w:rPr>
      </w:pPr>
    </w:p>
    <w:p>
      <w:pPr>
        <w:ind w:left="10"/>
        <w:spacing w:after="0"/>
        <w:tabs>
          <w:tab w:leader="none" w:pos="5769" w:val="left"/>
        </w:tabs>
        <w:rPr>
          <w:sz w:val="20"/>
          <w:szCs w:val="20"/>
          <w:color w:val="auto"/>
        </w:rPr>
      </w:pPr>
      <w:r>
        <w:rPr>
          <w:rFonts w:ascii="Times New Roman" w:cs="Times New Roman" w:eastAsia="Times New Roman" w:hAnsi="Times New Roman"/>
          <w:sz w:val="14"/>
          <w:szCs w:val="14"/>
          <w:b w:val="1"/>
          <w:bCs w:val="1"/>
          <w:color w:val="auto"/>
        </w:rPr>
        <w:t>Consolidated Results</w:t>
      </w:r>
      <w:r>
        <w:rPr>
          <w:sz w:val="20"/>
          <w:szCs w:val="20"/>
          <w:color w:val="auto"/>
        </w:rPr>
        <w:tab/>
      </w: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5259070" cy="144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Fee-earning AUM Rollforward</w:t>
      </w:r>
    </w:p>
    <w:p>
      <w:pPr>
        <w:sectPr>
          <w:pgSz w:w="11900" w:h="16840" w:orient="portrait"/>
          <w:cols w:equalWidth="0" w:num="1">
            <w:col w:w="9410"/>
          </w:cols>
          <w:pgMar w:left="1050" w:top="1440" w:right="1440" w:bottom="956" w:gutter="0" w:footer="0" w:header="0"/>
        </w:sectPr>
      </w:pPr>
    </w:p>
    <w:p>
      <w:pPr>
        <w:spacing w:after="0" w:line="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Balance, Beginning of Period</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Outflows (including realizations)</w:t>
      </w:r>
      <w:r>
        <w:rPr>
          <w:rFonts w:ascii="Times New Roman" w:cs="Times New Roman" w:eastAsia="Times New Roman" w:hAnsi="Times New Roman"/>
          <w:sz w:val="9"/>
          <w:szCs w:val="9"/>
          <w:color w:val="auto"/>
        </w:rPr>
        <w:t>(2)</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Market Activity &amp; Other</w:t>
      </w:r>
      <w:r>
        <w:rPr>
          <w:rFonts w:ascii="Times New Roman" w:cs="Times New Roman" w:eastAsia="Times New Roman" w:hAnsi="Times New Roman"/>
          <w:sz w:val="9"/>
          <w:szCs w:val="9"/>
          <w:color w:val="auto"/>
        </w:rPr>
        <w:t>(3)</w:t>
      </w:r>
    </w:p>
    <w:p>
      <w:pPr>
        <w:spacing w:after="0" w:line="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307,418</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266,577</w:t>
            </w: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32,971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55,531</w:t>
            </w: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(18,329)</w:t>
            </w: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240"/>
        </w:trPr>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64"/>
        </w:trPr>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304,358</w:t>
            </w:r>
          </w:p>
        </w:tc>
        <w:tc>
          <w:tcPr>
            <w:tcW w:w="60" w:type="dxa"/>
            <w:vAlign w:val="bottom"/>
            <w:vMerge w:val="continue"/>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307,418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-890270</wp:posOffset>
            </wp:positionV>
            <wp:extent cx="5259070"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259070" cy="15240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-585470</wp:posOffset>
            </wp:positionV>
            <wp:extent cx="5259070"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259070" cy="15240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-280035</wp:posOffset>
            </wp:positionV>
            <wp:extent cx="525907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259070" cy="152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wp:posOffset>
            </wp:positionV>
            <wp:extent cx="15932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5" w:lineRule="exact"/>
        <w:rPr>
          <w:sz w:val="20"/>
          <w:szCs w:val="20"/>
          <w:color w:val="auto"/>
        </w:rPr>
      </w:pPr>
    </w:p>
    <w:p>
      <w:pPr>
        <w:sectPr>
          <w:pgSz w:w="11900" w:h="16840" w:orient="portrait"/>
          <w:cols w:equalWidth="0" w:num="2">
            <w:col w:w="5050" w:space="720"/>
            <w:col w:w="3640"/>
          </w:cols>
          <w:pgMar w:left="1050" w:top="1440" w:right="1440" w:bottom="956" w:gutter="0" w:footer="0" w:header="0"/>
          <w:type w:val="continuous"/>
        </w:sectPr>
      </w:pPr>
    </w:p>
    <w:p>
      <w:pPr>
        <w:ind w:left="10" w:right="1360"/>
        <w:spacing w:after="0" w:line="236" w:lineRule="auto"/>
        <w:rPr>
          <w:sz w:val="20"/>
          <w:szCs w:val="20"/>
          <w:color w:val="auto"/>
        </w:rPr>
      </w:pPr>
      <w:r>
        <w:rPr>
          <w:rFonts w:ascii="Times New Roman" w:cs="Times New Roman" w:eastAsia="Times New Roman" w:hAnsi="Times New Roman"/>
          <w:sz w:val="14"/>
          <w:szCs w:val="14"/>
          <w:color w:val="auto"/>
        </w:rPr>
        <w:t>(1)Inflows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closed reinsurance transactions at Fortitude,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-293370</wp:posOffset>
            </wp:positionV>
            <wp:extent cx="15932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110</w:t>
      </w:r>
    </w:p>
    <w:p>
      <w:pPr>
        <w:ind w:left="10"/>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left="10" w:right="1560"/>
        <w:spacing w:after="0" w:line="214" w:lineRule="auto"/>
        <w:rPr>
          <w:sz w:val="20"/>
          <w:szCs w:val="20"/>
          <w:color w:val="auto"/>
        </w:rPr>
      </w:pPr>
      <w:r>
        <w:rPr>
          <w:rFonts w:ascii="Times New Roman" w:cs="Times New Roman" w:eastAsia="Times New Roman" w:hAnsi="Times New Roman"/>
          <w:sz w:val="14"/>
          <w:szCs w:val="14"/>
          <w:color w:val="auto"/>
        </w:rPr>
        <w:t>gross subscriptions in vehicles for which management fees are based on net asset value. Inflows exclude fundraising amounts during the period for which fees have not yet been activated, which are referenced as Pending Fee- earning AUM. Inflows for the year ended December 31, 2023 include $26 billion of Fee-earning AUM related to closed reinsurance transactions at Fortitude.</w:t>
      </w:r>
    </w:p>
    <w:p>
      <w:pPr>
        <w:spacing w:after="0" w:line="1" w:lineRule="exact"/>
        <w:rPr>
          <w:sz w:val="20"/>
          <w:szCs w:val="20"/>
          <w:color w:val="auto"/>
        </w:rPr>
      </w:pPr>
    </w:p>
    <w:p>
      <w:pPr>
        <w:ind w:left="10" w:right="1520"/>
        <w:spacing w:after="0" w:line="214" w:lineRule="auto"/>
        <w:rPr>
          <w:sz w:val="20"/>
          <w:szCs w:val="20"/>
          <w:color w:val="auto"/>
        </w:rPr>
      </w:pPr>
      <w:r>
        <w:rPr>
          <w:rFonts w:ascii="Times New Roman" w:cs="Times New Roman" w:eastAsia="Times New Roman" w:hAnsi="Times New Roman"/>
          <w:sz w:val="14"/>
          <w:szCs w:val="14"/>
          <w:color w:val="auto"/>
        </w:rPr>
        <w:t>(2)Outflows represents the impact of realizations from vehicles with management fees based on remaining invested capital at cost or fair value, changes in basis for funds where the investment period, weighted- average investment period or commitment fee period has expired during the period, reductions for funds that are no longer calling for fees, gross redemptions in our open -end funds, and outflows from our liquid credit products. Distributions for funds earning management fees based on commitments during the period do not affect Fee-earning AUM.</w:t>
      </w:r>
    </w:p>
    <w:p>
      <w:pPr>
        <w:spacing w:after="0" w:line="2" w:lineRule="exact"/>
        <w:rPr>
          <w:sz w:val="20"/>
          <w:szCs w:val="20"/>
          <w:color w:val="auto"/>
        </w:rPr>
      </w:pPr>
    </w:p>
    <w:p>
      <w:pPr>
        <w:ind w:left="10" w:right="1380"/>
        <w:spacing w:after="0" w:line="214" w:lineRule="auto"/>
        <w:rPr>
          <w:sz w:val="20"/>
          <w:szCs w:val="20"/>
          <w:color w:val="auto"/>
        </w:rPr>
      </w:pPr>
      <w:r>
        <w:rPr>
          <w:rFonts w:ascii="Times New Roman" w:cs="Times New Roman" w:eastAsia="Times New Roman" w:hAnsi="Times New Roman"/>
          <w:sz w:val="14"/>
          <w:szCs w:val="14"/>
          <w:color w:val="auto"/>
        </w:rPr>
        <w:t>(3)Market Activity &amp; Other represents realized and unrealized gains (losses) on portfolio investments in our carry funds based on the lower of cost or fair value and net asset value, activity of funds with fees based on gross asset value, and changes in the fair value of Fortitude’s general account assets covered by the strategic advisory services agreement.</w:t>
      </w:r>
    </w:p>
    <w:p>
      <w:pPr>
        <w:spacing w:after="0" w:line="1" w:lineRule="exact"/>
        <w:rPr>
          <w:sz w:val="20"/>
          <w:szCs w:val="20"/>
          <w:color w:val="auto"/>
        </w:rPr>
      </w:pPr>
    </w:p>
    <w:p>
      <w:pPr>
        <w:jc w:val="both"/>
        <w:ind w:left="10"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1" w:lineRule="exact"/>
        <w:rPr>
          <w:sz w:val="20"/>
          <w:szCs w:val="20"/>
          <w:color w:val="auto"/>
        </w:rPr>
      </w:pPr>
    </w:p>
    <w:p>
      <w:pPr>
        <w:ind w:left="10" w:right="2220"/>
        <w:spacing w:after="0" w:line="203" w:lineRule="auto"/>
        <w:rPr>
          <w:sz w:val="20"/>
          <w:szCs w:val="20"/>
          <w:color w:val="auto"/>
        </w:rPr>
      </w:pPr>
      <w:r>
        <w:rPr>
          <w:rFonts w:ascii="Times New Roman" w:cs="Times New Roman" w:eastAsia="Times New Roman" w:hAnsi="Times New Roman"/>
          <w:sz w:val="16"/>
          <w:szCs w:val="16"/>
          <w:color w:val="auto"/>
        </w:rPr>
        <w:t>Refer to “—Segment Analysis” for a detailed discussion by segment of the activity affecting Fee-earning AUM for each of the periods presented by segment.</w:t>
      </w:r>
    </w:p>
    <w:p>
      <w:pPr>
        <w:spacing w:after="0" w:line="1" w:lineRule="exact"/>
        <w:rPr>
          <w:sz w:val="20"/>
          <w:szCs w:val="20"/>
          <w:color w:val="auto"/>
        </w:rPr>
      </w:pPr>
    </w:p>
    <w:p>
      <w:pPr>
        <w:ind w:left="10" w:right="20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Assets under Management. </w:t>
      </w:r>
      <w:r>
        <w:rPr>
          <w:rFonts w:ascii="Times New Roman" w:cs="Times New Roman" w:eastAsia="Times New Roman" w:hAnsi="Times New Roman"/>
          <w:sz w:val="16"/>
          <w:szCs w:val="16"/>
          <w:color w:val="auto"/>
        </w:rPr>
        <w:t>Assets under management or “AUM” refers to the assets we manage or advise. Our AUM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generally equals the sum of the following:</w:t>
      </w:r>
    </w:p>
    <w:p>
      <w:pPr>
        <w:spacing w:after="0" w:line="1" w:lineRule="exact"/>
        <w:rPr>
          <w:sz w:val="20"/>
          <w:szCs w:val="20"/>
          <w:color w:val="auto"/>
        </w:rPr>
      </w:pPr>
    </w:p>
    <w:p>
      <w:pPr>
        <w:ind w:left="10" w:right="1800" w:hanging="10"/>
        <w:spacing w:after="0" w:line="203" w:lineRule="auto"/>
        <w:tabs>
          <w:tab w:leader="none" w:pos="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1" w:lineRule="exact"/>
        <w:rPr>
          <w:rFonts w:ascii="Times New Roman" w:cs="Times New Roman" w:eastAsia="Times New Roman" w:hAnsi="Times New Roman"/>
          <w:sz w:val="16"/>
          <w:szCs w:val="16"/>
          <w:color w:val="auto"/>
        </w:rPr>
      </w:pPr>
    </w:p>
    <w:p>
      <w:pPr>
        <w:ind w:left="10" w:right="1820" w:hanging="10"/>
        <w:spacing w:after="0" w:line="203" w:lineRule="auto"/>
        <w:tabs>
          <w:tab w:leader="none" w:pos="28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aggregate collateral balance and principal cash at par or aggregate principal amount of the notes of our CLOs and other structured products (inclusive of all positions);</w:t>
      </w:r>
    </w:p>
    <w:p>
      <w:pPr>
        <w:ind w:left="270" w:hanging="270"/>
        <w:spacing w:after="0" w:line="203" w:lineRule="auto"/>
        <w:tabs>
          <w:tab w:leader="none" w:pos="2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asset value of certain carry funds;</w:t>
      </w:r>
    </w:p>
    <w:p>
      <w:pPr>
        <w:ind w:left="270" w:hanging="270"/>
        <w:spacing w:after="0" w:line="203" w:lineRule="auto"/>
        <w:tabs>
          <w:tab w:leader="none" w:pos="2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Fortitude’s general account assets invested under the strategic advisory services agreement; and</w:t>
      </w:r>
    </w:p>
    <w:p>
      <w:pPr>
        <w:ind w:left="10" w:right="1740" w:hanging="10"/>
        <w:spacing w:after="0" w:line="203" w:lineRule="auto"/>
        <w:tabs>
          <w:tab w:leader="none" w:pos="28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 w:lineRule="exact"/>
        <w:rPr>
          <w:rFonts w:ascii="Times New Roman" w:cs="Times New Roman" w:eastAsia="Times New Roman" w:hAnsi="Times New Roman"/>
          <w:sz w:val="16"/>
          <w:szCs w:val="16"/>
          <w:color w:val="auto"/>
        </w:rPr>
      </w:pPr>
    </w:p>
    <w:p>
      <w:pPr>
        <w:ind w:left="1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chart below presents Total AUM by segment at each period, in billions.</w:t>
      </w:r>
    </w:p>
    <w:p>
      <w:pPr>
        <w:sectPr>
          <w:pgSz w:w="11900" w:h="16840" w:orient="portrait"/>
          <w:cols w:equalWidth="0" w:num="1">
            <w:col w:w="9410"/>
          </w:cols>
          <w:pgMar w:left="1050" w:top="1440" w:right="1440" w:bottom="956" w:gutter="0" w:footer="0" w:header="0"/>
          <w:type w:val="continuous"/>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666750</wp:posOffset>
            </wp:positionH>
            <wp:positionV relativeFrom="page">
              <wp:posOffset>361950</wp:posOffset>
            </wp:positionV>
            <wp:extent cx="5304790" cy="2522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0479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40"/>
        <w:spacing w:after="0" w:line="295" w:lineRule="auto"/>
        <w:rPr>
          <w:sz w:val="20"/>
          <w:szCs w:val="20"/>
          <w:color w:val="auto"/>
        </w:rPr>
      </w:pPr>
      <w:r>
        <w:rPr>
          <w:rFonts w:ascii="Times New Roman" w:cs="Times New Roman" w:eastAsia="Times New Roman" w:hAnsi="Times New Roman"/>
          <w:sz w:val="14"/>
          <w:szCs w:val="14"/>
          <w:color w:val="auto"/>
        </w:rPr>
        <w:t>We include in our calculation of AUM and Fee-earning AUM the NGP Energy Funds that are advised by NGP. Our calculation of AUM also includes third -party capital raised for the investment in Fortitude through a Carlyle-affiliated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60"/>
        <w:spacing w:after="0" w:line="203" w:lineRule="auto"/>
        <w:rPr>
          <w:sz w:val="20"/>
          <w:szCs w:val="20"/>
          <w:color w:val="auto"/>
        </w:rPr>
      </w:pPr>
      <w:r>
        <w:rPr>
          <w:rFonts w:ascii="Times New Roman" w:cs="Times New Roman" w:eastAsia="Times New Roman" w:hAnsi="Times New Roman"/>
          <w:sz w:val="16"/>
          <w:szCs w:val="16"/>
          <w:color w:val="auto"/>
        </w:rPr>
        <w:t>investment fund and from strategic investors who directly invest in Fortitude alongside the fund. The AUM and Fee-earning AUM related to the strategic advisory services agreement with Fortitude is inclusive of the net asset value of investments in Carlyle products. These amounts are also reflected in the AUM and Fee- earning AUM of the strategy in which they are invested.</w:t>
      </w:r>
    </w:p>
    <w:p>
      <w:pPr>
        <w:spacing w:after="0" w:line="205" w:lineRule="auto"/>
        <w:rPr>
          <w:sz w:val="20"/>
          <w:szCs w:val="20"/>
          <w:color w:val="auto"/>
        </w:rPr>
      </w:pPr>
      <w:r>
        <w:rPr>
          <w:rFonts w:ascii="Times New Roman" w:cs="Times New Roman" w:eastAsia="Times New Roman" w:hAnsi="Times New Roman"/>
          <w:sz w:val="16"/>
          <w:szCs w:val="16"/>
          <w:color w:val="auto"/>
        </w:rPr>
        <w:t>For most of our Global Private Equity and Global Investment Solutions carry funds, total AUM includes the fair value</w:t>
      </w:r>
    </w:p>
    <w:p>
      <w:pPr>
        <w:spacing w:after="0" w:line="1" w:lineRule="exact"/>
        <w:rPr>
          <w:sz w:val="20"/>
          <w:szCs w:val="20"/>
          <w:color w:val="auto"/>
        </w:rPr>
      </w:pPr>
    </w:p>
    <w:p>
      <w:pPr>
        <w:ind w:right="1420"/>
        <w:spacing w:after="0" w:line="232" w:lineRule="auto"/>
        <w:rPr>
          <w:sz w:val="20"/>
          <w:szCs w:val="20"/>
          <w:color w:val="auto"/>
        </w:rPr>
      </w:pPr>
      <w:r>
        <w:rPr>
          <w:rFonts w:ascii="Times New Roman" w:cs="Times New Roman" w:eastAsia="Times New Roman" w:hAnsi="Times New Roman"/>
          <w:sz w:val="14"/>
          <w:szCs w:val="14"/>
          <w:color w:val="auto"/>
        </w:rPr>
        <w:t>of the capital invested, whereas Fee-earning AUM includes the amount of capital commitments or the remaining amount of invested capital, depending on whether the original investment period for the fund has expired. As such, Fee- earning AUM may be greater than total AUM when the aggregate fair value of the remaining investments is less than the cost of those investments. Our calculations of AUM and Fee-earning AUM may differ from the calculations of other asset managers. As a result,</w:t>
      </w:r>
    </w:p>
    <w:p>
      <w:pPr>
        <w:spacing w:after="0" w:line="2" w:lineRule="exact"/>
        <w:rPr>
          <w:sz w:val="20"/>
          <w:szCs w:val="20"/>
          <w:color w:val="auto"/>
        </w:rPr>
      </w:pPr>
    </w:p>
    <w:p>
      <w:pPr>
        <w:ind w:right="1540"/>
        <w:spacing w:after="0" w:line="232" w:lineRule="auto"/>
        <w:rPr>
          <w:sz w:val="20"/>
          <w:szCs w:val="20"/>
          <w:color w:val="auto"/>
        </w:rPr>
      </w:pPr>
      <w:r>
        <w:rPr>
          <w:rFonts w:ascii="Times New Roman" w:cs="Times New Roman" w:eastAsia="Times New Roman" w:hAnsi="Times New Roman"/>
          <w:sz w:val="14"/>
          <w:szCs w:val="14"/>
          <w:color w:val="auto"/>
        </w:rPr>
        <w:t>these measures may not be comparable to similar measures presented by other asset managers. In addition, our calculation of AUM (but not Fee- earning AUM) includes uncalled commitments to, and the fair value of invested capital in, our investment funds from Carlyle and our personnel, regardless of whether such commitments or invested capital are subject to management fees or performance allocations. Our calculations of AUM or Fee- earning AUM are not based on any definition of AUM or Fee- earning AUM that is set forth in the agreements governing the investment funds that we manage or advise.</w:t>
      </w:r>
    </w:p>
    <w:p>
      <w:pPr>
        <w:spacing w:after="0" w:line="2" w:lineRule="exact"/>
        <w:rPr>
          <w:sz w:val="20"/>
          <w:szCs w:val="20"/>
          <w:color w:val="auto"/>
        </w:rPr>
      </w:pPr>
    </w:p>
    <w:p>
      <w:pPr>
        <w:ind w:right="1960"/>
        <w:spacing w:after="0" w:line="203" w:lineRule="auto"/>
        <w:rPr>
          <w:sz w:val="20"/>
          <w:szCs w:val="20"/>
          <w:color w:val="auto"/>
        </w:rPr>
      </w:pPr>
      <w:r>
        <w:rPr>
          <w:rFonts w:ascii="Times New Roman" w:cs="Times New Roman" w:eastAsia="Times New Roman" w:hAnsi="Times New Roman"/>
          <w:sz w:val="16"/>
          <w:szCs w:val="16"/>
          <w:color w:val="auto"/>
        </w:rPr>
        <w:t>We generally use Fee-earning AUM as a metric to measure changes in the assets from which we earn recurring management fees. Total AUM tends to be a better measure of our investment and fundraising performance as it reflects investments at fair value plus available capital.</w:t>
      </w:r>
    </w:p>
    <w:p>
      <w:pPr>
        <w:spacing w:after="0" w:line="219" w:lineRule="auto"/>
        <w:rPr>
          <w:sz w:val="20"/>
          <w:szCs w:val="20"/>
          <w:color w:val="auto"/>
        </w:rPr>
      </w:pPr>
      <w:r>
        <w:rPr>
          <w:rFonts w:ascii="Times New Roman" w:cs="Times New Roman" w:eastAsia="Times New Roman" w:hAnsi="Times New Roman"/>
          <w:sz w:val="16"/>
          <w:szCs w:val="16"/>
          <w:color w:val="auto"/>
        </w:rPr>
        <w:t>The table below provides the period to period rollforward of Total AUM.</w:t>
      </w: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Results</w:t>
            </w:r>
          </w:p>
        </w:tc>
        <w:tc>
          <w:tcPr>
            <w:tcW w:w="3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AUM Rollforward</w:t>
            </w:r>
          </w:p>
        </w:tc>
        <w:tc>
          <w:tcPr>
            <w:tcW w:w="3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9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4320" w:type="dxa"/>
            <w:vAlign w:val="bottom"/>
            <w:tcBorders>
              <w:bottom w:val="single" w:sz="8" w:color="CCEEFF"/>
            </w:tcBorders>
            <w:gridSpan w:val="2"/>
            <w:shd w:val="clear" w:color="auto" w:fill="CCEEFF"/>
          </w:tcPr>
          <w:p>
            <w:pPr>
              <w:ind w:left="38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425,994</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372,691</w:t>
            </w:r>
          </w:p>
        </w:tc>
        <w:tc>
          <w:tcPr>
            <w:tcW w:w="0" w:type="dxa"/>
            <w:vAlign w:val="bottom"/>
          </w:tcPr>
          <w:p>
            <w:pPr>
              <w:spacing w:after="0"/>
              <w:rPr>
                <w:sz w:val="1"/>
                <w:szCs w:val="1"/>
                <w:color w:val="auto"/>
              </w:rPr>
            </w:pPr>
          </w:p>
        </w:tc>
      </w:tr>
      <w:tr>
        <w:trPr>
          <w:trHeight w:val="18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tc>
        <w:tc>
          <w:tcPr>
            <w:tcW w:w="3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40,781</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63,466</w:t>
            </w: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3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9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Outflows (including realizations)</w:t>
            </w:r>
          </w:p>
        </w:tc>
        <w:tc>
          <w:tcPr>
            <w:tcW w:w="3840" w:type="dxa"/>
            <w:vAlign w:val="bottom"/>
            <w:vMerge w:val="restart"/>
            <w:shd w:val="clear" w:color="auto" w:fill="CCEEFF"/>
          </w:tcPr>
          <w:p>
            <w:pPr>
              <w:jc w:val="right"/>
              <w:ind w:right="3683"/>
              <w:spacing w:after="0"/>
              <w:rPr>
                <w:sz w:val="20"/>
                <w:szCs w:val="20"/>
                <w:color w:val="auto"/>
              </w:rPr>
            </w:pPr>
            <w:r>
              <w:rPr>
                <w:rFonts w:ascii="Times New Roman" w:cs="Times New Roman" w:eastAsia="Times New Roman" w:hAnsi="Times New Roman"/>
                <w:sz w:val="8"/>
                <w:szCs w:val="8"/>
                <w:color w:val="auto"/>
                <w:w w:val="85"/>
              </w:rPr>
              <w:t>(2)</w:t>
            </w: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(36,575)</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18"/>
              <w:spacing w:after="0" w:line="120" w:lineRule="exact"/>
              <w:rPr>
                <w:sz w:val="20"/>
                <w:szCs w:val="20"/>
                <w:color w:val="auto"/>
              </w:rPr>
            </w:pPr>
            <w:r>
              <w:rPr>
                <w:rFonts w:ascii="Times New Roman" w:cs="Times New Roman" w:eastAsia="Times New Roman" w:hAnsi="Times New Roman"/>
                <w:sz w:val="13"/>
                <w:szCs w:val="13"/>
                <w:color w:val="auto"/>
              </w:rPr>
              <w:t>(25,880)</w:t>
            </w:r>
          </w:p>
        </w:tc>
        <w:tc>
          <w:tcPr>
            <w:tcW w:w="0" w:type="dxa"/>
            <w:vAlign w:val="bottom"/>
          </w:tcPr>
          <w:p>
            <w:pPr>
              <w:spacing w:after="0"/>
              <w:rPr>
                <w:sz w:val="1"/>
                <w:szCs w:val="1"/>
                <w:color w:val="auto"/>
              </w:rPr>
            </w:pPr>
          </w:p>
        </w:tc>
      </w:tr>
      <w:tr>
        <w:trPr>
          <w:trHeight w:val="28"/>
        </w:trPr>
        <w:tc>
          <w:tcPr>
            <w:tcW w:w="1920" w:type="dxa"/>
            <w:vAlign w:val="bottom"/>
            <w:shd w:val="clear" w:color="auto" w:fill="CCEEFF"/>
          </w:tcPr>
          <w:p>
            <w:pPr>
              <w:spacing w:after="0"/>
              <w:rPr>
                <w:sz w:val="2"/>
                <w:szCs w:val="2"/>
                <w:color w:val="auto"/>
              </w:rPr>
            </w:pPr>
          </w:p>
        </w:tc>
        <w:tc>
          <w:tcPr>
            <w:tcW w:w="3840" w:type="dxa"/>
            <w:vAlign w:val="bottom"/>
            <w:vMerge w:val="continue"/>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shd w:val="clear" w:color="auto" w:fill="CCEEFF"/>
          </w:tcPr>
          <w:p>
            <w:pPr>
              <w:spacing w:after="0"/>
              <w:rPr>
                <w:sz w:val="8"/>
                <w:szCs w:val="8"/>
                <w:color w:val="auto"/>
              </w:rPr>
            </w:pPr>
          </w:p>
        </w:tc>
        <w:tc>
          <w:tcPr>
            <w:tcW w:w="38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0"/>
                <w:szCs w:val="20"/>
                <w:color w:val="auto"/>
              </w:rPr>
            </w:pPr>
            <w:r>
              <w:rPr>
                <w:rFonts w:ascii="Times New Roman" w:cs="Times New Roman" w:eastAsia="Times New Roman" w:hAnsi="Times New Roman"/>
                <w:sz w:val="3"/>
                <w:szCs w:val="3"/>
                <w:color w:val="auto"/>
              </w:rPr>
              <w:t>Market Activity &amp; Other</w:t>
            </w:r>
          </w:p>
        </w:tc>
        <w:tc>
          <w:tcPr>
            <w:tcW w:w="3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15,220</w:t>
            </w: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13,563</w:t>
            </w:r>
          </w:p>
        </w:tc>
        <w:tc>
          <w:tcPr>
            <w:tcW w:w="0" w:type="dxa"/>
            <w:vAlign w:val="bottom"/>
          </w:tcPr>
          <w:p>
            <w:pPr>
              <w:spacing w:after="0" w:line="20" w:lineRule="exact"/>
              <w:rPr>
                <w:sz w:val="1"/>
                <w:szCs w:val="1"/>
                <w:color w:val="auto"/>
              </w:rPr>
            </w:pPr>
          </w:p>
        </w:tc>
      </w:tr>
      <w:tr>
        <w:trPr>
          <w:trHeight w:val="124"/>
        </w:trPr>
        <w:tc>
          <w:tcPr>
            <w:tcW w:w="1920" w:type="dxa"/>
            <w:vAlign w:val="bottom"/>
          </w:tcPr>
          <w:p>
            <w:pPr>
              <w:ind w:left="1440"/>
              <w:spacing w:after="0"/>
              <w:rPr>
                <w:sz w:val="20"/>
                <w:szCs w:val="20"/>
                <w:color w:val="auto"/>
              </w:rPr>
            </w:pPr>
            <w:r>
              <w:rPr>
                <w:rFonts w:ascii="Times New Roman" w:cs="Times New Roman" w:eastAsia="Times New Roman" w:hAnsi="Times New Roman"/>
                <w:sz w:val="10"/>
                <w:szCs w:val="10"/>
                <w:color w:val="auto"/>
              </w:rPr>
              <w:t>(3)</w:t>
            </w:r>
          </w:p>
        </w:tc>
        <w:tc>
          <w:tcPr>
            <w:tcW w:w="3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9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tc>
        <w:tc>
          <w:tcPr>
            <w:tcW w:w="3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182"/>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840" w:type="dxa"/>
            <w:vAlign w:val="bottom"/>
          </w:tcPr>
          <w:p>
            <w:pPr>
              <w:spacing w:after="0"/>
              <w:rPr>
                <w:sz w:val="15"/>
                <w:szCs w:val="15"/>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441,020</w:t>
            </w:r>
          </w:p>
        </w:tc>
        <w:tc>
          <w:tcPr>
            <w:tcW w:w="60" w:type="dxa"/>
            <w:vAlign w:val="bottom"/>
          </w:tcPr>
          <w:p>
            <w:pPr>
              <w:spacing w:after="0"/>
              <w:rPr>
                <w:sz w:val="15"/>
                <w:szCs w:val="15"/>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425,994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1270</wp:posOffset>
            </wp:positionV>
            <wp:extent cx="15932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5" w:lineRule="exact"/>
        <w:rPr>
          <w:sz w:val="20"/>
          <w:szCs w:val="20"/>
          <w:color w:val="auto"/>
        </w:rPr>
      </w:pPr>
    </w:p>
    <w:p>
      <w:pPr>
        <w:ind w:right="1700"/>
        <w:spacing w:after="0" w:line="220" w:lineRule="auto"/>
        <w:rPr>
          <w:sz w:val="20"/>
          <w:szCs w:val="20"/>
          <w:color w:val="auto"/>
        </w:rPr>
      </w:pPr>
      <w:r>
        <w:rPr>
          <w:rFonts w:ascii="Times New Roman" w:cs="Times New Roman" w:eastAsia="Times New Roman" w:hAnsi="Times New Roman"/>
          <w:sz w:val="14"/>
          <w:szCs w:val="14"/>
          <w:color w:val="auto"/>
        </w:rPr>
        <w:t>(1)Inflows generally reflects the impact of gross fundraising as well as closed reinsurance transactions at Fortitude and corporate acquisitions during the period, if any. For funds or vehicles denominated in foreign currencies, this reflects translation at the average quarterly rate. Inflows for the year ended December 31, 2023 include $26 billion of AUM related to closed reinsurance transactions at Fortitude.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-366395</wp:posOffset>
            </wp:positionV>
            <wp:extent cx="15932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right="1380"/>
        <w:spacing w:after="0"/>
        <w:rPr>
          <w:sz w:val="20"/>
          <w:szCs w:val="20"/>
          <w:color w:val="auto"/>
        </w:rPr>
      </w:pPr>
      <w:r>
        <w:rPr>
          <w:rFonts w:ascii="Times New Roman" w:cs="Times New Roman" w:eastAsia="Times New Roman" w:hAnsi="Times New Roman"/>
          <w:sz w:val="14"/>
          <w:szCs w:val="14"/>
          <w:color w:val="auto"/>
        </w:rPr>
        <w:t>(2)Outflows includes distributions net of recallable or recyclable amounts in our carry funds, related co-investment vehicles, and separately managed accounts, gross redemptions in our open-end funds, outflows from our liquid credit products, and the expiration of available capital.</w:t>
      </w:r>
    </w:p>
    <w:p>
      <w:pPr>
        <w:spacing w:after="0" w:line="110" w:lineRule="exact"/>
        <w:rPr>
          <w:sz w:val="20"/>
          <w:szCs w:val="20"/>
          <w:color w:val="auto"/>
        </w:rPr>
      </w:pPr>
    </w:p>
    <w:p>
      <w:pPr>
        <w:ind w:right="1500"/>
        <w:spacing w:after="0" w:line="214" w:lineRule="auto"/>
        <w:rPr>
          <w:sz w:val="20"/>
          <w:szCs w:val="20"/>
          <w:color w:val="auto"/>
        </w:rPr>
      </w:pPr>
      <w:r>
        <w:rPr>
          <w:rFonts w:ascii="Times New Roman" w:cs="Times New Roman" w:eastAsia="Times New Roman" w:hAnsi="Times New Roman"/>
          <w:sz w:val="14"/>
          <w:szCs w:val="14"/>
          <w:color w:val="auto"/>
        </w:rPr>
        <w:t>(3)Market Activity &amp; Other generally represents realized and unrealized gains (losses) on portfolio investments in our carry funds and related co - investment vehicles, and separately managed accounts, as well as the net impact of fees, expenses and non -investment income, change in gross asset value for our business development companies, changes in the fair value of Fortitude’s general account assets covered by the strategic advisory services agreement, and other changes in AUM.</w:t>
      </w:r>
    </w:p>
    <w:p>
      <w:pPr>
        <w:spacing w:after="0" w:line="2"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1" w:lineRule="exact"/>
        <w:rPr>
          <w:sz w:val="20"/>
          <w:szCs w:val="20"/>
          <w:color w:val="auto"/>
        </w:rPr>
      </w:pPr>
    </w:p>
    <w:p>
      <w:pPr>
        <w:ind w:right="2260"/>
        <w:spacing w:after="0" w:line="203" w:lineRule="auto"/>
        <w:rPr>
          <w:sz w:val="20"/>
          <w:szCs w:val="20"/>
          <w:color w:val="auto"/>
        </w:rPr>
      </w:pPr>
      <w:r>
        <w:rPr>
          <w:rFonts w:ascii="Times New Roman" w:cs="Times New Roman" w:eastAsia="Times New Roman" w:hAnsi="Times New Roman"/>
          <w:sz w:val="16"/>
          <w:szCs w:val="16"/>
          <w:color w:val="auto"/>
        </w:rPr>
        <w:t>Please refer to “—Segment Analysis” for a detailed discussion by segment of the activity affecting Total AUM for each of the periods presented.</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Available Capital. </w:t>
      </w:r>
      <w:r>
        <w:rPr>
          <w:rFonts w:ascii="Times New Roman" w:cs="Times New Roman" w:eastAsia="Times New Roman" w:hAnsi="Times New Roman"/>
          <w:sz w:val="16"/>
          <w:szCs w:val="16"/>
          <w:color w:val="auto"/>
        </w:rPr>
        <w:t>“Available Capital” refers to the amount of capital commitments available to be called for</w:t>
      </w:r>
    </w:p>
    <w:p>
      <w:pPr>
        <w:spacing w:after="0" w:line="1" w:lineRule="exact"/>
        <w:rPr>
          <w:sz w:val="20"/>
          <w:szCs w:val="20"/>
          <w:color w:val="auto"/>
        </w:rPr>
      </w:pPr>
    </w:p>
    <w:p>
      <w:pPr>
        <w:ind w:right="1420"/>
        <w:spacing w:after="0" w:line="250" w:lineRule="auto"/>
        <w:rPr>
          <w:sz w:val="20"/>
          <w:szCs w:val="20"/>
          <w:color w:val="auto"/>
        </w:rPr>
      </w:pPr>
      <w:r>
        <w:rPr>
          <w:rFonts w:ascii="Times New Roman" w:cs="Times New Roman" w:eastAsia="Times New Roman" w:hAnsi="Times New Roman"/>
          <w:sz w:val="14"/>
          <w:szCs w:val="14"/>
          <w:color w:val="auto"/>
        </w:rPr>
        <w:t>investments, which may be reduced for equity invested that is funded via a fund credit facility and expected to be called from investors at a later date, plus any additional assets/liabilities at the fund level other than active investments. Amounts previously called may be added back to available capital following certain distributions. “Expired Available Capital” occurs when a fund</w:t>
      </w:r>
    </w:p>
    <w:p>
      <w:pPr>
        <w:sectPr>
          <w:pgSz w:w="11900" w:h="16840" w:orient="portrait"/>
          <w:cols w:equalWidth="0" w:num="1">
            <w:col w:w="9400"/>
          </w:cols>
          <w:pgMar w:left="1060" w:top="1440" w:right="1440" w:bottom="85"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has passed the investment and follow-on periods and can no longer invest capital into new or existing deals. Any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60"/>
        <w:spacing w:after="0" w:line="203" w:lineRule="auto"/>
        <w:rPr>
          <w:sz w:val="20"/>
          <w:szCs w:val="20"/>
          <w:color w:val="auto"/>
        </w:rPr>
      </w:pPr>
      <w:r>
        <w:rPr>
          <w:rFonts w:ascii="Times New Roman" w:cs="Times New Roman" w:eastAsia="Times New Roman" w:hAnsi="Times New Roman"/>
          <w:sz w:val="16"/>
          <w:szCs w:val="16"/>
          <w:color w:val="auto"/>
        </w:rPr>
        <w:t>Available Capital, typically a result of either recycled distributions or specific reserves established for the follow-on period that are not drawn, can only be called for fees and expenses and is therefore removed from the Total AUM calculation.</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i w:val="1"/>
          <w:iCs w:val="1"/>
          <w:color w:val="auto"/>
        </w:rPr>
        <w:t>Perpetual Capital</w:t>
      </w:r>
      <w:r>
        <w:rPr>
          <w:rFonts w:ascii="Times New Roman" w:cs="Times New Roman" w:eastAsia="Times New Roman" w:hAnsi="Times New Roman"/>
          <w:sz w:val="16"/>
          <w:szCs w:val="16"/>
          <w:color w:val="auto"/>
        </w:rPr>
        <w:t>. “Perpetual Capital” refers to the assets we manage or advise which have an indefinite term and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Carlyle Tactical Private Credit Fund (“CTAC”), (e) our closed-end tender offer Carlyle AlpInvest Private Markets (“CAPM”) funds, and (f) certain other structured credit products. As of December 31, 2024, our total AUM and Fee-earning AUM included $93.9 billion and $91.1 billion, respectively, of Perpetual Capital.</w:t>
      </w:r>
    </w:p>
    <w:p>
      <w:pPr>
        <w:spacing w:after="0" w:line="4"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Performance Fee Eligible AUM. </w:t>
      </w:r>
      <w:r>
        <w:rPr>
          <w:rFonts w:ascii="Times New Roman" w:cs="Times New Roman" w:eastAsia="Times New Roman" w:hAnsi="Times New Roman"/>
          <w:sz w:val="16"/>
          <w:szCs w:val="16"/>
          <w:color w:val="auto"/>
        </w:rPr>
        <w:t>“Performance Fee Eligible AUM” represents the AUM of funds for which we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quarter-end reporting date. Funds whose performance allocations are treated as fee related performance revenues are excluded from these metrics. As of December 31, 2024, our total AUM included $229.2 billion of Performance Fee Eligible AUM.</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Consolidation of Certain Carlyle Funds</w:t>
      </w:r>
    </w:p>
    <w:p>
      <w:pPr>
        <w:spacing w:after="0" w:line="203" w:lineRule="auto"/>
        <w:rPr>
          <w:sz w:val="20"/>
          <w:szCs w:val="20"/>
          <w:color w:val="auto"/>
        </w:rPr>
      </w:pPr>
      <w:r>
        <w:rPr>
          <w:rFonts w:ascii="Times New Roman" w:cs="Times New Roman" w:eastAsia="Times New Roman" w:hAnsi="Times New Roman"/>
          <w:sz w:val="16"/>
          <w:szCs w:val="16"/>
          <w:color w:val="auto"/>
        </w:rPr>
        <w:t>The Company consolidates all entities that it controls either through a majority voting interest or as the primary</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beneficiary of variable interest entities. The entities we consolidate are referred to collectively as the Consolidated Funds in our consolidated financial statements. As of December 31, 2024, our Consolidated Funds represent approximately 2% of our AUM; 1% of our management fees; and 1% of our total investment income or loss on an unconsolidated basis for the year ended December 31, 2024.</w:t>
      </w:r>
    </w:p>
    <w:p>
      <w:pPr>
        <w:spacing w:after="0" w:line="205" w:lineRule="auto"/>
        <w:rPr>
          <w:sz w:val="20"/>
          <w:szCs w:val="20"/>
          <w:color w:val="auto"/>
        </w:rPr>
      </w:pPr>
      <w:r>
        <w:rPr>
          <w:rFonts w:ascii="Times New Roman" w:cs="Times New Roman" w:eastAsia="Times New Roman" w:hAnsi="Times New Roman"/>
          <w:sz w:val="16"/>
          <w:szCs w:val="16"/>
          <w:color w:val="auto"/>
        </w:rPr>
        <w:t>We are not required under the consolidation guidance to consolidate in our financial statements most of the investment</w:t>
      </w:r>
    </w:p>
    <w:p>
      <w:pPr>
        <w:spacing w:after="0" w:line="233" w:lineRule="auto"/>
        <w:rPr>
          <w:sz w:val="20"/>
          <w:szCs w:val="20"/>
          <w:color w:val="auto"/>
        </w:rPr>
      </w:pPr>
      <w:r>
        <w:rPr>
          <w:rFonts w:ascii="Times New Roman" w:cs="Times New Roman" w:eastAsia="Times New Roman" w:hAnsi="Times New Roman"/>
          <w:sz w:val="14"/>
          <w:szCs w:val="14"/>
          <w:color w:val="auto"/>
        </w:rPr>
        <w:t>funds we advise. However, we consolidate certain CLOs and certain other funds that we advise. As of December 31, 2024, the</w:t>
      </w:r>
    </w:p>
    <w:p>
      <w:pPr>
        <w:spacing w:after="0" w:line="203" w:lineRule="auto"/>
        <w:rPr>
          <w:sz w:val="20"/>
          <w:szCs w:val="20"/>
          <w:color w:val="auto"/>
        </w:rPr>
      </w:pPr>
      <w:r>
        <w:rPr>
          <w:rFonts w:ascii="Times New Roman" w:cs="Times New Roman" w:eastAsia="Times New Roman" w:hAnsi="Times New Roman"/>
          <w:sz w:val="16"/>
          <w:szCs w:val="16"/>
          <w:color w:val="auto"/>
        </w:rPr>
        <w:t>assets and liabilities of the Consolidated Funds were primarily related to our consolidated CLOs, which held approximately</w:t>
      </w:r>
    </w:p>
    <w:p>
      <w:pPr>
        <w:spacing w:after="0" w:line="233" w:lineRule="auto"/>
        <w:rPr>
          <w:sz w:val="20"/>
          <w:szCs w:val="20"/>
          <w:color w:val="auto"/>
        </w:rPr>
      </w:pPr>
      <w:r>
        <w:rPr>
          <w:rFonts w:ascii="Times New Roman" w:cs="Times New Roman" w:eastAsia="Times New Roman" w:hAnsi="Times New Roman"/>
          <w:sz w:val="14"/>
          <w:szCs w:val="14"/>
          <w:color w:val="auto"/>
        </w:rPr>
        <w:t>$7.9 billion of total assets. The assets and liabilities of the Consolidated Funds are generally held within separate legal entities</w:t>
      </w:r>
    </w:p>
    <w:p>
      <w:pPr>
        <w:spacing w:after="0" w:line="204" w:lineRule="auto"/>
        <w:rPr>
          <w:sz w:val="20"/>
          <w:szCs w:val="20"/>
          <w:color w:val="auto"/>
        </w:rPr>
      </w:pPr>
      <w:r>
        <w:rPr>
          <w:rFonts w:ascii="Times New Roman" w:cs="Times New Roman" w:eastAsia="Times New Roman" w:hAnsi="Times New Roman"/>
          <w:sz w:val="16"/>
          <w:szCs w:val="16"/>
          <w:color w:val="auto"/>
        </w:rPr>
        <w:t>and, as a result, the liabilities of the Consolidated Funds are non-recourse to us.</w:t>
      </w:r>
    </w:p>
    <w:p>
      <w:pPr>
        <w:spacing w:after="0" w:line="203" w:lineRule="auto"/>
        <w:rPr>
          <w:sz w:val="20"/>
          <w:szCs w:val="20"/>
          <w:color w:val="auto"/>
        </w:rPr>
      </w:pPr>
      <w:r>
        <w:rPr>
          <w:rFonts w:ascii="Times New Roman" w:cs="Times New Roman" w:eastAsia="Times New Roman" w:hAnsi="Times New Roman"/>
          <w:sz w:val="16"/>
          <w:szCs w:val="16"/>
          <w:color w:val="auto"/>
        </w:rPr>
        <w:t>Generally, the consolidation of the Consolidated Funds has a gross-up effect on our assets, liabilities and cash flows</w:t>
      </w:r>
    </w:p>
    <w:p>
      <w:pPr>
        <w:spacing w:after="0" w:line="1"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but has no net effect on the net income attributable to the Company and equity. The majority of the net economic ownership interests of the Consolidated Funds are reflected as non-controlling interests in consolidated entities in the consolidated financial statements.</w:t>
      </w:r>
    </w:p>
    <w:p>
      <w:pPr>
        <w:spacing w:after="0" w:line="205" w:lineRule="auto"/>
        <w:rPr>
          <w:sz w:val="20"/>
          <w:szCs w:val="20"/>
          <w:color w:val="auto"/>
        </w:rPr>
      </w:pPr>
      <w:r>
        <w:rPr>
          <w:rFonts w:ascii="Times New Roman" w:cs="Times New Roman" w:eastAsia="Times New Roman" w:hAnsi="Times New Roman"/>
          <w:sz w:val="16"/>
          <w:szCs w:val="16"/>
          <w:color w:val="auto"/>
        </w:rPr>
        <w:t>The Consolidated Funds are not the same entities in all periods presented. The Consolidated Funds in future periods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may change due to changes in fund terms, formation of new funds, and terminations of funds. Because only a small portion of our funds are consolidated, the performance of the Consolidated Funds is not necessarily consistent with or representative of the combined performance trends of all of our funds.</w:t>
      </w:r>
    </w:p>
    <w:p>
      <w:pPr>
        <w:spacing w:after="0" w:line="1" w:lineRule="exact"/>
        <w:rPr>
          <w:sz w:val="20"/>
          <w:szCs w:val="20"/>
          <w:color w:val="auto"/>
        </w:rPr>
      </w:pPr>
    </w:p>
    <w:p>
      <w:pPr>
        <w:ind w:right="1960"/>
        <w:spacing w:after="0" w:line="232" w:lineRule="auto"/>
        <w:rPr>
          <w:sz w:val="20"/>
          <w:szCs w:val="20"/>
          <w:color w:val="auto"/>
        </w:rPr>
      </w:pPr>
      <w:r>
        <w:rPr>
          <w:rFonts w:ascii="Times New Roman" w:cs="Times New Roman" w:eastAsia="Times New Roman" w:hAnsi="Times New Roman"/>
          <w:sz w:val="14"/>
          <w:szCs w:val="14"/>
          <w:color w:val="auto"/>
        </w:rPr>
        <w:t>For further information on our consolidation policy and the consolidation of certain funds, see Note 2, Summary of Significant Accounting Policies, to the consolidated financial statements included in this Annual Report on Form 10-K.</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 and discussion sets forth information regarding our consolidated results of operations for the years</w:t>
      </w:r>
    </w:p>
    <w:p>
      <w:pPr>
        <w:ind w:right="1520"/>
        <w:spacing w:after="0" w:line="208" w:lineRule="auto"/>
        <w:rPr>
          <w:sz w:val="20"/>
          <w:szCs w:val="20"/>
          <w:color w:val="auto"/>
        </w:rPr>
      </w:pPr>
      <w:r>
        <w:rPr>
          <w:rFonts w:ascii="Times New Roman" w:cs="Times New Roman" w:eastAsia="Times New Roman" w:hAnsi="Times New Roman"/>
          <w:sz w:val="16"/>
          <w:szCs w:val="16"/>
          <w:color w:val="auto"/>
        </w:rPr>
        <w:t>ended December 31, 2024 and 2023. Our consolidated financial statements have been prepared on substantially the same basis for all historical periods presented; however, the consolidated funds are not the same entities in all periods shown due to changes in fund terms and the creation and termination of funds. As further described above, the consolidation of these funds primarily has the impact of increasing interest and other income of Consolidated Funds, interest and other expenses of Consolidated Funds, and net investment income (losses) of Consolidated Funds in the year that the fund is initially consolidated. The consolidation of these funds had no effect on net income attributable to the Company for the periods presented.</w:t>
      </w:r>
    </w:p>
    <w:p>
      <w:pPr>
        <w:sectPr>
          <w:pgSz w:w="11900" w:h="16840" w:orient="portrait"/>
          <w:cols w:equalWidth="0" w:num="1">
            <w:col w:w="9400"/>
          </w:cols>
          <w:pgMar w:left="1060" w:top="557" w:right="1440" w:bottom="1440" w:gutter="0" w:footer="0" w:header="0"/>
        </w:sectPr>
      </w:pPr>
    </w:p>
    <w:bookmarkStart w:id="92" w:name="page93"/>
    <w:bookmarkEnd w:id="92"/>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113</w:t>
      </w:r>
    </w:p>
    <w:p>
      <w:pPr>
        <w:spacing w:after="0" w:line="197"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bl>
      <w:tblPr>
        <w:tblLayout w:type="fixed"/>
        <w:tblInd w:w="0" w:type="dxa"/>
        <w:tblCellMar>
          <w:top w:w="0" w:type="dxa"/>
          <w:left w:w="0" w:type="dxa"/>
          <w:bottom w:w="0" w:type="dxa"/>
          <w:right w:w="0" w:type="dxa"/>
        </w:tblCellMar>
      </w:tblPr>
      <w:tr>
        <w:trPr>
          <w:trHeight w:val="196"/>
        </w:trPr>
        <w:tc>
          <w:tcPr>
            <w:tcW w:w="1120" w:type="dxa"/>
            <w:vAlign w:val="bottom"/>
            <w:tcBorders>
              <w:top w:val="single" w:sz="8" w:color="0000FF"/>
            </w:tcBorders>
          </w:tcPr>
          <w:p>
            <w:pPr>
              <w:spacing w:after="0"/>
              <w:rPr>
                <w:sz w:val="17"/>
                <w:szCs w:val="17"/>
                <w:color w:val="auto"/>
              </w:rPr>
            </w:pPr>
          </w:p>
        </w:tc>
        <w:tc>
          <w:tcPr>
            <w:tcW w:w="3100" w:type="dxa"/>
            <w:vAlign w:val="bottom"/>
          </w:tcPr>
          <w:p>
            <w:pPr>
              <w:spacing w:after="0"/>
              <w:rPr>
                <w:sz w:val="17"/>
                <w:szCs w:val="17"/>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1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9"/>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2,188.1</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2,043.2</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w:t>
            </w: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42 %</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2,015.7</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2,104.3</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79 %</w:t>
            </w:r>
          </w:p>
        </w:tc>
      </w:tr>
      <w:tr>
        <w:trPr>
          <w:trHeight w:val="40"/>
        </w:trPr>
        <w:tc>
          <w:tcPr>
            <w:tcW w:w="422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2,254.4</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2,209.6</w:t>
            </w: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3 %</w:t>
            </w: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of Consolidated Funds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631.6</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61.5</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5,425.8</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2,963.9</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2,461.9</w:t>
            </w: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83 %</w:t>
            </w:r>
          </w:p>
        </w:tc>
      </w:tr>
      <w:tr>
        <w:trPr>
          <w:trHeight w:val="28"/>
        </w:trPr>
        <w:tc>
          <w:tcPr>
            <w:tcW w:w="4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875.5</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1,023.7</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(148.2)</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467.9</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218.8</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88 %</w:t>
            </w: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32"/>
        </w:trPr>
        <w:tc>
          <w:tcPr>
            <w:tcW w:w="42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Performance allocations and incentive fee related</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1,361.5</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1,103.7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257.8</w:t>
            </w:r>
          </w:p>
        </w:tc>
        <w:tc>
          <w:tcPr>
            <w:tcW w:w="100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23 %</w:t>
            </w:r>
          </w:p>
        </w:tc>
      </w:tr>
      <w:tr>
        <w:trPr>
          <w:trHeight w:val="216"/>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18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2,704.9</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2,376.5</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328.4</w:t>
            </w: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14 %</w:t>
            </w:r>
          </w:p>
        </w:tc>
      </w:tr>
      <w:tr>
        <w:trPr>
          <w:trHeight w:val="28"/>
        </w:trPr>
        <w:tc>
          <w:tcPr>
            <w:tcW w:w="4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665.6</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652.1</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2 %</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w:t>
            </w:r>
          </w:p>
        </w:tc>
      </w:tr>
      <w:tr>
        <w:trPr>
          <w:trHeight w:val="40"/>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expenses of Consolidated Funds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564.9</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419.1</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145.8</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35 %</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non-operating expenses (income)</w:t>
            </w:r>
          </w:p>
        </w:tc>
        <w:tc>
          <w:tcPr>
            <w:tcW w:w="3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40"/>
        </w:trPr>
        <w:tc>
          <w:tcPr>
            <w:tcW w:w="4220" w:type="dxa"/>
            <w:vAlign w:val="bottom"/>
            <w:tcBorders>
              <w:bottom w:val="single" w:sz="8" w:color="CCEEFF"/>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4,056.1</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3,571.7</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484.4</w:t>
            </w: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14 %</w:t>
            </w:r>
          </w:p>
        </w:tc>
      </w:tr>
      <w:tr>
        <w:trPr>
          <w:trHeight w:val="19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(loss)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8"/>
        </w:trPr>
        <w:tc>
          <w:tcPr>
            <w:tcW w:w="42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 of Consolidated Funds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248 %</w:t>
            </w:r>
          </w:p>
        </w:tc>
      </w:tr>
      <w:tr>
        <w:trPr>
          <w:trHeight w:val="18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1,393.7</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1,994.6</w:t>
            </w: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28"/>
        </w:trPr>
        <w:tc>
          <w:tcPr>
            <w:tcW w:w="4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302.6</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406.8</w:t>
            </w:r>
          </w:p>
        </w:tc>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1,091.1</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1,587.8</w:t>
            </w:r>
          </w:p>
        </w:tc>
        <w:tc>
          <w:tcPr>
            <w:tcW w:w="2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28"/>
        </w:trPr>
        <w:tc>
          <w:tcPr>
            <w:tcW w:w="4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2"/>
        </w:trPr>
        <w:tc>
          <w:tcPr>
            <w:tcW w:w="42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Net income attributable to non-controlling interests in consolidated</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70.7</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111.7</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(41.0)</w:t>
            </w:r>
          </w:p>
        </w:tc>
        <w:tc>
          <w:tcPr>
            <w:tcW w:w="100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color w:val="auto"/>
              </w:rPr>
              <w:t>(37)%</w:t>
            </w:r>
          </w:p>
        </w:tc>
      </w:tr>
      <w:tr>
        <w:trPr>
          <w:trHeight w:val="216"/>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entities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124"/>
        </w:trPr>
        <w:tc>
          <w:tcPr>
            <w:tcW w:w="42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Net income (loss) attributable to The Carlyle Group Inc. Common</w:t>
            </w:r>
          </w:p>
        </w:tc>
        <w:tc>
          <w:tcPr>
            <w:tcW w:w="36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color w:val="auto"/>
              </w:rPr>
              <w:t>1,020.4</w:t>
            </w:r>
          </w:p>
        </w:tc>
        <w:tc>
          <w:tcPr>
            <w:tcW w:w="60" w:type="dxa"/>
            <w:vAlign w:val="bottom"/>
          </w:tcPr>
          <w:p>
            <w:pPr>
              <w:spacing w:after="0"/>
              <w:rPr>
                <w:sz w:val="10"/>
                <w:szCs w:val="10"/>
                <w:color w:val="auto"/>
              </w:rPr>
            </w:pPr>
          </w:p>
        </w:tc>
        <w:tc>
          <w:tcPr>
            <w:tcW w:w="36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color w:val="auto"/>
              </w:rPr>
              <w:t>(608.4)</w:t>
            </w:r>
          </w:p>
        </w:tc>
        <w:tc>
          <w:tcPr>
            <w:tcW w:w="20" w:type="dxa"/>
            <w:vAlign w:val="bottom"/>
          </w:tcPr>
          <w:p>
            <w:pPr>
              <w:spacing w:after="0"/>
              <w:rPr>
                <w:sz w:val="10"/>
                <w:szCs w:val="10"/>
                <w:color w:val="auto"/>
              </w:rPr>
            </w:pPr>
          </w:p>
        </w:tc>
        <w:tc>
          <w:tcPr>
            <w:tcW w:w="26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48"/>
              <w:spacing w:after="0" w:line="124" w:lineRule="exact"/>
              <w:rPr>
                <w:sz w:val="20"/>
                <w:szCs w:val="20"/>
                <w:color w:val="auto"/>
              </w:rPr>
            </w:pPr>
            <w:r>
              <w:rPr>
                <w:rFonts w:ascii="Times New Roman" w:cs="Times New Roman" w:eastAsia="Times New Roman" w:hAnsi="Times New Roman"/>
                <w:sz w:val="14"/>
                <w:szCs w:val="14"/>
                <w:color w:val="auto"/>
              </w:rPr>
              <w:t>1,628.8</w:t>
            </w:r>
          </w:p>
        </w:tc>
        <w:tc>
          <w:tcPr>
            <w:tcW w:w="20" w:type="dxa"/>
            <w:vAlign w:val="bottom"/>
          </w:tcPr>
          <w:p>
            <w:pPr>
              <w:spacing w:after="0"/>
              <w:rPr>
                <w:sz w:val="10"/>
                <w:szCs w:val="10"/>
                <w:color w:val="auto"/>
              </w:rPr>
            </w:pPr>
          </w:p>
        </w:tc>
        <w:tc>
          <w:tcPr>
            <w:tcW w:w="9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color w:val="auto"/>
              </w:rPr>
              <w:t>NM</w:t>
            </w:r>
          </w:p>
        </w:tc>
      </w:tr>
      <w:tr>
        <w:trPr>
          <w:trHeight w:val="188"/>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Stockholders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-4445</wp:posOffset>
            </wp:positionV>
            <wp:extent cx="25685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-92710</wp:posOffset>
            </wp:positionV>
            <wp:extent cx="256857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ectPr>
          <w:pgSz w:w="11900" w:h="16840" w:orient="portrait"/>
          <w:cols w:equalWidth="0" w:num="1">
            <w:col w:w="9400"/>
          </w:cols>
          <w:pgMar w:left="1060" w:top="1440" w:right="1440"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Fund management fees. </w:t>
      </w:r>
      <w:r>
        <w:rPr>
          <w:rFonts w:ascii="Times New Roman" w:cs="Times New Roman" w:eastAsia="Times New Roman" w:hAnsi="Times New Roman"/>
          <w:sz w:val="14"/>
          <w:szCs w:val="14"/>
          <w:color w:val="auto"/>
        </w:rPr>
        <w:t>Fund management fees increased $144.9 million, or 7%, for the year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2024 compared to 2023, primarily due to the following:</w:t>
      </w:r>
    </w:p>
    <w:p>
      <w:pPr>
        <w:sectPr>
          <w:pgSz w:w="11900" w:h="16840" w:orient="portrait"/>
          <w:cols w:equalWidth="0" w:num="1">
            <w:col w:w="9400"/>
          </w:cols>
          <w:pgMar w:left="1060" w:top="1440" w:right="1440" w:bottom="92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8"/>
        </w:trPr>
        <w:tc>
          <w:tcPr>
            <w:tcW w:w="2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2"/>
        </w:trPr>
        <w:tc>
          <w:tcPr>
            <w:tcW w:w="23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500" w:type="dxa"/>
            <w:vAlign w:val="bottom"/>
          </w:tcPr>
          <w:p>
            <w:pPr>
              <w:spacing w:after="0"/>
              <w:rPr>
                <w:sz w:val="15"/>
                <w:szCs w:val="15"/>
                <w:color w:val="auto"/>
              </w:rPr>
            </w:pPr>
          </w:p>
        </w:tc>
      </w:tr>
      <w:tr>
        <w:trPr>
          <w:trHeight w:val="26"/>
        </w:trPr>
        <w:tc>
          <w:tcPr>
            <w:tcW w:w="2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3"/>
        </w:trPr>
        <w:tc>
          <w:tcPr>
            <w:tcW w:w="23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5"/>
                <w:szCs w:val="15"/>
                <w:color w:val="auto"/>
              </w:rPr>
            </w:pPr>
          </w:p>
        </w:tc>
      </w:tr>
      <w:tr>
        <w:trPr>
          <w:trHeight w:val="133"/>
        </w:trPr>
        <w:tc>
          <w:tcPr>
            <w:tcW w:w="62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Higher management fees from the commencement of the investment period for certain newly raised</w:t>
            </w:r>
          </w:p>
        </w:tc>
        <w:tc>
          <w:tcPr>
            <w:tcW w:w="1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line="133" w:lineRule="exact"/>
              <w:rPr>
                <w:sz w:val="20"/>
                <w:szCs w:val="20"/>
                <w:color w:val="auto"/>
              </w:rPr>
            </w:pPr>
            <w:r>
              <w:rPr>
                <w:rFonts w:ascii="Times New Roman" w:cs="Times New Roman" w:eastAsia="Times New Roman" w:hAnsi="Times New Roman"/>
                <w:sz w:val="14"/>
                <w:szCs w:val="14"/>
                <w:color w:val="auto"/>
              </w:rPr>
              <w:t>121.5</w:t>
            </w:r>
          </w:p>
        </w:tc>
      </w:tr>
      <w:tr>
        <w:trPr>
          <w:trHeight w:val="144"/>
        </w:trPr>
        <w:tc>
          <w:tcPr>
            <w:tcW w:w="62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funds which charge fees based on commitments and the impact of incremental fundraising in funds</w:t>
            </w:r>
          </w:p>
        </w:tc>
        <w:tc>
          <w:tcPr>
            <w:tcW w:w="1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96"/>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which activated fees in a prior period</w:t>
            </w:r>
          </w:p>
        </w:tc>
        <w:tc>
          <w:tcPr>
            <w:tcW w:w="38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r>
      <w:tr>
        <w:trPr>
          <w:trHeight w:val="132"/>
        </w:trPr>
        <w:tc>
          <w:tcPr>
            <w:tcW w:w="620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color w:val="auto"/>
              </w:rPr>
              <w:t>Lower management fees resulting from the change in basis from commitments to invested capital and</w:t>
            </w:r>
          </w:p>
        </w:tc>
        <w:tc>
          <w:tcPr>
            <w:tcW w:w="128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(54.3)</w:t>
            </w:r>
          </w:p>
        </w:tc>
      </w:tr>
      <w:tr>
        <w:trPr>
          <w:trHeight w:val="144"/>
        </w:trPr>
        <w:tc>
          <w:tcPr>
            <w:tcW w:w="62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step-downs in rate for certain funds, and the impact of net investment activity in funds whose</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4"/>
        </w:trPr>
        <w:tc>
          <w:tcPr>
            <w:tcW w:w="620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management fees are based on invested capital, including the impact of changes in the base under the</w:t>
            </w: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88"/>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strategic advisory services agreement with Fortitude</w:t>
            </w: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2"/>
        </w:trPr>
        <w:tc>
          <w:tcPr>
            <w:tcW w:w="6200" w:type="dxa"/>
            <w:vAlign w:val="bottom"/>
            <w:gridSpan w:val="2"/>
          </w:tcPr>
          <w:p>
            <w:pPr>
              <w:spacing w:after="0"/>
              <w:rPr>
                <w:sz w:val="4"/>
                <w:szCs w:val="4"/>
                <w:color w:val="auto"/>
              </w:rPr>
            </w:pPr>
          </w:p>
        </w:tc>
        <w:tc>
          <w:tcPr>
            <w:tcW w:w="1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4"/>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catch-up management fees from subsequent closes of funds that are in the fundraising period</w:t>
            </w:r>
          </w:p>
        </w:tc>
        <w:tc>
          <w:tcPr>
            <w:tcW w:w="1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8"/>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Higher transaction and portfolio advisory fees</w:t>
            </w:r>
          </w:p>
        </w:tc>
        <w:tc>
          <w:tcPr>
            <w:tcW w:w="128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w:t>
            </w:r>
          </w:p>
        </w:tc>
      </w:tr>
      <w:tr>
        <w:trPr>
          <w:trHeight w:val="40"/>
        </w:trPr>
        <w:tc>
          <w:tcPr>
            <w:tcW w:w="23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00" w:type="dxa"/>
            <w:vAlign w:val="bottom"/>
          </w:tcPr>
          <w:p>
            <w:pPr>
              <w:spacing w:after="0"/>
              <w:rPr>
                <w:sz w:val="3"/>
                <w:szCs w:val="3"/>
                <w:color w:val="auto"/>
              </w:rPr>
            </w:pPr>
          </w:p>
        </w:tc>
      </w:tr>
      <w:tr>
        <w:trPr>
          <w:trHeight w:val="228"/>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changes</w:t>
            </w:r>
          </w:p>
        </w:tc>
        <w:tc>
          <w:tcPr>
            <w:tcW w:w="38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Total increase in Fund management fees</w:t>
            </w:r>
          </w:p>
        </w:tc>
        <w:tc>
          <w:tcPr>
            <w:tcW w:w="3880" w:type="dxa"/>
            <w:vAlign w:val="bottom"/>
          </w:tcPr>
          <w:p>
            <w:pPr>
              <w:jc w:val="right"/>
              <w:ind w:right="3712"/>
              <w:spacing w:after="0"/>
              <w:rPr>
                <w:sz w:val="20"/>
                <w:szCs w:val="20"/>
                <w:color w:val="auto"/>
              </w:rPr>
            </w:pPr>
            <w:r>
              <w:rPr>
                <w:rFonts w:ascii="Times New Roman" w:cs="Times New Roman" w:eastAsia="Times New Roman" w:hAnsi="Times New Roman"/>
                <w:sz w:val="10"/>
                <w:szCs w:val="10"/>
                <w:color w:val="auto"/>
                <w:w w:val="85"/>
              </w:rPr>
              <w:t>(1)</w:t>
            </w:r>
          </w:p>
        </w:tc>
        <w:tc>
          <w:tcPr>
            <w:tcW w:w="1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144.9</w:t>
            </w:r>
          </w:p>
        </w:tc>
      </w:tr>
    </w:tbl>
    <w:p>
      <w:pPr>
        <w:spacing w:after="0" w:line="12" w:lineRule="exact"/>
        <w:rPr>
          <w:sz w:val="20"/>
          <w:szCs w:val="20"/>
          <w:color w:val="auto"/>
        </w:rPr>
      </w:pPr>
    </w:p>
    <w:p>
      <w:pPr>
        <w:ind w:right="1380"/>
        <w:spacing w:after="0" w:line="223" w:lineRule="auto"/>
        <w:rPr>
          <w:sz w:val="20"/>
          <w:szCs w:val="20"/>
          <w:color w:val="auto"/>
        </w:rPr>
      </w:pPr>
      <w:r>
        <w:rPr>
          <w:rFonts w:ascii="Times New Roman" w:cs="Times New Roman" w:eastAsia="Times New Roman" w:hAnsi="Times New Roman"/>
          <w:sz w:val="14"/>
          <w:szCs w:val="14"/>
          <w:color w:val="auto"/>
        </w:rPr>
        <w:t>(1) Total increase in Fund management fees does not include our equity income allocation from NGP management fee related revenues. We do not control NGP and account for our strategic investment in NGP as an equity method investment under U.S. GAAP. Therefore, Fund management fees associated with NGP are included in Principal investment income (loss) in our U.S.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-276225</wp:posOffset>
            </wp:positionV>
            <wp:extent cx="11353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135380"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Management fees attributable to Carlyle Partners VIII, L.P. (“CP VIII”), our eighth U.S. buyout fund, were</w:t>
      </w:r>
    </w:p>
    <w:p>
      <w:pPr>
        <w:ind w:right="1580"/>
        <w:spacing w:after="0" w:line="232" w:lineRule="auto"/>
        <w:rPr>
          <w:sz w:val="20"/>
          <w:szCs w:val="20"/>
          <w:color w:val="auto"/>
        </w:rPr>
      </w:pPr>
      <w:r>
        <w:rPr>
          <w:rFonts w:ascii="Times New Roman" w:cs="Times New Roman" w:eastAsia="Times New Roman" w:hAnsi="Times New Roman"/>
          <w:sz w:val="14"/>
          <w:szCs w:val="14"/>
          <w:color w:val="auto"/>
        </w:rPr>
        <w:t>approximately 11% of fund management fees recognized during the year ended December 31, 2023. No other fund generated over 10% of total management fees in the periods presented. Average Fee-earning assets under management in our Global Credit and Global Investment Solutions segments in 2024 grew approximately 19% and 21%, respectively, relative to the average balances in 2023, while average Fee -earning assets under management in 2024 for Global Private Equity fell by 4% relative to the average balance in 2023. As a result, Fund management fees increased in Global Credit and Global Investment Solutions and decreased in Global Private Equity, due in part to smaller buyout fund sizes in our corporate private equity strategy and step downs in rate or basis, particularly a step-down in management fee rate in CP VII at the beginning of 2024. Fund management fees included transaction and portfolio advisory fees, net of rebate offsets, of $152.5 million and</w:t>
      </w:r>
    </w:p>
    <w:p>
      <w:pPr>
        <w:spacing w:after="0" w:line="3" w:lineRule="exact"/>
        <w:rPr>
          <w:sz w:val="20"/>
          <w:szCs w:val="20"/>
          <w:color w:val="auto"/>
        </w:rPr>
      </w:pPr>
    </w:p>
    <w:p>
      <w:pPr>
        <w:ind w:right="1440"/>
        <w:spacing w:after="0" w:line="211" w:lineRule="auto"/>
        <w:rPr>
          <w:sz w:val="20"/>
          <w:szCs w:val="20"/>
          <w:color w:val="auto"/>
        </w:rPr>
      </w:pPr>
      <w:r>
        <w:rPr>
          <w:rFonts w:ascii="Times New Roman" w:cs="Times New Roman" w:eastAsia="Times New Roman" w:hAnsi="Times New Roman"/>
          <w:sz w:val="16"/>
          <w:szCs w:val="16"/>
          <w:color w:val="auto"/>
        </w:rPr>
        <w:t>$68.6 million for the years ended December 31, 2024 and 2023, respectively. These fees primarily comprise capital market fees generated by Carlyle Global Capital Markets. The recognition of portfolio advisory fees, transactions fees, and capital markets fees can be volatile as they are primarily generated by investment activity within our funds, and therefore are impacted by our investment pace. See “—Trends Affecting Our Business” for further discussion on our investment activity and broader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Investment income. </w:t>
      </w:r>
      <w:r>
        <w:rPr>
          <w:rFonts w:ascii="Times New Roman" w:cs="Times New Roman" w:eastAsia="Times New Roman" w:hAnsi="Times New Roman"/>
          <w:sz w:val="16"/>
          <w:szCs w:val="16"/>
          <w:color w:val="auto"/>
        </w:rPr>
        <w:t>Investment income increased $2.2 billion for the year ended December 31, 2024 compared to</w:t>
      </w:r>
    </w:p>
    <w:p>
      <w:pPr>
        <w:ind w:right="1700"/>
        <w:spacing w:after="0" w:line="222" w:lineRule="auto"/>
        <w:rPr>
          <w:sz w:val="20"/>
          <w:szCs w:val="20"/>
          <w:color w:val="auto"/>
        </w:rPr>
      </w:pPr>
      <w:r>
        <w:rPr>
          <w:rFonts w:ascii="Times New Roman" w:cs="Times New Roman" w:eastAsia="Times New Roman" w:hAnsi="Times New Roman"/>
          <w:sz w:val="16"/>
          <w:szCs w:val="16"/>
          <w:color w:val="auto"/>
        </w:rPr>
        <w:t>2023, which included an increase in Performance allocations of $2.1 billion and an increase in Principal investment income (loss) of $0.1 billion. The components of Investment income are included in the following table:</w:t>
      </w:r>
    </w:p>
    <w:p>
      <w:pPr>
        <w:sectPr>
          <w:pgSz w:w="11900" w:h="16840" w:orient="portrait"/>
          <w:cols w:equalWidth="0" w:num="1">
            <w:col w:w="9400"/>
          </w:cols>
          <w:pgMar w:left="1060" w:top="555"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2"/>
        </w:trPr>
        <w:tc>
          <w:tcPr>
            <w:tcW w:w="4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2"/>
        </w:trPr>
        <w:tc>
          <w:tcPr>
            <w:tcW w:w="42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
        </w:trPr>
        <w:tc>
          <w:tcPr>
            <w:tcW w:w="424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2"/>
        </w:trPr>
        <w:tc>
          <w:tcPr>
            <w:tcW w:w="424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6"/>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2,015.7</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3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2,104.3</w:t>
            </w: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2"/>
        </w:trPr>
        <w:tc>
          <w:tcPr>
            <w:tcW w:w="4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32"/>
        </w:trPr>
        <w:tc>
          <w:tcPr>
            <w:tcW w:w="42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Investment income from NGP, which includes performance</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103.6</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138.3</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(34.7)</w:t>
            </w:r>
          </w:p>
        </w:tc>
        <w:tc>
          <w:tcPr>
            <w:tcW w:w="102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4"/>
                <w:szCs w:val="14"/>
                <w:color w:val="auto"/>
              </w:rPr>
              <w:t>(25)%</w:t>
            </w:r>
          </w:p>
        </w:tc>
      </w:tr>
      <w:tr>
        <w:trPr>
          <w:trHeight w:val="19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allocations</w:t>
            </w: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from our carry funds: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2"/>
        </w:trPr>
        <w:tc>
          <w:tcPr>
            <w:tcW w:w="4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115 %</w:t>
            </w: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15 %</w:t>
            </w:r>
          </w:p>
        </w:tc>
      </w:tr>
      <w:tr>
        <w:trPr>
          <w:trHeight w:val="52"/>
        </w:trPr>
        <w:tc>
          <w:tcPr>
            <w:tcW w:w="4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19.2</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34 %</w:t>
            </w: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from our CLOs</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8 %</w:t>
            </w:r>
          </w:p>
        </w:tc>
      </w:tr>
      <w:tr>
        <w:trPr>
          <w:trHeight w:val="52"/>
        </w:trPr>
        <w:tc>
          <w:tcPr>
            <w:tcW w:w="4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income (loss) from Carlyle FRL</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134.5</w:t>
            </w: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(loss) income from our other Global Credit products</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52"/>
        </w:trPr>
        <w:tc>
          <w:tcPr>
            <w:tcW w:w="4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income on foreign currency hedges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100 %</w:t>
            </w:r>
          </w:p>
        </w:tc>
      </w:tr>
      <w:tr>
        <w:trPr>
          <w:trHeight w:val="188"/>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All other investment income (loss)</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NM</w:t>
            </w:r>
          </w:p>
        </w:tc>
      </w:tr>
      <w:tr>
        <w:trPr>
          <w:trHeight w:val="52"/>
        </w:trPr>
        <w:tc>
          <w:tcPr>
            <w:tcW w:w="42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2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investment income</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105.3</w:t>
            </w: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79 %</w:t>
            </w:r>
          </w:p>
        </w:tc>
      </w:tr>
      <w:tr>
        <w:trPr>
          <w:trHeight w:val="180"/>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2,254.4</w:t>
            </w:r>
          </w:p>
        </w:tc>
        <w:tc>
          <w:tcPr>
            <w:tcW w:w="60" w:type="dxa"/>
            <w:vAlign w:val="bottom"/>
          </w:tcPr>
          <w:p>
            <w:pPr>
              <w:spacing w:after="0"/>
              <w:rPr>
                <w:sz w:val="15"/>
                <w:szCs w:val="15"/>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40" w:type="dxa"/>
            <w:vAlign w:val="bottom"/>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2,209.6</w:t>
            </w:r>
          </w:p>
        </w:tc>
        <w:tc>
          <w:tcPr>
            <w:tcW w:w="40" w:type="dxa"/>
            <w:vAlign w:val="bottom"/>
          </w:tcPr>
          <w:p>
            <w:pPr>
              <w:spacing w:after="0"/>
              <w:rPr>
                <w:sz w:val="15"/>
                <w:szCs w:val="15"/>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10160</wp:posOffset>
            </wp:positionV>
            <wp:extent cx="25761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76195" cy="7620"/>
                    </a:xfrm>
                    <a:prstGeom prst="rect">
                      <a:avLst/>
                    </a:prstGeom>
                    <a:noFill/>
                  </pic:spPr>
                </pic:pic>
              </a:graphicData>
            </a:graphic>
          </wp:anchor>
        </w:drawing>
      </w:r>
    </w:p>
    <w:p>
      <w:pPr>
        <w:spacing w:after="0" w:line="17" w:lineRule="exact"/>
        <w:rPr>
          <w:sz w:val="20"/>
          <w:szCs w:val="20"/>
          <w:color w:val="auto"/>
        </w:rPr>
      </w:pPr>
    </w:p>
    <w:p>
      <w:pPr>
        <w:ind w:right="2640"/>
        <w:spacing w:after="0" w:line="223" w:lineRule="auto"/>
        <w:rPr>
          <w:sz w:val="20"/>
          <w:szCs w:val="20"/>
          <w:color w:val="auto"/>
        </w:rPr>
      </w:pPr>
      <w:r>
        <w:rPr>
          <w:rFonts w:ascii="Times New Roman" w:cs="Times New Roman" w:eastAsia="Times New Roman" w:hAnsi="Times New Roman"/>
          <w:sz w:val="16"/>
          <w:szCs w:val="16"/>
          <w:i w:val="1"/>
          <w:iCs w:val="1"/>
          <w:u w:val="single" w:color="auto"/>
          <w:color w:val="auto"/>
        </w:rPr>
        <w:t>Performance allocations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allocations by segment for years ended December 31, 2024 and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comprised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-207010</wp:posOffset>
            </wp:positionV>
            <wp:extent cx="25761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57619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6"/>
        </w:trPr>
        <w:tc>
          <w:tcPr>
            <w:tcW w:w="4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82"/>
        </w:trPr>
        <w:tc>
          <w:tcPr>
            <w:tcW w:w="408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8"/>
        </w:trPr>
        <w:tc>
          <w:tcPr>
            <w:tcW w:w="408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2"/>
        </w:trPr>
        <w:tc>
          <w:tcPr>
            <w:tcW w:w="408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1,559.9</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(551.5)</w:t>
            </w: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2,111.4</w:t>
            </w: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w:t>
            </w: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227.7</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64.0</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39 %</w:t>
            </w:r>
          </w:p>
        </w:tc>
      </w:tr>
      <w:tr>
        <w:trPr>
          <w:trHeight w:val="52"/>
        </w:trPr>
        <w:tc>
          <w:tcPr>
            <w:tcW w:w="40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4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228.1</w:t>
            </w: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299.2</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Total performance allocations</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2,015.7</w:t>
            </w: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60" w:type="dxa"/>
            <w:vAlign w:val="bottom"/>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2,104.3</w:t>
            </w:r>
          </w:p>
        </w:tc>
        <w:tc>
          <w:tcPr>
            <w:tcW w:w="20" w:type="dxa"/>
            <w:vAlign w:val="bottom"/>
          </w:tcPr>
          <w:p>
            <w:pPr>
              <w:spacing w:after="0"/>
              <w:rPr>
                <w:sz w:val="15"/>
                <w:szCs w:val="15"/>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10160</wp:posOffset>
            </wp:positionV>
            <wp:extent cx="25914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591435" cy="76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allocations for the year ended December 31, 2024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-101600</wp:posOffset>
            </wp:positionV>
            <wp:extent cx="25914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91435" cy="7620"/>
                    </a:xfrm>
                    <a:prstGeom prst="rect">
                      <a:avLst/>
                    </a:prstGeom>
                    <a:noFill/>
                  </pic:spPr>
                </pic:pic>
              </a:graphicData>
            </a:graphic>
          </wp:anchor>
        </w:drawing>
      </w:r>
    </w:p>
    <w:p>
      <w:pPr>
        <w:jc w:val="both"/>
        <w:ind w:right="2400"/>
        <w:spacing w:after="0" w:line="203"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In the Global Private Equity segment, Performance allocation accruals were primarily driven by appreciation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CP VII, and to a lesser extent appreciation in CP VIII, partially offset by the reversal of Performance allocation accruals in CEP V reflecting portfolio depreciation.</w:t>
      </w:r>
    </w:p>
    <w:p>
      <w:pPr>
        <w:spacing w:after="0" w:line="1" w:lineRule="exact"/>
        <w:rPr>
          <w:sz w:val="20"/>
          <w:szCs w:val="20"/>
          <w:color w:val="auto"/>
        </w:rPr>
      </w:pPr>
    </w:p>
    <w:p>
      <w:pPr>
        <w:ind w:right="2900"/>
        <w:spacing w:after="0" w:line="203" w:lineRule="auto"/>
        <w:rPr>
          <w:sz w:val="20"/>
          <w:szCs w:val="20"/>
          <w:color w:val="auto"/>
        </w:rPr>
      </w:pPr>
      <w:r>
        <w:rPr>
          <w:rFonts w:ascii="Times New Roman" w:cs="Times New Roman" w:eastAsia="Times New Roman" w:hAnsi="Times New Roman"/>
          <w:sz w:val="16"/>
          <w:szCs w:val="16"/>
          <w:color w:val="auto"/>
        </w:rPr>
        <w:t>•In the Global Credit segment, Performance allocation accruals were primarily driven by appreciation in opportunistic credit funds.</w:t>
      </w:r>
    </w:p>
    <w:p>
      <w:pPr>
        <w:spacing w:after="0" w:line="1" w:lineRule="exact"/>
        <w:rPr>
          <w:sz w:val="20"/>
          <w:szCs w:val="20"/>
          <w:color w:val="auto"/>
        </w:rPr>
      </w:pPr>
    </w:p>
    <w:p>
      <w:pPr>
        <w:ind w:right="2940"/>
        <w:spacing w:after="0" w:line="203" w:lineRule="auto"/>
        <w:rPr>
          <w:sz w:val="20"/>
          <w:szCs w:val="20"/>
          <w:color w:val="auto"/>
        </w:rPr>
      </w:pPr>
      <w:r>
        <w:rPr>
          <w:rFonts w:ascii="Times New Roman" w:cs="Times New Roman" w:eastAsia="Times New Roman" w:hAnsi="Times New Roman"/>
          <w:sz w:val="16"/>
          <w:szCs w:val="16"/>
          <w:color w:val="auto"/>
        </w:rPr>
        <w:t>•In the Global Investment Solutions segment, Performance allocation accruals were primarily driven by appreciation in secondaries &amp; portfolio finance and co -investment funds. Performance allocations for the year ended December 31, 2023 included:</w:t>
      </w:r>
    </w:p>
    <w:p>
      <w:pPr>
        <w:spacing w:after="0" w:line="1" w:lineRule="exact"/>
        <w:rPr>
          <w:sz w:val="20"/>
          <w:szCs w:val="20"/>
          <w:color w:val="auto"/>
        </w:rPr>
      </w:pPr>
    </w:p>
    <w:p>
      <w:pPr>
        <w:ind w:right="2220"/>
        <w:spacing w:after="0" w:line="203" w:lineRule="auto"/>
        <w:rPr>
          <w:sz w:val="20"/>
          <w:szCs w:val="20"/>
          <w:color w:val="auto"/>
        </w:rPr>
      </w:pPr>
      <w:r>
        <w:rPr>
          <w:rFonts w:ascii="Times New Roman" w:cs="Times New Roman" w:eastAsia="Times New Roman" w:hAnsi="Times New Roman"/>
          <w:sz w:val="16"/>
          <w:szCs w:val="16"/>
          <w:color w:val="auto"/>
        </w:rPr>
        <w:t>•In the Global Private Equity segment, the reversal of Performance allocations were primarily driven by CP VII, as preferred returns outpaced portfolio appreciation, and the impact of portfolio depreciation in CP VI.</w:t>
      </w:r>
    </w:p>
    <w:p>
      <w:pPr>
        <w:spacing w:after="0" w:line="1" w:lineRule="exact"/>
        <w:rPr>
          <w:sz w:val="20"/>
          <w:szCs w:val="20"/>
          <w:color w:val="auto"/>
        </w:rPr>
      </w:pPr>
    </w:p>
    <w:p>
      <w:pPr>
        <w:ind w:right="2320"/>
        <w:spacing w:after="0" w:line="274" w:lineRule="auto"/>
        <w:rPr>
          <w:sz w:val="20"/>
          <w:szCs w:val="20"/>
          <w:color w:val="auto"/>
        </w:rPr>
      </w:pPr>
      <w:r>
        <w:rPr>
          <w:rFonts w:ascii="Times New Roman" w:cs="Times New Roman" w:eastAsia="Times New Roman" w:hAnsi="Times New Roman"/>
          <w:sz w:val="16"/>
          <w:szCs w:val="16"/>
          <w:color w:val="auto"/>
        </w:rPr>
        <w:t>•In the Global Credit segment, Performance allocation accruals were primarily driven by portfolio appreciation in 116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680"/>
        <w:spacing w:after="0" w:line="203" w:lineRule="auto"/>
        <w:rPr>
          <w:sz w:val="20"/>
          <w:szCs w:val="20"/>
          <w:color w:val="auto"/>
        </w:rPr>
      </w:pPr>
      <w:r>
        <w:rPr>
          <w:rFonts w:ascii="Times New Roman" w:cs="Times New Roman" w:eastAsia="Times New Roman" w:hAnsi="Times New Roman"/>
          <w:sz w:val="16"/>
          <w:szCs w:val="16"/>
          <w:color w:val="auto"/>
        </w:rPr>
        <w:t>•In the Global Investment Solutions segment, Performance allocation accruals were primarily driven by our secondaries &amp; portfolio finance and co-investment strategies.</w:t>
      </w:r>
    </w:p>
    <w:p>
      <w:pPr>
        <w:spacing w:after="0" w:line="204" w:lineRule="auto"/>
        <w:rPr>
          <w:sz w:val="20"/>
          <w:szCs w:val="20"/>
          <w:color w:val="auto"/>
        </w:rPr>
      </w:pPr>
      <w:r>
        <w:rPr>
          <w:rFonts w:ascii="Times New Roman" w:cs="Times New Roman" w:eastAsia="Times New Roman" w:hAnsi="Times New Roman"/>
          <w:sz w:val="16"/>
          <w:szCs w:val="16"/>
          <w:i w:val="1"/>
          <w:iCs w:val="1"/>
          <w:u w:val="single" w:color="auto"/>
          <w:color w:val="auto"/>
        </w:rPr>
        <w:t>Principal investment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increase in Principal investment income for the year ended December 31, 2024</w:t>
      </w:r>
    </w:p>
    <w:p>
      <w:pPr>
        <w:spacing w:after="0" w:line="204" w:lineRule="auto"/>
        <w:rPr>
          <w:sz w:val="20"/>
          <w:szCs w:val="20"/>
          <w:color w:val="auto"/>
        </w:rPr>
      </w:pPr>
      <w:r>
        <w:rPr>
          <w:rFonts w:ascii="Times New Roman" w:cs="Times New Roman" w:eastAsia="Times New Roman" w:hAnsi="Times New Roman"/>
          <w:sz w:val="16"/>
          <w:szCs w:val="16"/>
          <w:color w:val="auto"/>
        </w:rPr>
        <w:t>compared to 2023 was primarily due to an investment loss of $104.0 million during the year ended December 31, 2023 related</w:t>
      </w:r>
    </w:p>
    <w:p>
      <w:pPr>
        <w:spacing w:after="0" w:line="203" w:lineRule="auto"/>
        <w:rPr>
          <w:sz w:val="20"/>
          <w:szCs w:val="20"/>
          <w:color w:val="auto"/>
        </w:rPr>
      </w:pPr>
      <w:r>
        <w:rPr>
          <w:rFonts w:ascii="Times New Roman" w:cs="Times New Roman" w:eastAsia="Times New Roman" w:hAnsi="Times New Roman"/>
          <w:sz w:val="16"/>
          <w:szCs w:val="16"/>
          <w:color w:val="auto"/>
        </w:rPr>
        <w:t>to our equity method investment in Carlyle FRL (see Note 4, Investments, to the consolidated financial statements in Item 8 of</w:t>
      </w:r>
    </w:p>
    <w:p>
      <w:pPr>
        <w:spacing w:after="0" w:line="204" w:lineRule="auto"/>
        <w:rPr>
          <w:sz w:val="20"/>
          <w:szCs w:val="20"/>
          <w:color w:val="auto"/>
        </w:rPr>
      </w:pPr>
      <w:r>
        <w:rPr>
          <w:rFonts w:ascii="Times New Roman" w:cs="Times New Roman" w:eastAsia="Times New Roman" w:hAnsi="Times New Roman"/>
          <w:sz w:val="16"/>
          <w:szCs w:val="16"/>
          <w:color w:val="auto"/>
        </w:rPr>
        <w:t>this Annual Report on Form 10-K for more information). This was partially offset by a decrease in investment income in our</w:t>
      </w:r>
    </w:p>
    <w:p>
      <w:pPr>
        <w:spacing w:after="0" w:line="203" w:lineRule="auto"/>
        <w:rPr>
          <w:sz w:val="20"/>
          <w:szCs w:val="20"/>
          <w:color w:val="auto"/>
        </w:rPr>
      </w:pPr>
      <w:r>
        <w:rPr>
          <w:rFonts w:ascii="Times New Roman" w:cs="Times New Roman" w:eastAsia="Times New Roman" w:hAnsi="Times New Roman"/>
          <w:sz w:val="16"/>
          <w:szCs w:val="16"/>
          <w:color w:val="auto"/>
        </w:rPr>
        <w:t>other Global Credit products related to a $45.5 million reversal of previously recorded unrealized investment income on our</w:t>
      </w:r>
    </w:p>
    <w:p>
      <w:pPr>
        <w:spacing w:after="0" w:line="204" w:lineRule="auto"/>
        <w:rPr>
          <w:sz w:val="20"/>
          <w:szCs w:val="20"/>
          <w:color w:val="auto"/>
        </w:rPr>
      </w:pPr>
      <w:r>
        <w:rPr>
          <w:rFonts w:ascii="Times New Roman" w:cs="Times New Roman" w:eastAsia="Times New Roman" w:hAnsi="Times New Roman"/>
          <w:sz w:val="16"/>
          <w:szCs w:val="16"/>
          <w:color w:val="auto"/>
        </w:rPr>
        <w:t>investment in the BDC Preferred Shares due to the proposed merger between CSL and another Carlyle-advised BDC, which we</w:t>
      </w:r>
    </w:p>
    <w:p>
      <w:pPr>
        <w:spacing w:after="0" w:line="203" w:lineRule="auto"/>
        <w:rPr>
          <w:sz w:val="20"/>
          <w:szCs w:val="20"/>
          <w:color w:val="auto"/>
        </w:rPr>
      </w:pPr>
      <w:r>
        <w:rPr>
          <w:rFonts w:ascii="Times New Roman" w:cs="Times New Roman" w:eastAsia="Times New Roman" w:hAnsi="Times New Roman"/>
          <w:sz w:val="16"/>
          <w:szCs w:val="16"/>
          <w:color w:val="auto"/>
        </w:rPr>
        <w:t>expect will result in higher fund management fees in CSL in future periods (refer to Note 9, Related Party Transactions, to the</w:t>
      </w:r>
    </w:p>
    <w:p>
      <w:pPr>
        <w:spacing w:after="0" w:line="204" w:lineRule="auto"/>
        <w:rPr>
          <w:sz w:val="20"/>
          <w:szCs w:val="20"/>
          <w:color w:val="auto"/>
        </w:rPr>
      </w:pPr>
      <w:r>
        <w:rPr>
          <w:rFonts w:ascii="Times New Roman" w:cs="Times New Roman" w:eastAsia="Times New Roman" w:hAnsi="Times New Roman"/>
          <w:sz w:val="16"/>
          <w:szCs w:val="16"/>
          <w:color w:val="auto"/>
        </w:rPr>
        <w:t>consolidated financial statements for more information). The increase in Principal investment income was further offset by a</w:t>
      </w:r>
    </w:p>
    <w:p>
      <w:pPr>
        <w:spacing w:after="0" w:line="204" w:lineRule="auto"/>
        <w:rPr>
          <w:sz w:val="20"/>
          <w:szCs w:val="20"/>
          <w:color w:val="auto"/>
        </w:rPr>
      </w:pPr>
      <w:r>
        <w:rPr>
          <w:rFonts w:ascii="Times New Roman" w:cs="Times New Roman" w:eastAsia="Times New Roman" w:hAnsi="Times New Roman"/>
          <w:sz w:val="16"/>
          <w:szCs w:val="16"/>
          <w:color w:val="auto"/>
        </w:rPr>
        <w:t>decrease investment income related to our equity method investment in the general partners of certain carry funds advised by</w:t>
      </w:r>
    </w:p>
    <w:p>
      <w:pPr>
        <w:spacing w:after="0" w:line="203" w:lineRule="auto"/>
        <w:rPr>
          <w:sz w:val="20"/>
          <w:szCs w:val="20"/>
          <w:color w:val="auto"/>
        </w:rPr>
      </w:pPr>
      <w:r>
        <w:rPr>
          <w:rFonts w:ascii="Times New Roman" w:cs="Times New Roman" w:eastAsia="Times New Roman" w:hAnsi="Times New Roman"/>
          <w:sz w:val="16"/>
          <w:szCs w:val="16"/>
          <w:color w:val="auto"/>
        </w:rPr>
        <w:t>NGP. In addition, Other investment income in the year ended December 31, 2023 included an unrealized investment loss of</w:t>
      </w:r>
    </w:p>
    <w:p>
      <w:pPr>
        <w:spacing w:after="0" w:line="204" w:lineRule="auto"/>
        <w:rPr>
          <w:sz w:val="20"/>
          <w:szCs w:val="20"/>
          <w:color w:val="auto"/>
        </w:rPr>
      </w:pPr>
      <w:r>
        <w:rPr>
          <w:rFonts w:ascii="Times New Roman" w:cs="Times New Roman" w:eastAsia="Times New Roman" w:hAnsi="Times New Roman"/>
          <w:sz w:val="16"/>
          <w:szCs w:val="16"/>
          <w:color w:val="auto"/>
        </w:rPr>
        <w:t>$13.3 million associated with the remeasurement of a corporate investment in equity securities, which was previously carried at</w:t>
      </w:r>
    </w:p>
    <w:p>
      <w:pPr>
        <w:spacing w:after="0" w:line="203" w:lineRule="auto"/>
        <w:rPr>
          <w:sz w:val="20"/>
          <w:szCs w:val="20"/>
          <w:color w:val="auto"/>
        </w:rPr>
      </w:pPr>
      <w:r>
        <w:rPr>
          <w:rFonts w:ascii="Times New Roman" w:cs="Times New Roman" w:eastAsia="Times New Roman" w:hAnsi="Times New Roman"/>
          <w:sz w:val="16"/>
          <w:szCs w:val="16"/>
          <w:color w:val="auto"/>
        </w:rPr>
        <w:t xml:space="preserve">cost, resulting from an observable price change pursuant to ASC 321, </w:t>
      </w:r>
      <w:r>
        <w:rPr>
          <w:rFonts w:ascii="Times New Roman" w:cs="Times New Roman" w:eastAsia="Times New Roman" w:hAnsi="Times New Roman"/>
          <w:sz w:val="16"/>
          <w:szCs w:val="16"/>
          <w:i w:val="1"/>
          <w:iCs w:val="1"/>
          <w:color w:val="auto"/>
        </w:rPr>
        <w:t>Investments–Equity Securities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right="1540" w:firstLine="3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Interest and other income of Consolidated Funds. </w:t>
      </w:r>
      <w:r>
        <w:rPr>
          <w:rFonts w:ascii="Times New Roman" w:cs="Times New Roman" w:eastAsia="Times New Roman" w:hAnsi="Times New Roman"/>
          <w:sz w:val="16"/>
          <w:szCs w:val="16"/>
          <w:color w:val="auto"/>
        </w:rPr>
        <w:t>Interest and other income of Consolidated Funds increased $61.5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year ended December 31, 2024 as compared to 2023. Substantially all of the increase in interest and other income of Consolidated Funds relates to increased interest income from consolidated CLOs. Our CLOs generate interest income primarily from investments in bonds and loans, inclusive of amortization of discounts and generate other income from consent and amendment fees. Substantially all interest and other income of the CLOs and other consolidated funds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Compensation and benefits. </w:t>
      </w:r>
      <w:r>
        <w:rPr>
          <w:rFonts w:ascii="Times New Roman" w:cs="Times New Roman" w:eastAsia="Times New Roman" w:hAnsi="Times New Roman"/>
          <w:sz w:val="16"/>
          <w:szCs w:val="16"/>
          <w:color w:val="auto"/>
        </w:rPr>
        <w:t>Total compensation and benefits increased $328.4 million for the year ended</w:t>
      </w:r>
    </w:p>
    <w:p>
      <w:pPr>
        <w:spacing w:after="0" w:line="204" w:lineRule="auto"/>
        <w:rPr>
          <w:sz w:val="20"/>
          <w:szCs w:val="20"/>
          <w:color w:val="auto"/>
        </w:rPr>
      </w:pPr>
      <w:r>
        <w:rPr>
          <w:rFonts w:ascii="Times New Roman" w:cs="Times New Roman" w:eastAsia="Times New Roman" w:hAnsi="Times New Roman"/>
          <w:sz w:val="16"/>
          <w:szCs w:val="16"/>
          <w:color w:val="auto"/>
        </w:rPr>
        <w:t>December 31, 2024 compared to 2023, driven by an increase in Performance allocations and incentive fee related compensation</w:t>
      </w:r>
    </w:p>
    <w:p>
      <w:pPr>
        <w:spacing w:after="0" w:line="203" w:lineRule="auto"/>
        <w:rPr>
          <w:sz w:val="20"/>
          <w:szCs w:val="20"/>
          <w:color w:val="auto"/>
        </w:rPr>
      </w:pPr>
      <w:r>
        <w:rPr>
          <w:rFonts w:ascii="Times New Roman" w:cs="Times New Roman" w:eastAsia="Times New Roman" w:hAnsi="Times New Roman"/>
          <w:sz w:val="16"/>
          <w:szCs w:val="16"/>
          <w:color w:val="auto"/>
        </w:rPr>
        <w:t>of $257.8 million and an increase in Equity-based compensation of $218.8 million, partially offset by a decrease in Cash-based</w:t>
      </w:r>
    </w:p>
    <w:p>
      <w:pPr>
        <w:spacing w:after="0" w:line="204" w:lineRule="auto"/>
        <w:rPr>
          <w:sz w:val="20"/>
          <w:szCs w:val="20"/>
          <w:color w:val="auto"/>
        </w:rPr>
      </w:pPr>
      <w:r>
        <w:rPr>
          <w:rFonts w:ascii="Times New Roman" w:cs="Times New Roman" w:eastAsia="Times New Roman" w:hAnsi="Times New Roman"/>
          <w:sz w:val="16"/>
          <w:szCs w:val="16"/>
          <w:color w:val="auto"/>
        </w:rPr>
        <w:t>compensation and benefits of $148.2 million.</w:t>
      </w:r>
    </w:p>
    <w:p>
      <w:pPr>
        <w:spacing w:after="0" w:line="203" w:lineRule="auto"/>
        <w:rPr>
          <w:sz w:val="20"/>
          <w:szCs w:val="20"/>
          <w:color w:val="auto"/>
        </w:rPr>
      </w:pPr>
      <w:r>
        <w:rPr>
          <w:rFonts w:ascii="Times New Roman" w:cs="Times New Roman" w:eastAsia="Times New Roman" w:hAnsi="Times New Roman"/>
          <w:sz w:val="16"/>
          <w:szCs w:val="16"/>
          <w:i w:val="1"/>
          <w:iCs w:val="1"/>
          <w:u w:val="single" w:color="auto"/>
          <w:color w:val="auto"/>
        </w:rPr>
        <w:t>Cash-based compensation and benefits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decrease in Cash-based compensation and benefits was primarily due to</w:t>
      </w:r>
    </w:p>
    <w:p>
      <w:pPr>
        <w:spacing w:after="0" w:line="1" w:lineRule="exact"/>
        <w:rPr>
          <w:sz w:val="20"/>
          <w:szCs w:val="20"/>
          <w:color w:val="auto"/>
        </w:rPr>
      </w:pPr>
    </w:p>
    <w:p>
      <w:pPr>
        <w:ind w:right="1460"/>
        <w:spacing w:after="0" w:line="232" w:lineRule="auto"/>
        <w:rPr>
          <w:sz w:val="20"/>
          <w:szCs w:val="20"/>
          <w:color w:val="auto"/>
        </w:rPr>
      </w:pPr>
      <w:r>
        <w:rPr>
          <w:rFonts w:ascii="Times New Roman" w:cs="Times New Roman" w:eastAsia="Times New Roman" w:hAnsi="Times New Roman"/>
          <w:sz w:val="14"/>
          <w:szCs w:val="14"/>
          <w:color w:val="auto"/>
        </w:rPr>
        <w:t xml:space="preserve">the updates to our compensation program under which we pay a greater portion of compensation from performance allocations. The decrease was partially offset by an increase in headcount as well as incentive compensation related to capital markets fees. </w:t>
      </w:r>
      <w:r>
        <w:rPr>
          <w:rFonts w:ascii="Times New Roman" w:cs="Times New Roman" w:eastAsia="Times New Roman" w:hAnsi="Times New Roman"/>
          <w:sz w:val="14"/>
          <w:szCs w:val="14"/>
          <w:i w:val="1"/>
          <w:iCs w:val="1"/>
          <w:u w:val="single" w:color="auto"/>
          <w:color w:val="auto"/>
        </w:rPr>
        <w:t>Equity-based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increase in Equity-based compensation was primarily due to an increase in grants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restricted stock units for the year ended December 31, 2024 compared to 2023. In February 2024, we granted 18.1 million restricted stock units, including 13.2 million restricted stock units granted that are subject to vesting based on the achievement of stock price performance conditions over a service period of three years. The grant date fair value of the awards subject to stock price performance conditions was approximately $347 million and the year ended December 31, 2024 includes</w:t>
      </w:r>
    </w:p>
    <w:p>
      <w:pPr>
        <w:spacing w:after="0" w:line="3"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 xml:space="preserve">$201.6 million of equity-based compensation expense related to these awards. Equity-based compensation related to these awards will decline in 2025 as the recognition of expense for these awards is more heavily weighted to the earlier years of the service period. Such expense is incurred regardless of whether the stock price performance conditions are achieved. During the year ended December 31, 2024, stock price performance conditions were achieved for the first tranche of 4.3 million performance-based restricted stock units granted in February 2024, which vested in February 2025. In February 2023, we granted a total of 9.9 million restricted stock units to our personnel, as well as an aggregate 6.8 million of time- and performance- based inducement equity awards in connection with the appointment of our Chief Executive Officer. </w:t>
      </w:r>
      <w:r>
        <w:rPr>
          <w:rFonts w:ascii="Times New Roman" w:cs="Times New Roman" w:eastAsia="Times New Roman" w:hAnsi="Times New Roman"/>
          <w:sz w:val="16"/>
          <w:szCs w:val="16"/>
          <w:i w:val="1"/>
          <w:iCs w:val="1"/>
          <w:u w:val="single" w:color="auto"/>
          <w:color w:val="auto"/>
        </w:rPr>
        <w:t>Performance allocations and incentive fee related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increase in Performance allocations and</w:t>
      </w:r>
    </w:p>
    <w:p>
      <w:pPr>
        <w:spacing w:after="0" w:line="3" w:lineRule="exact"/>
        <w:rPr>
          <w:sz w:val="20"/>
          <w:szCs w:val="20"/>
          <w:color w:val="auto"/>
        </w:rPr>
      </w:pPr>
    </w:p>
    <w:p>
      <w:pPr>
        <w:ind w:right="1580"/>
        <w:spacing w:after="0" w:line="250" w:lineRule="auto"/>
        <w:rPr>
          <w:sz w:val="20"/>
          <w:szCs w:val="20"/>
          <w:color w:val="auto"/>
        </w:rPr>
      </w:pPr>
      <w:r>
        <w:rPr>
          <w:rFonts w:ascii="Times New Roman" w:cs="Times New Roman" w:eastAsia="Times New Roman" w:hAnsi="Times New Roman"/>
          <w:sz w:val="14"/>
          <w:szCs w:val="14"/>
          <w:color w:val="auto"/>
        </w:rPr>
        <w:t>incentive fee related compensation expense was primarily driven by the impact of the increase in Performance allocations, on which Performance allocations and incentive fee related compensation is based, partially offset by a one-time $1.1 billion charge in 2023 related to the updated employee compensation program effective December 31, 2023, which increased the</w:t>
      </w:r>
    </w:p>
    <w:p>
      <w:pPr>
        <w:sectPr>
          <w:pgSz w:w="11900" w:h="16840" w:orient="portrait"/>
          <w:cols w:equalWidth="0" w:num="1">
            <w:col w:w="9400"/>
          </w:cols>
          <w:pgMar w:left="1060" w:top="555" w:right="1440" w:bottom="13"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color w:val="auto"/>
        </w:rPr>
        <w:t>proportion of performance allocations revenue that will be used to compensate employees.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expenses. </w:t>
      </w:r>
      <w:r>
        <w:rPr>
          <w:rFonts w:ascii="Times New Roman" w:cs="Times New Roman" w:eastAsia="Times New Roman" w:hAnsi="Times New Roman"/>
          <w:sz w:val="16"/>
          <w:szCs w:val="16"/>
          <w:color w:val="auto"/>
        </w:rPr>
        <w:t>General, administrative and other expenses increased $13.5 million for</w:t>
      </w:r>
    </w:p>
    <w:p>
      <w:pPr>
        <w:ind w:right="1500"/>
        <w:spacing w:after="0" w:line="250" w:lineRule="auto"/>
        <w:rPr>
          <w:sz w:val="20"/>
          <w:szCs w:val="20"/>
          <w:color w:val="auto"/>
        </w:rPr>
      </w:pPr>
      <w:r>
        <w:rPr>
          <w:rFonts w:ascii="Times New Roman" w:cs="Times New Roman" w:eastAsia="Times New Roman" w:hAnsi="Times New Roman"/>
          <w:sz w:val="14"/>
          <w:szCs w:val="14"/>
          <w:color w:val="auto"/>
        </w:rPr>
        <w:t>the year ended December 31, 2024 compared to 2023, primarily driven by an increase in partnership expenses paid by the Company on behalf of the Carlyle funds of $11.8 million, an increase in liabilities for litigation-related contingencies, regulatory examination and inquiries, and other matters of $8.5 million, as well as increases in external finders fees and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20"/>
        <w:spacing w:after="0" w:line="203" w:lineRule="auto"/>
        <w:rPr>
          <w:sz w:val="20"/>
          <w:szCs w:val="20"/>
          <w:color w:val="auto"/>
        </w:rPr>
      </w:pPr>
      <w:r>
        <w:rPr>
          <w:rFonts w:ascii="Times New Roman" w:cs="Times New Roman" w:eastAsia="Times New Roman" w:hAnsi="Times New Roman"/>
          <w:sz w:val="16"/>
          <w:szCs w:val="16"/>
          <w:color w:val="auto"/>
        </w:rPr>
        <w:t>related costs. These increases were partially offset by a decrease in foreign currency remeasurement adjustments of $16.2 million, reflecting the impact of remeasurement gains on unrealized performance allocations at certain AlpInvest subsidiaries during the year ended December 31, 2024, as well as the benefit of lower value-added tax (“VAT”) expense in Asia and lower travel and entertainment expense.</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 xml:space="preserve">Interest and other expenses of Consolidated Funds. </w:t>
      </w:r>
      <w:r>
        <w:rPr>
          <w:rFonts w:ascii="Times New Roman" w:cs="Times New Roman" w:eastAsia="Times New Roman" w:hAnsi="Times New Roman"/>
          <w:sz w:val="16"/>
          <w:szCs w:val="16"/>
          <w:color w:val="auto"/>
        </w:rPr>
        <w:t>Interest and other expenses of Consolidated Funds increased</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$145.8 million for the year ended December 31, 2024 as compared to 2023, primarily due to higher interest expense on the consolidated CLOs. The CLOs incur interest expense on their loans payable and incur other expenses consisting of trustee fees, rating agency fees and professional fees. Substantially all interest and other income of our CLOs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2" w:lineRule="exact"/>
        <w:rPr>
          <w:sz w:val="20"/>
          <w:szCs w:val="20"/>
          <w:color w:val="auto"/>
        </w:rPr>
      </w:pPr>
    </w:p>
    <w:p>
      <w:pPr>
        <w:ind w:right="2100"/>
        <w:spacing w:after="0" w:line="210" w:lineRule="auto"/>
        <w:rPr>
          <w:sz w:val="20"/>
          <w:szCs w:val="20"/>
          <w:color w:val="auto"/>
        </w:rPr>
      </w:pPr>
      <w:r>
        <w:rPr>
          <w:rFonts w:ascii="Times New Roman" w:cs="Times New Roman" w:eastAsia="Times New Roman" w:hAnsi="Times New Roman"/>
          <w:sz w:val="16"/>
          <w:szCs w:val="16"/>
          <w:i w:val="1"/>
          <w:iCs w:val="1"/>
          <w:color w:val="auto"/>
        </w:rPr>
        <w:t xml:space="preserve">Net investment income (loss) of Consolidated Funds. </w:t>
      </w:r>
      <w:r>
        <w:rPr>
          <w:rFonts w:ascii="Times New Roman" w:cs="Times New Roman" w:eastAsia="Times New Roman" w:hAnsi="Times New Roman"/>
          <w:sz w:val="16"/>
          <w:szCs w:val="16"/>
          <w:color w:val="auto"/>
        </w:rPr>
        <w:t>The table below summarizes the components of Net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(loss) of Consolidated Funds, including our consolidated CLOs and certain other funds: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1"/>
        </w:trPr>
        <w:tc>
          <w:tcPr>
            <w:tcW w:w="398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3980" w:type="dxa"/>
            <w:vAlign w:val="bottom"/>
          </w:tcPr>
          <w:p>
            <w:pPr>
              <w:spacing w:after="0"/>
              <w:rPr>
                <w:sz w:val="16"/>
                <w:szCs w:val="16"/>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realized losses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(80.8)</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(25)%</w:t>
            </w: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unrealized gains</w:t>
            </w:r>
          </w:p>
        </w:tc>
        <w:tc>
          <w:tcPr>
            <w:tcW w:w="4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(170.6)</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(52)%</w:t>
            </w:r>
          </w:p>
        </w:tc>
      </w:tr>
      <w:tr>
        <w:trPr>
          <w:trHeight w:val="192"/>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gains</w:t>
            </w:r>
          </w:p>
        </w:tc>
        <w:tc>
          <w:tcPr>
            <w:tcW w:w="4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96.4</w:t>
            </w:r>
          </w:p>
        </w:tc>
        <w:tc>
          <w:tcPr>
            <w:tcW w:w="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246.9</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(150.5)</w:t>
            </w:r>
          </w:p>
        </w:tc>
        <w:tc>
          <w:tcPr>
            <w:tcW w:w="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Losses from liabilities of CLOs</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167.6</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(70)%</w:t>
            </w:r>
          </w:p>
        </w:tc>
      </w:tr>
      <w:tr>
        <w:trPr>
          <w:trHeight w:val="172"/>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investment income of Consolidated Funds</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w:t>
            </w:r>
          </w:p>
        </w:tc>
      </w:tr>
    </w:tbl>
    <w:p>
      <w:pPr>
        <w:spacing w:after="0" w:line="225" w:lineRule="auto"/>
        <w:rPr>
          <w:sz w:val="20"/>
          <w:szCs w:val="20"/>
          <w:color w:val="auto"/>
        </w:rPr>
      </w:pPr>
      <w:r>
        <w:rPr>
          <w:rFonts w:ascii="Times New Roman" w:cs="Times New Roman" w:eastAsia="Times New Roman" w:hAnsi="Times New Roman"/>
          <w:sz w:val="16"/>
          <w:szCs w:val="16"/>
          <w:i w:val="1"/>
          <w:iCs w:val="1"/>
          <w:color w:val="auto"/>
        </w:rPr>
        <w:t xml:space="preserve">Provision (benefit) for income taxes. </w:t>
      </w:r>
      <w:r>
        <w:rPr>
          <w:rFonts w:ascii="Times New Roman" w:cs="Times New Roman" w:eastAsia="Times New Roman" w:hAnsi="Times New Roman"/>
          <w:sz w:val="16"/>
          <w:szCs w:val="16"/>
          <w:color w:val="auto"/>
        </w:rPr>
        <w:t>For the years ended December 31, 2024 and 2023, the Company’s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-100965</wp:posOffset>
            </wp:positionV>
            <wp:extent cx="25380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38095" cy="7620"/>
                    </a:xfrm>
                    <a:prstGeom prst="rect">
                      <a:avLst/>
                    </a:prstGeom>
                    <a:noFill/>
                  </pic:spPr>
                </pic:pic>
              </a:graphicData>
            </a:graphic>
          </wp:anchor>
        </w:drawing>
      </w:r>
    </w:p>
    <w:p>
      <w:pPr>
        <w:ind w:right="1440"/>
        <w:spacing w:after="0" w:line="203" w:lineRule="auto"/>
        <w:rPr>
          <w:sz w:val="20"/>
          <w:szCs w:val="20"/>
          <w:color w:val="auto"/>
        </w:rPr>
      </w:pPr>
      <w:r>
        <w:rPr>
          <w:rFonts w:ascii="Times New Roman" w:cs="Times New Roman" w:eastAsia="Times New Roman" w:hAnsi="Times New Roman"/>
          <w:sz w:val="16"/>
          <w:szCs w:val="16"/>
          <w:color w:val="auto"/>
        </w:rPr>
        <w:t>(benefit) for income taxes was $ 302.6 million and $(104.2) million, respectively, and the Company’s effective tax rates were 21.7% and 17.3%, respectively. The effective tax rate for the years ended December 31, 2024 and 2023 primarily comprises the 21% U.S. federal corporate income tax rate plus the impact of U.S. state and foreign corporate income tax provision (benefit) and non -controlling interests. The effective tax rate for the year ended December 31, 2023 also differs from the statutory rate due to a net tax provision from non-deductible restricted stock units.</w:t>
      </w:r>
    </w:p>
    <w:p>
      <w:pPr>
        <w:spacing w:after="0" w:line="206" w:lineRule="auto"/>
        <w:rPr>
          <w:sz w:val="20"/>
          <w:szCs w:val="20"/>
          <w:color w:val="auto"/>
        </w:rPr>
      </w:pPr>
      <w:r>
        <w:rPr>
          <w:rFonts w:ascii="Times New Roman" w:cs="Times New Roman" w:eastAsia="Times New Roman" w:hAnsi="Times New Roman"/>
          <w:sz w:val="16"/>
          <w:szCs w:val="16"/>
          <w:color w:val="auto"/>
        </w:rPr>
        <w:t>As of December 31, 2024 and 2023, the Company had federal, state, local and foreign taxes payable of $46.2 million</w:t>
      </w:r>
    </w:p>
    <w:p>
      <w:pPr>
        <w:ind w:right="1440"/>
        <w:spacing w:after="0" w:line="203" w:lineRule="auto"/>
        <w:rPr>
          <w:sz w:val="20"/>
          <w:szCs w:val="20"/>
          <w:color w:val="auto"/>
        </w:rPr>
      </w:pPr>
      <w:r>
        <w:rPr>
          <w:rFonts w:ascii="Times New Roman" w:cs="Times New Roman" w:eastAsia="Times New Roman" w:hAnsi="Times New Roman"/>
          <w:sz w:val="16"/>
          <w:szCs w:val="16"/>
          <w:color w:val="auto"/>
        </w:rPr>
        <w:t>and $46.9 million, respectively, which is recorded as a component of accounts payable, accrued expenses and other liabilities in the accompanying consolidated balance sheets.</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Net income (loss) attributable to non-controlling interests in consolidated entities. </w:t>
      </w:r>
      <w:r>
        <w:rPr>
          <w:rFonts w:ascii="Times New Roman" w:cs="Times New Roman" w:eastAsia="Times New Roman" w:hAnsi="Times New Roman"/>
          <w:sz w:val="16"/>
          <w:szCs w:val="16"/>
          <w:color w:val="auto"/>
        </w:rPr>
        <w:t>Net income attributable to non-controlling interests in consolidated entities was $70.7 million and $111.7 million for the years ended December 31, 2024 and 2023, respectively. These amounts are primarily attributable to the net earnings of the Consolidated Funds for each period, which are substantially all allocated to the related fund’s limited partners or CLO investors, as well as net earnings from our Insurance Solutions business and certain other products that are allocated to certain third- party investors. The net income (loss) of our Consolidated Funds, after eliminations, was $8.7 million and $82.6 million for the years ended December 31, 2024 and 2023, respectively. These amounts also reflect the net income attributable to non-controlling interests in carried interest, giveback obligations, and cash held for carried interest distributions.</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 w:lineRule="exact"/>
        <w:rPr>
          <w:sz w:val="20"/>
          <w:szCs w:val="20"/>
          <w:color w:val="auto"/>
        </w:rPr>
      </w:pPr>
    </w:p>
    <w:p>
      <w:pPr>
        <w:ind w:right="1580"/>
        <w:spacing w:after="0" w:line="207" w:lineRule="auto"/>
        <w:rPr>
          <w:sz w:val="20"/>
          <w:szCs w:val="20"/>
          <w:color w:val="auto"/>
        </w:rPr>
      </w:pPr>
      <w:r>
        <w:rPr>
          <w:rFonts w:ascii="Times New Roman" w:cs="Times New Roman" w:eastAsia="Times New Roman" w:hAnsi="Times New Roman"/>
          <w:sz w:val="16"/>
          <w:szCs w:val="16"/>
          <w:color w:val="auto"/>
        </w:rPr>
        <w:t>The following tables set forth information in the format used by management when making resource deployment decisions and in assessing performance of our segments. These Non-GAAP financial measures are presented for the years ended December 31, 2024 and 2023. Our Non -GAAP financial measures exclude the effects of unrealized performance allocations net of related compensation expense, unrealized principal investment income, consolidated funds, acquisition and disposition -related items including amortization and any impairment charges of acquired intangible assets and contingent consideration taking the form of earn-outs, charges associated with the Conversion, impairment charges associated with lease right-of-use assets, gains or losses from retirement of debt, charges associated with contract terminations and employee severance, charges associated with equity-based compensation, changes in the tax receivable agreement liability, corporate actions, and infrequently occurring or unusual events.</w:t>
      </w:r>
    </w:p>
    <w:p>
      <w:pPr>
        <w:sectPr>
          <w:pgSz w:w="11900" w:h="16840" w:orient="portrait"/>
          <w:cols w:equalWidth="0" w:num="1">
            <w:col w:w="9400"/>
          </w:cols>
          <w:pgMar w:left="1060" w:top="547" w:right="1440"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18" w:lineRule="auto"/>
        <w:rPr>
          <w:sz w:val="20"/>
          <w:szCs w:val="20"/>
          <w:color w:val="auto"/>
        </w:rPr>
      </w:pPr>
      <w:r>
        <w:rPr>
          <w:rFonts w:ascii="Times New Roman" w:cs="Times New Roman" w:eastAsia="Times New Roman" w:hAnsi="Times New Roman"/>
          <w:sz w:val="16"/>
          <w:szCs w:val="16"/>
          <w:color w:val="auto"/>
        </w:rPr>
        <w:t>The following table shows our total segment DE and FRE for the years ended December 31, 2024 and 2023.</w:t>
      </w: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50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Revenues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3,655.4</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3,405.1</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Expenses</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2,129.9</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1,974.6</w:t>
            </w:r>
          </w:p>
        </w:tc>
        <w:tc>
          <w:tcPr>
            <w:tcW w:w="0" w:type="dxa"/>
            <w:vAlign w:val="bottom"/>
          </w:tcPr>
          <w:p>
            <w:pPr>
              <w:spacing w:after="0"/>
              <w:rPr>
                <w:sz w:val="1"/>
                <w:szCs w:val="1"/>
                <w:color w:val="auto"/>
              </w:rPr>
            </w:pP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1,525.5</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1,430.5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366.1</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1,104.6</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859.4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The following table sets forth our total segment revenues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-108585</wp:posOffset>
            </wp:positionV>
            <wp:extent cx="15932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r>
      <w:tr>
        <w:trPr>
          <w:trHeight w:val="46"/>
        </w:trPr>
        <w:tc>
          <w:tcPr>
            <w:tcW w:w="50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82"/>
        </w:trPr>
        <w:tc>
          <w:tcPr>
            <w:tcW w:w="504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2"/>
        </w:trPr>
        <w:tc>
          <w:tcPr>
            <w:tcW w:w="50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2,107.5</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2,064.4</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163.6</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80.4</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4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132.7</w:t>
            </w: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161.0</w:t>
            </w:r>
          </w:p>
        </w:tc>
      </w:tr>
      <w:tr>
        <w:trPr>
          <w:trHeight w:val="18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4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2,403.8</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2,305.8</w:t>
            </w:r>
          </w:p>
        </w:tc>
      </w:tr>
      <w:tr>
        <w:trPr>
          <w:trHeight w:val="40"/>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1,075.9</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938.3</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88.8</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4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74.7</w:t>
            </w: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72.2</w:t>
            </w:r>
          </w:p>
        </w:tc>
      </w:tr>
      <w:tr>
        <w:trPr>
          <w:trHeight w:val="18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Revenues</w:t>
            </w: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3,655.4</w:t>
            </w:r>
          </w:p>
        </w:tc>
        <w:tc>
          <w:tcPr>
            <w:tcW w:w="60" w:type="dxa"/>
            <w:vAlign w:val="bottom"/>
          </w:tcPr>
          <w:p>
            <w:pPr>
              <w:spacing w:after="0"/>
              <w:rPr>
                <w:sz w:val="15"/>
                <w:szCs w:val="15"/>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10160</wp:posOffset>
            </wp:positionV>
            <wp:extent cx="15932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total segment expenses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-107950</wp:posOffset>
            </wp:positionV>
            <wp:extent cx="15932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Pr>
          <w:p>
            <w:pPr>
              <w:spacing w:after="0"/>
              <w:rPr>
                <w:sz w:val="16"/>
                <w:szCs w:val="16"/>
                <w:color w:val="auto"/>
              </w:rPr>
            </w:pPr>
          </w:p>
        </w:tc>
      </w:tr>
      <w:tr>
        <w:trPr>
          <w:trHeight w:val="46"/>
        </w:trPr>
        <w:tc>
          <w:tcPr>
            <w:tcW w:w="50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82"/>
        </w:trPr>
        <w:tc>
          <w:tcPr>
            <w:tcW w:w="504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2"/>
        </w:trPr>
        <w:tc>
          <w:tcPr>
            <w:tcW w:w="50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861.7</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1,031.9</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Realized performance revenue related compensation</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709.8</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407.3</w:t>
            </w: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0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4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1,571.5</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1,439.2</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General, administrative, and other indirect expenses</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376.5</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120.9</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120.9</w:t>
            </w: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1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Expenses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2,129.9</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1,974.6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spacing w:after="0"/>
        <w:rPr>
          <w:sz w:val="20"/>
          <w:szCs w:val="20"/>
          <w:color w:val="auto"/>
        </w:rPr>
      </w:pPr>
      <w:r>
        <w:rPr>
          <w:rFonts w:ascii="Times New Roman" w:cs="Times New Roman" w:eastAsia="Times New Roman" w:hAnsi="Times New Roman"/>
          <w:sz w:val="14"/>
          <w:szCs w:val="14"/>
          <w:color w:val="auto"/>
        </w:rPr>
        <w:t>Income (loss) before provision for income taxes is the U.S. GAAP financial measure most comparable to Distributable</w:t>
      </w:r>
    </w:p>
    <w:p>
      <w:pPr>
        <w:sectPr>
          <w:pgSz w:w="11900" w:h="16840" w:orient="portrait"/>
          <w:cols w:equalWidth="0" w:num="1">
            <w:col w:w="9400"/>
          </w:cols>
          <w:pgMar w:left="1060" w:top="1440" w:right="1440" w:bottom="79" w:gutter="0" w:footer="0" w:header="0"/>
          <w:type w:val="continuous"/>
        </w:sectPr>
      </w:pPr>
    </w:p>
    <w:bookmarkStart w:id="97" w:name="page98"/>
    <w:bookmarkEnd w:id="97"/>
    <w:p>
      <w:pPr>
        <w:ind w:left="10" w:right="1400"/>
        <w:spacing w:after="0" w:line="222" w:lineRule="auto"/>
        <w:rPr>
          <w:sz w:val="20"/>
          <w:szCs w:val="20"/>
          <w:color w:val="auto"/>
        </w:rPr>
      </w:pPr>
      <w:r>
        <w:rPr>
          <w:rFonts w:ascii="Times New Roman" w:cs="Times New Roman" w:eastAsia="Times New Roman" w:hAnsi="Times New Roman"/>
          <w:sz w:val="16"/>
          <w:szCs w:val="16"/>
          <w:color w:val="auto"/>
        </w:rPr>
        <w:t>Earnings and Fee Related Earnings. The following table is a reconciliation of income (loss) before provision for income taxes to Distributable Earnings and to Fee Related Earnings.</w:t>
      </w:r>
    </w:p>
    <w:tbl>
      <w:tblPr>
        <w:tblLayout w:type="fixed"/>
        <w:tblInd w:w="1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r>
      <w:tr>
        <w:trPr>
          <w:trHeight w:val="46"/>
        </w:trPr>
        <w:tc>
          <w:tcPr>
            <w:tcW w:w="50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82"/>
        </w:trPr>
        <w:tc>
          <w:tcPr>
            <w:tcW w:w="504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2"/>
        </w:trPr>
        <w:tc>
          <w:tcPr>
            <w:tcW w:w="50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provision for income taxes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1,393.7</w:t>
            </w: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(600.9)</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unrealized performance and fee related performance revenues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1,659.2</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Unrealized principal investment (income) loss</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(36.1)</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investment loss from dilution of indirect investment in Fortitude</w:t>
            </w:r>
          </w:p>
        </w:tc>
        <w:tc>
          <w:tcPr>
            <w:tcW w:w="4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104.0</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r>
              <w:rPr>
                <w:rFonts w:ascii="Times New Roman" w:cs="Times New Roman" w:eastAsia="Times New Roman" w:hAnsi="Times New Roman"/>
                <w:sz w:val="9"/>
                <w:szCs w:val="9"/>
                <w:color w:val="auto"/>
              </w:rPr>
              <w:t>(1)</w:t>
            </w:r>
          </w:p>
        </w:tc>
        <w:tc>
          <w:tcPr>
            <w:tcW w:w="4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476.5</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260.1</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32"/>
        </w:trPr>
        <w:tc>
          <w:tcPr>
            <w:tcW w:w="50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Acquisition or disposition-related charges, including amortization of intangibles</w:t>
            </w: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56"/>
              <w:spacing w:after="0" w:line="132" w:lineRule="exact"/>
              <w:rPr>
                <w:sz w:val="20"/>
                <w:szCs w:val="20"/>
                <w:color w:val="auto"/>
              </w:rPr>
            </w:pPr>
            <w:r>
              <w:rPr>
                <w:rFonts w:ascii="Times New Roman" w:cs="Times New Roman" w:eastAsia="Times New Roman" w:hAnsi="Times New Roman"/>
                <w:sz w:val="14"/>
                <w:szCs w:val="14"/>
                <w:color w:val="auto"/>
              </w:rPr>
              <w:t>136.6</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6"/>
              <w:spacing w:after="0" w:line="132" w:lineRule="exact"/>
              <w:rPr>
                <w:sz w:val="20"/>
                <w:szCs w:val="20"/>
                <w:color w:val="auto"/>
              </w:rPr>
            </w:pPr>
            <w:r>
              <w:rPr>
                <w:rFonts w:ascii="Times New Roman" w:cs="Times New Roman" w:eastAsia="Times New Roman" w:hAnsi="Times New Roman"/>
                <w:sz w:val="14"/>
                <w:szCs w:val="14"/>
                <w:color w:val="auto"/>
              </w:rPr>
              <w:t>145.3</w:t>
            </w:r>
          </w:p>
        </w:tc>
      </w:tr>
      <w:tr>
        <w:trPr>
          <w:trHeight w:val="196"/>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impairment</w:t>
            </w:r>
          </w:p>
        </w:tc>
        <w:tc>
          <w:tcPr>
            <w:tcW w:w="4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Tax (expense) benefit associated with certain foreign performance revenues</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(1.0)</w:t>
            </w:r>
          </w:p>
        </w:tc>
      </w:tr>
      <w:tr>
        <w:trPr>
          <w:trHeight w:val="52"/>
        </w:trPr>
        <w:tc>
          <w:tcPr>
            <w:tcW w:w="5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entities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(111.7)</w:t>
            </w: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9"/>
                <w:szCs w:val="9"/>
                <w:color w:val="auto"/>
              </w:rPr>
              <w:t>(2)</w:t>
            </w:r>
          </w:p>
        </w:tc>
        <w:tc>
          <w:tcPr>
            <w:tcW w:w="4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11.6</w:t>
            </w: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4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1,525.5</w:t>
            </w: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1,430.5</w:t>
            </w:r>
          </w:p>
        </w:tc>
      </w:tr>
      <w:tr>
        <w:trPr>
          <w:trHeight w:val="34"/>
        </w:trPr>
        <w:tc>
          <w:tcPr>
            <w:tcW w:w="5040" w:type="dxa"/>
            <w:vAlign w:val="bottom"/>
          </w:tcPr>
          <w:p>
            <w:pPr>
              <w:spacing w:after="0"/>
              <w:rPr>
                <w:sz w:val="20"/>
                <w:szCs w:val="20"/>
                <w:color w:val="auto"/>
              </w:rPr>
            </w:pPr>
            <w:r>
              <w:rPr>
                <w:rFonts w:ascii="Times New Roman" w:cs="Times New Roman" w:eastAsia="Times New Roman" w:hAnsi="Times New Roman"/>
                <w:sz w:val="3"/>
                <w:szCs w:val="3"/>
                <w:color w:val="auto"/>
              </w:rPr>
              <w:t>(-) Realized net performance revenues, net of related compensation</w:t>
            </w:r>
          </w:p>
        </w:tc>
        <w:tc>
          <w:tcPr>
            <w:tcW w:w="480" w:type="dxa"/>
            <w:vAlign w:val="bottom"/>
          </w:tcPr>
          <w:p>
            <w:pPr>
              <w:spacing w:after="0"/>
              <w:rPr>
                <w:sz w:val="2"/>
                <w:szCs w:val="2"/>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3"/>
                <w:szCs w:val="3"/>
                <w:color w:val="auto"/>
              </w:rPr>
              <w:t>366.1</w:t>
            </w: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3"/>
                <w:szCs w:val="3"/>
                <w:color w:val="auto"/>
              </w:rPr>
              <w:t>531.0</w:t>
            </w:r>
          </w:p>
        </w:tc>
      </w:tr>
      <w:tr>
        <w:trPr>
          <w:trHeight w:val="124"/>
        </w:trPr>
        <w:tc>
          <w:tcPr>
            <w:tcW w:w="5040" w:type="dxa"/>
            <w:vAlign w:val="bottom"/>
          </w:tcPr>
          <w:p>
            <w:pPr>
              <w:ind w:left="3860"/>
              <w:spacing w:after="0"/>
              <w:rPr>
                <w:sz w:val="20"/>
                <w:szCs w:val="20"/>
                <w:color w:val="auto"/>
              </w:rPr>
            </w:pPr>
            <w:r>
              <w:rPr>
                <w:rFonts w:ascii="Times New Roman" w:cs="Times New Roman" w:eastAsia="Times New Roman" w:hAnsi="Times New Roman"/>
                <w:sz w:val="10"/>
                <w:szCs w:val="10"/>
                <w:color w:val="auto"/>
              </w:rPr>
              <w:t>(3)</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82"/>
        </w:trPr>
        <w:tc>
          <w:tcPr>
            <w:tcW w:w="5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3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 Realized principal investment income</w:t>
            </w: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3"/>
                <w:szCs w:val="3"/>
                <w:color w:val="auto"/>
              </w:rPr>
              <w:t>101.0</w:t>
            </w: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3"/>
                <w:szCs w:val="3"/>
                <w:color w:val="auto"/>
              </w:rPr>
              <w:t>88.8</w:t>
            </w:r>
          </w:p>
        </w:tc>
      </w:tr>
      <w:tr>
        <w:trPr>
          <w:trHeight w:val="124"/>
        </w:trPr>
        <w:tc>
          <w:tcPr>
            <w:tcW w:w="50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0"/>
                <w:szCs w:val="10"/>
                <w:color w:val="auto"/>
              </w:rPr>
              <w:t>(3)</w:t>
            </w: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82"/>
        </w:trPr>
        <w:tc>
          <w:tcPr>
            <w:tcW w:w="50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r>
        <w:trPr>
          <w:trHeight w:val="188"/>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480" w:type="dxa"/>
            <w:vAlign w:val="bottom"/>
          </w:tcPr>
          <w:p>
            <w:pPr>
              <w:spacing w:after="0"/>
              <w:rPr>
                <w:sz w:val="16"/>
                <w:szCs w:val="16"/>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46.2</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48.7</w:t>
            </w:r>
          </w:p>
        </w:tc>
      </w:tr>
      <w:tr>
        <w:trPr>
          <w:trHeight w:val="52"/>
        </w:trPr>
        <w:tc>
          <w:tcPr>
            <w:tcW w:w="50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1,104.6</w:t>
            </w: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859.4</w:t>
            </w:r>
          </w:p>
        </w:tc>
      </w:tr>
    </w:tbl>
    <w:p>
      <w:pPr>
        <w:ind w:left="10" w:right="1780"/>
        <w:spacing w:after="0" w:line="226" w:lineRule="auto"/>
        <w:rPr>
          <w:sz w:val="20"/>
          <w:szCs w:val="20"/>
          <w:color w:val="auto"/>
        </w:rPr>
      </w:pPr>
      <w:r>
        <w:rPr>
          <w:rFonts w:ascii="Times New Roman" w:cs="Times New Roman" w:eastAsia="Times New Roman" w:hAnsi="Times New Roman"/>
          <w:sz w:val="14"/>
          <w:szCs w:val="14"/>
          <w:color w:val="auto"/>
        </w:rPr>
        <w:t>(1)Equity-based compensation for the years ended December 31, 2024 and 2023 includes amounts presented in principal investment income and general, administrative and other expenses in our U.S. GAAP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-184150</wp:posOffset>
            </wp:positionV>
            <wp:extent cx="15703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570355" cy="7620"/>
                    </a:xfrm>
                    <a:prstGeom prst="rect">
                      <a:avLst/>
                    </a:prstGeom>
                    <a:noFill/>
                  </pic:spPr>
                </pic:pic>
              </a:graphicData>
            </a:graphic>
          </wp:anchor>
        </w:drawing>
      </w:r>
    </w:p>
    <w:p>
      <w:pPr>
        <w:ind w:left="10" w:right="1860"/>
        <w:spacing w:after="0" w:line="214" w:lineRule="auto"/>
        <w:rPr>
          <w:sz w:val="20"/>
          <w:szCs w:val="20"/>
          <w:color w:val="auto"/>
        </w:rPr>
      </w:pPr>
      <w:r>
        <w:rPr>
          <w:rFonts w:ascii="Times New Roman" w:cs="Times New Roman" w:eastAsia="Times New Roman" w:hAnsi="Times New Roman"/>
          <w:sz w:val="14"/>
          <w:szCs w:val="14"/>
          <w:color w:val="auto"/>
        </w:rPr>
        <w:t>(2)Includes charges (credits) related to Carlyle corporate actions and non-recurring items that affect period-to-period comparability and are not reflective of the Company’s operating performance.</w:t>
      </w:r>
    </w:p>
    <w:p>
      <w:pPr>
        <w:ind w:left="10"/>
        <w:spacing w:after="0" w:line="234" w:lineRule="auto"/>
        <w:rPr>
          <w:sz w:val="20"/>
          <w:szCs w:val="20"/>
          <w:color w:val="auto"/>
        </w:rPr>
      </w:pPr>
      <w:r>
        <w:rPr>
          <w:rFonts w:ascii="Times New Roman" w:cs="Times New Roman" w:eastAsia="Times New Roman" w:hAnsi="Times New Roman"/>
          <w:sz w:val="14"/>
          <w:szCs w:val="14"/>
          <w:color w:val="auto"/>
        </w:rPr>
        <w:t>(3)See reconciliation to most directly comparable U.S. GAAP measure below:</w:t>
      </w:r>
    </w:p>
    <w:tbl>
      <w:tblPr>
        <w:tblLayout w:type="fixed"/>
        <w:tblInd w:w="1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540" w:type="dxa"/>
            <w:vAlign w:val="bottom"/>
          </w:tcPr>
          <w:p>
            <w:pPr>
              <w:spacing w:after="0"/>
              <w:rPr>
                <w:sz w:val="2"/>
                <w:szCs w:val="2"/>
                <w:color w:val="auto"/>
              </w:rPr>
            </w:pPr>
          </w:p>
        </w:tc>
        <w:tc>
          <w:tcPr>
            <w:tcW w:w="560" w:type="dxa"/>
            <w:vAlign w:val="bottom"/>
          </w:tcPr>
          <w:p>
            <w:pPr>
              <w:spacing w:after="0" w:line="32" w:lineRule="exact"/>
              <w:rPr>
                <w:sz w:val="20"/>
                <w:szCs w:val="20"/>
                <w:color w:val="auto"/>
              </w:rPr>
            </w:pPr>
            <w:r>
              <w:rPr>
                <w:rFonts w:ascii="Times New Roman" w:cs="Times New Roman" w:eastAsia="Times New Roman" w:hAnsi="Times New Roman"/>
                <w:sz w:val="3"/>
                <w:szCs w:val="3"/>
                <w:b w:val="1"/>
                <w:bCs w:val="1"/>
                <w:color w:val="auto"/>
              </w:rPr>
              <w:t>Carlyle</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tcPr>
          <w:p>
            <w:pPr>
              <w:spacing w:after="0" w:line="32" w:lineRule="exact"/>
              <w:rPr>
                <w:sz w:val="20"/>
                <w:szCs w:val="20"/>
                <w:color w:val="auto"/>
              </w:rPr>
            </w:pPr>
            <w:r>
              <w:rPr>
                <w:rFonts w:ascii="Times New Roman" w:cs="Times New Roman" w:eastAsia="Times New Roman" w:hAnsi="Times New Roman"/>
                <w:sz w:val="3"/>
                <w:szCs w:val="3"/>
                <w:b w:val="1"/>
                <w:bCs w:val="1"/>
                <w:color w:val="auto"/>
              </w:rPr>
              <w:t>Adjustments</w:t>
            </w:r>
          </w:p>
        </w:tc>
        <w:tc>
          <w:tcPr>
            <w:tcW w:w="60" w:type="dxa"/>
            <w:vAlign w:val="bottom"/>
          </w:tcPr>
          <w:p>
            <w:pPr>
              <w:spacing w:after="0"/>
              <w:rPr>
                <w:sz w:val="2"/>
                <w:szCs w:val="2"/>
                <w:color w:val="auto"/>
              </w:rPr>
            </w:pPr>
          </w:p>
        </w:tc>
        <w:tc>
          <w:tcPr>
            <w:tcW w:w="720" w:type="dxa"/>
            <w:vAlign w:val="bottom"/>
          </w:tcPr>
          <w:p>
            <w:pPr>
              <w:ind w:left="20"/>
              <w:spacing w:after="0" w:line="32" w:lineRule="exact"/>
              <w:rPr>
                <w:sz w:val="20"/>
                <w:szCs w:val="20"/>
                <w:color w:val="auto"/>
              </w:rPr>
            </w:pPr>
            <w:r>
              <w:rPr>
                <w:rFonts w:ascii="Times New Roman" w:cs="Times New Roman" w:eastAsia="Times New Roman" w:hAnsi="Times New Roman"/>
                <w:sz w:val="3"/>
                <w:szCs w:val="3"/>
                <w:b w:val="1"/>
                <w:bCs w:val="1"/>
                <w:color w:val="auto"/>
              </w:rPr>
              <w:t>Total</w:t>
            </w: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54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jc w:val="right"/>
              <w:ind w:right="253"/>
              <w:spacing w:after="0"/>
              <w:rPr>
                <w:sz w:val="20"/>
                <w:szCs w:val="20"/>
                <w:color w:val="auto"/>
              </w:rPr>
            </w:pP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540" w:type="dxa"/>
            <w:vAlign w:val="bottom"/>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2,015.7</w:t>
            </w: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(939.8)</w:t>
            </w:r>
          </w:p>
        </w:tc>
        <w:tc>
          <w:tcPr>
            <w:tcW w:w="7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1,075.9</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revenues related compensation expense</w:t>
            </w:r>
          </w:p>
        </w:tc>
        <w:tc>
          <w:tcPr>
            <w:tcW w:w="5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709.8</w:t>
            </w:r>
          </w:p>
        </w:tc>
        <w:tc>
          <w:tcPr>
            <w:tcW w:w="0" w:type="dxa"/>
            <w:vAlign w:val="bottom"/>
          </w:tcPr>
          <w:p>
            <w:pPr>
              <w:spacing w:after="0"/>
              <w:rPr>
                <w:sz w:val="1"/>
                <w:szCs w:val="1"/>
                <w:color w:val="auto"/>
              </w:rPr>
            </w:pPr>
          </w:p>
        </w:tc>
      </w:tr>
      <w:tr>
        <w:trPr>
          <w:trHeight w:val="52"/>
        </w:trPr>
        <w:tc>
          <w:tcPr>
            <w:tcW w:w="35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654.2</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 (loss)</w:t>
            </w: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560" w:type="dxa"/>
            <w:vAlign w:val="bottom"/>
          </w:tcPr>
          <w:p>
            <w:pPr>
              <w:spacing w:after="0" w:line="27" w:lineRule="exact"/>
              <w:rPr>
                <w:sz w:val="20"/>
                <w:szCs w:val="20"/>
                <w:color w:val="auto"/>
              </w:rPr>
            </w:pPr>
            <w:r>
              <w:rPr>
                <w:rFonts w:ascii="Times New Roman" w:cs="Times New Roman" w:eastAsia="Times New Roman" w:hAnsi="Times New Roman"/>
                <w:sz w:val="3"/>
                <w:szCs w:val="3"/>
                <w:b w:val="1"/>
                <w:bCs w:val="1"/>
                <w:color w:val="auto"/>
              </w:rPr>
              <w:t>Carlyle</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b w:val="1"/>
                <w:bCs w:val="1"/>
                <w:color w:val="auto"/>
              </w:rPr>
              <w:t>Adjustments</w:t>
            </w:r>
          </w:p>
        </w:tc>
        <w:tc>
          <w:tcPr>
            <w:tcW w:w="60" w:type="dxa"/>
            <w:vAlign w:val="bottom"/>
          </w:tcPr>
          <w:p>
            <w:pPr>
              <w:spacing w:after="0"/>
              <w:rPr>
                <w:sz w:val="2"/>
                <w:szCs w:val="2"/>
                <w:color w:val="auto"/>
              </w:rPr>
            </w:pPr>
          </w:p>
        </w:tc>
        <w:tc>
          <w:tcPr>
            <w:tcW w:w="720" w:type="dxa"/>
            <w:vAlign w:val="bottom"/>
          </w:tcPr>
          <w:p>
            <w:pPr>
              <w:ind w:left="20"/>
              <w:spacing w:after="0" w:line="27" w:lineRule="exact"/>
              <w:rPr>
                <w:sz w:val="20"/>
                <w:szCs w:val="20"/>
                <w:color w:val="auto"/>
              </w:rPr>
            </w:pPr>
            <w:r>
              <w:rPr>
                <w:rFonts w:ascii="Times New Roman" w:cs="Times New Roman" w:eastAsia="Times New Roman" w:hAnsi="Times New Roman"/>
                <w:sz w:val="3"/>
                <w:szCs w:val="3"/>
                <w:b w:val="1"/>
                <w:bCs w:val="1"/>
                <w:color w:val="auto"/>
              </w:rPr>
              <w:t>Total</w:t>
            </w: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54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jc w:val="right"/>
              <w:ind w:right="253"/>
              <w:spacing w:after="0"/>
              <w:rPr>
                <w:sz w:val="20"/>
                <w:szCs w:val="20"/>
                <w:color w:val="auto"/>
              </w:rPr>
            </w:pP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5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540" w:type="dxa"/>
            <w:vAlign w:val="bottom"/>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7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1,026.9</w:t>
            </w:r>
          </w:p>
        </w:tc>
        <w:tc>
          <w:tcPr>
            <w:tcW w:w="7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938.3</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revenues related compensation expense</w:t>
            </w:r>
          </w:p>
        </w:tc>
        <w:tc>
          <w:tcPr>
            <w:tcW w:w="5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52"/>
        </w:trPr>
        <w:tc>
          <w:tcPr>
            <w:tcW w:w="35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(1,192.3)</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1,723.3</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 (loss)</w:t>
            </w: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0" w:right="1640" w:hanging="10"/>
        <w:spacing w:after="0" w:line="231" w:lineRule="auto"/>
        <w:tabs>
          <w:tab w:leader="none" w:pos="22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performance revenues and principal investment income (loss) relate to (i) unrealized performance allocations net of related compensation expense and unrealized principal investment income, which are excluded from our Non-GAAP results, (ii) amounts earned from the Consolidated Funds, which were eliminated in the U.S. GAAP consolidation but were included in the Non-GAAP results, (iii) amounts attributable to non-controlling interests in consolidated entities, which were excluded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120</w:t>
      </w:r>
    </w:p>
    <w:p>
      <w:pPr>
        <w:ind w:left="10"/>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left="10" w:right="1900"/>
        <w:spacing w:after="0" w:line="214" w:lineRule="auto"/>
        <w:rPr>
          <w:sz w:val="20"/>
          <w:szCs w:val="20"/>
          <w:color w:val="auto"/>
        </w:rPr>
      </w:pPr>
      <w:r>
        <w:rPr>
          <w:rFonts w:ascii="Times New Roman" w:cs="Times New Roman" w:eastAsia="Times New Roman" w:hAnsi="Times New Roman"/>
          <w:sz w:val="14"/>
          <w:szCs w:val="14"/>
          <w:color w:val="auto"/>
        </w:rPr>
        <w:t>Non-GAAP results, (iv) the reclassification of NGP performance revenues, which are included in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 in NGP Management and its affiliates to the appropriate operating captions for the Non-GAAP results, and the exclusion of charges associated with the investment in NGP Management and its affiliates that are excluded from the Non-GAAP results, and the exclusion of the principal investment loss from dilution of the indirect investment in Fortitude (see Note 4, Investments, to the consolidated financial statements).</w:t>
      </w:r>
    </w:p>
    <w:p>
      <w:pPr>
        <w:ind w:left="10"/>
        <w:spacing w:after="0" w:line="224" w:lineRule="auto"/>
        <w:rPr>
          <w:sz w:val="20"/>
          <w:szCs w:val="20"/>
          <w:color w:val="auto"/>
        </w:rPr>
      </w:pPr>
      <w:r>
        <w:rPr>
          <w:rFonts w:ascii="Times New Roman" w:cs="Times New Roman" w:eastAsia="Times New Roman" w:hAnsi="Times New Roman"/>
          <w:sz w:val="16"/>
          <w:szCs w:val="16"/>
          <w:color w:val="auto"/>
        </w:rPr>
        <w:t>Distributable Earnings for our reportable segments are as follows:</w:t>
      </w:r>
    </w:p>
    <w:tbl>
      <w:tblPr>
        <w:tblLayout w:type="fixed"/>
        <w:tblInd w:w="1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r>
      <w:tr>
        <w:trPr>
          <w:trHeight w:val="188"/>
        </w:trPr>
        <w:tc>
          <w:tcPr>
            <w:tcW w:w="5760" w:type="dxa"/>
            <w:vAlign w:val="bottom"/>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r>
      <w:tr>
        <w:trPr>
          <w:trHeight w:val="184"/>
        </w:trPr>
        <w:tc>
          <w:tcPr>
            <w:tcW w:w="576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957.3</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1,071.8</w:t>
            </w: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4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377.3</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274.4</w:t>
            </w:r>
          </w:p>
        </w:tc>
      </w:tr>
      <w:tr>
        <w:trPr>
          <w:trHeight w:val="21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190.9</w:t>
            </w:r>
          </w:p>
        </w:tc>
        <w:tc>
          <w:tcPr>
            <w:tcW w:w="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84.3</w:t>
            </w:r>
          </w:p>
        </w:tc>
      </w:tr>
      <w:tr>
        <w:trPr>
          <w:trHeight w:val="160"/>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Earnings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1,525.5</w:t>
            </w:r>
          </w:p>
        </w:tc>
        <w:tc>
          <w:tcPr>
            <w:tcW w:w="60" w:type="dxa"/>
            <w:vAlign w:val="bottom"/>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1,430.5</w:t>
            </w:r>
          </w:p>
        </w:tc>
      </w:tr>
    </w:tbl>
    <w:p>
      <w:pPr>
        <w:spacing w:after="0" w:line="1" w:lineRule="exact"/>
        <w:rPr>
          <w:sz w:val="20"/>
          <w:szCs w:val="20"/>
          <w:color w:val="auto"/>
        </w:rPr>
      </w:pPr>
    </w:p>
    <w:p>
      <w:pPr>
        <w:sectPr>
          <w:pgSz w:w="11900" w:h="16840" w:orient="portrait"/>
          <w:cols w:equalWidth="0" w:num="1">
            <w:col w:w="9410"/>
          </w:cols>
          <w:pgMar w:left="1050" w:top="557" w:right="1440" w:bottom="67" w:gutter="0" w:footer="0" w:header="0"/>
        </w:sectPr>
      </w:pPr>
    </w:p>
    <w:p>
      <w:pPr>
        <w:ind w:left="10"/>
        <w:spacing w:after="0"/>
        <w:rPr>
          <w:sz w:val="20"/>
          <w:szCs w:val="20"/>
          <w:color w:val="auto"/>
        </w:rPr>
      </w:pPr>
      <w:r>
        <w:rPr>
          <w:rFonts w:ascii="Times New Roman" w:cs="Times New Roman" w:eastAsia="Times New Roman" w:hAnsi="Times New Roman"/>
          <w:sz w:val="16"/>
          <w:szCs w:val="16"/>
          <w:b w:val="1"/>
          <w:bCs w:val="1"/>
          <w:color w:val="auto"/>
        </w:rPr>
        <w:t>Segment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-101600</wp:posOffset>
            </wp:positionV>
            <wp:extent cx="15932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4"/>
          <w:szCs w:val="14"/>
          <w:color w:val="auto"/>
        </w:rPr>
        <w:t>Discussed below is our DE and FRE for our segments for the periods presented. Our segment information is reflected</w:t>
      </w:r>
    </w:p>
    <w:p>
      <w:pPr>
        <w:sectPr>
          <w:pgSz w:w="11900" w:h="16840" w:orient="portrait"/>
          <w:cols w:equalWidth="0" w:num="1">
            <w:col w:w="9410"/>
          </w:cols>
          <w:pgMar w:left="1050" w:top="557" w:right="1440" w:bottom="67" w:gutter="0" w:footer="0" w:header="0"/>
          <w:type w:val="continuous"/>
        </w:sectPr>
      </w:pPr>
    </w:p>
    <w:bookmarkStart w:id="98" w:name="page99"/>
    <w:bookmarkEnd w:id="98"/>
    <w:p>
      <w:pPr>
        <w:ind w:right="1540"/>
        <w:spacing w:after="0" w:line="215" w:lineRule="auto"/>
        <w:rPr>
          <w:sz w:val="20"/>
          <w:szCs w:val="20"/>
          <w:color w:val="auto"/>
        </w:rPr>
      </w:pPr>
      <w:r>
        <w:rPr>
          <w:rFonts w:ascii="Times New Roman" w:cs="Times New Roman" w:eastAsia="Times New Roman" w:hAnsi="Times New Roman"/>
          <w:sz w:val="16"/>
          <w:szCs w:val="16"/>
          <w:color w:val="auto"/>
        </w:rPr>
        <w:t>in the manner used by our chief operating decision maker to make operating and compensation decisions, assess performance, and allocate resources.</w:t>
      </w:r>
    </w:p>
    <w:p>
      <w:pPr>
        <w:spacing w:after="0" w:line="204" w:lineRule="auto"/>
        <w:rPr>
          <w:sz w:val="20"/>
          <w:szCs w:val="20"/>
          <w:color w:val="auto"/>
        </w:rPr>
      </w:pPr>
      <w:r>
        <w:rPr>
          <w:rFonts w:ascii="Times New Roman" w:cs="Times New Roman" w:eastAsia="Times New Roman" w:hAnsi="Times New Roman"/>
          <w:sz w:val="16"/>
          <w:szCs w:val="16"/>
          <w:color w:val="auto"/>
        </w:rPr>
        <w:t>For segment reporting purposes, revenues and expenses are presented on a basis that deconsolidates our Consolidated</w:t>
      </w:r>
    </w:p>
    <w:p>
      <w:pPr>
        <w:ind w:right="1520"/>
        <w:spacing w:after="0" w:line="211" w:lineRule="auto"/>
        <w:rPr>
          <w:sz w:val="20"/>
          <w:szCs w:val="20"/>
          <w:color w:val="auto"/>
        </w:rPr>
      </w:pPr>
      <w:r>
        <w:rPr>
          <w:rFonts w:ascii="Times New Roman" w:cs="Times New Roman" w:eastAsia="Times New Roman" w:hAnsi="Times New Roman"/>
          <w:sz w:val="16"/>
          <w:szCs w:val="16"/>
          <w:color w:val="auto"/>
        </w:rPr>
        <w:t>Funds. As a result, segment revenues from management fees, realized performance revenues and realized principal investment income (loss) are different than those presented on a consolidated U.S. GAAP basis because these revenues recognized in certain segments are received from Consolidated Funds and are eliminated in consolidation when presented on a consolidated U.S. GAAP basis. Furthermore, segment expenses are different than related amounts presented on a consolidated U.S. GAAP basis due to the exclusion of fund expenses that are paid by the Consolidated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Global Private Equity</w:t>
      </w:r>
    </w:p>
    <w:p>
      <w:pPr>
        <w:spacing w:after="0"/>
        <w:rPr>
          <w:sz w:val="20"/>
          <w:szCs w:val="20"/>
          <w:color w:val="auto"/>
        </w:rPr>
      </w:pPr>
      <w:r>
        <w:rPr>
          <w:rFonts w:ascii="Times New Roman" w:cs="Times New Roman" w:eastAsia="Times New Roman" w:hAnsi="Times New Roman"/>
          <w:sz w:val="16"/>
          <w:szCs w:val="16"/>
          <w:color w:val="auto"/>
        </w:rPr>
        <w:t>The following table presents our results of operations for our Global Private Equity</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 xml:space="preserve"> segment:</w:t>
      </w:r>
    </w:p>
    <w:p>
      <w:pPr>
        <w:sectPr>
          <w:pgSz w:w="11900" w:h="16840" w:orient="portrait"/>
          <w:cols w:equalWidth="0" w:num="1">
            <w:col w:w="9400"/>
          </w:cols>
          <w:pgMar w:left="1060" w:top="557"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1,212.0</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1,309.8</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34</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2"/>
        </w:trPr>
        <w:tc>
          <w:tcPr>
            <w:tcW w:w="4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68.3</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(61.4)</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1,243.5</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1,396.5</w:t>
            </w: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97"/>
              </w:rPr>
              <w:t>(153.0)</w:t>
            </w:r>
          </w:p>
        </w:tc>
        <w:tc>
          <w:tcPr>
            <w:tcW w:w="20" w:type="dxa"/>
            <w:vAlign w:val="bottom"/>
          </w:tcPr>
          <w:p>
            <w:pPr>
              <w:spacing w:after="0"/>
              <w:rPr>
                <w:sz w:val="15"/>
                <w:szCs w:val="15"/>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927.2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805.1</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122.1</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15</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2,248.5</w:t>
            </w: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2,278.5</w:t>
            </w:r>
          </w:p>
        </w:tc>
        <w:tc>
          <w:tcPr>
            <w:tcW w:w="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Pr>
          <w:p>
            <w:pPr>
              <w:spacing w:after="0"/>
              <w:rPr>
                <w:sz w:val="15"/>
                <w:szCs w:val="15"/>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422.8</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583.8</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7"/>
              </w:rPr>
              <w:t>(161.0)</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308.1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92</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2"/>
        </w:trPr>
        <w:tc>
          <w:tcPr>
            <w:tcW w:w="4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1,012.9</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891.9</w:t>
            </w: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14</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General, administrative, and other indirect expenses</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221.9</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52"/>
        </w:trPr>
        <w:tc>
          <w:tcPr>
            <w:tcW w:w="4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66.9</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40"/>
        </w:trPr>
        <w:tc>
          <w:tcPr>
            <w:tcW w:w="42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1,291.2</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1,206.7</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84.5</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957.3</w:t>
            </w: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1,071.8</w:t>
            </w:r>
          </w:p>
        </w:tc>
        <w:tc>
          <w:tcPr>
            <w:tcW w:w="20" w:type="dxa"/>
            <w:vAlign w:val="bottom"/>
          </w:tcPr>
          <w:p>
            <w:pPr>
              <w:spacing w:after="0"/>
              <w:rPr>
                <w:sz w:val="15"/>
                <w:szCs w:val="15"/>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(114.5)</w:t>
            </w: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497.0</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7"/>
              </w:rPr>
              <w:t>(159.9)</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w:t>
            </w: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598.7</w:t>
            </w:r>
          </w:p>
        </w:tc>
        <w:tc>
          <w:tcPr>
            <w:tcW w:w="60" w:type="dxa"/>
            <w:vAlign w:val="bottom"/>
          </w:tcPr>
          <w:p>
            <w:pPr>
              <w:spacing w:after="0"/>
              <w:rPr>
                <w:sz w:val="15"/>
                <w:szCs w:val="15"/>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564.8</w:t>
            </w:r>
          </w:p>
        </w:tc>
        <w:tc>
          <w:tcPr>
            <w:tcW w:w="20" w:type="dxa"/>
            <w:vAlign w:val="bottom"/>
          </w:tcPr>
          <w:p>
            <w:pPr>
              <w:spacing w:after="0"/>
              <w:rPr>
                <w:sz w:val="15"/>
                <w:szCs w:val="15"/>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33.9</w:t>
            </w:r>
          </w:p>
        </w:tc>
        <w:tc>
          <w:tcPr>
            <w:tcW w:w="20" w:type="dxa"/>
            <w:vAlign w:val="bottom"/>
          </w:tcPr>
          <w:p>
            <w:pPr>
              <w:spacing w:after="0"/>
              <w:rPr>
                <w:sz w:val="15"/>
                <w:szCs w:val="15"/>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1270</wp:posOffset>
            </wp:positionV>
            <wp:extent cx="256857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For purposes of presenting our results of operations for this segment, our earnings from our investments in NGP are presented in the respective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-86995</wp:posOffset>
            </wp:positionV>
            <wp:extent cx="256857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68575" cy="762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Distributable Earnings</w:t>
      </w:r>
    </w:p>
    <w:p>
      <w:pPr>
        <w:jc w:val="both"/>
        <w:ind w:right="1720" w:firstLine="576"/>
        <w:spacing w:after="0" w:line="241" w:lineRule="auto"/>
        <w:rPr>
          <w:sz w:val="20"/>
          <w:szCs w:val="20"/>
          <w:color w:val="auto"/>
        </w:rPr>
      </w:pPr>
      <w:r>
        <w:rPr>
          <w:rFonts w:ascii="Times New Roman" w:cs="Times New Roman" w:eastAsia="Times New Roman" w:hAnsi="Times New Roman"/>
          <w:sz w:val="14"/>
          <w:szCs w:val="14"/>
          <w:color w:val="auto"/>
        </w:rPr>
        <w:t>Distributable Earnings decreased $ 114.5 million for the year ended December 31, 2024 as compared to 2023. The following table provides the components of the changes in Distributable Earnings for the year ended December 31, 2024:</w:t>
      </w:r>
    </w:p>
    <w:tbl>
      <w:tblPr>
        <w:tblLayout w:type="fixed"/>
        <w:tblInd w:w="0" w:type="dxa"/>
        <w:tblCellMar>
          <w:top w:w="0" w:type="dxa"/>
          <w:left w:w="0" w:type="dxa"/>
          <w:bottom w:w="0" w:type="dxa"/>
          <w:right w:w="0" w:type="dxa"/>
        </w:tblCellMar>
      </w:tblPr>
      <w:tr>
        <w:trPr>
          <w:trHeight w:val="140"/>
        </w:trPr>
        <w:tc>
          <w:tcPr>
            <w:tcW w:w="5440" w:type="dxa"/>
            <w:vAlign w:val="bottom"/>
          </w:tcPr>
          <w:p>
            <w:pPr>
              <w:spacing w:after="0"/>
              <w:rPr>
                <w:sz w:val="12"/>
                <w:szCs w:val="12"/>
                <w:color w:val="auto"/>
              </w:rPr>
            </w:pPr>
          </w:p>
        </w:tc>
        <w:tc>
          <w:tcPr>
            <w:tcW w:w="9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640" w:type="dxa"/>
            <w:vAlign w:val="bottom"/>
          </w:tcPr>
          <w:p>
            <w:pPr>
              <w:spacing w:after="0"/>
              <w:rPr>
                <w:sz w:val="12"/>
                <w:szCs w:val="12"/>
                <w:color w:val="auto"/>
              </w:rPr>
            </w:pPr>
          </w:p>
        </w:tc>
      </w:tr>
      <w:tr>
        <w:trPr>
          <w:trHeight w:val="205"/>
        </w:trPr>
        <w:tc>
          <w:tcPr>
            <w:tcW w:w="544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40" w:type="dxa"/>
            <w:vAlign w:val="bottom"/>
          </w:tcPr>
          <w:p>
            <w:pPr>
              <w:spacing w:after="0"/>
              <w:rPr>
                <w:sz w:val="17"/>
                <w:szCs w:val="17"/>
                <w:color w:val="auto"/>
              </w:rPr>
            </w:pPr>
          </w:p>
        </w:tc>
      </w:tr>
      <w:tr>
        <w:trPr>
          <w:trHeight w:val="23"/>
        </w:trPr>
        <w:tc>
          <w:tcPr>
            <w:tcW w:w="5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7"/>
        </w:trPr>
        <w:tc>
          <w:tcPr>
            <w:tcW w:w="544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640" w:type="dxa"/>
            <w:vAlign w:val="bottom"/>
          </w:tcPr>
          <w:p>
            <w:pPr>
              <w:spacing w:after="0"/>
              <w:rPr>
                <w:sz w:val="17"/>
                <w:szCs w:val="17"/>
                <w:color w:val="auto"/>
              </w:rPr>
            </w:pPr>
          </w:p>
        </w:tc>
      </w:tr>
      <w:tr>
        <w:trPr>
          <w:trHeight w:val="23"/>
        </w:trPr>
        <w:tc>
          <w:tcPr>
            <w:tcW w:w="54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97"/>
        </w:trPr>
        <w:tc>
          <w:tcPr>
            <w:tcW w:w="54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
        </w:trPr>
        <w:tc>
          <w:tcPr>
            <w:tcW w:w="5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Distributable Earnings, December 31, 2023</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1,071.8</w:t>
            </w: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Increases (decreases):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7"/>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33.9</w:t>
            </w: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Decrease in realized net performance revenues</w:t>
            </w: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(159.9)</w:t>
            </w:r>
          </w:p>
        </w:tc>
      </w:tr>
      <w:tr>
        <w:trPr>
          <w:trHeight w:val="37"/>
        </w:trPr>
        <w:tc>
          <w:tcPr>
            <w:tcW w:w="5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realized principal investment income</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Decrease in net interest</w:t>
            </w:r>
          </w:p>
        </w:tc>
        <w:tc>
          <w:tcPr>
            <w:tcW w:w="98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w:t>
            </w:r>
          </w:p>
        </w:tc>
      </w:tr>
      <w:tr>
        <w:trPr>
          <w:trHeight w:val="37"/>
        </w:trPr>
        <w:tc>
          <w:tcPr>
            <w:tcW w:w="54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0"/>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decrease</w:t>
            </w:r>
          </w:p>
        </w:tc>
        <w:tc>
          <w:tcPr>
            <w:tcW w:w="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(114.5)</w:t>
            </w: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 December 31, 2024</w:t>
            </w: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635</wp:posOffset>
            </wp:positionV>
            <wp:extent cx="1028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2" w:lineRule="exact"/>
        <w:rPr>
          <w:sz w:val="20"/>
          <w:szCs w:val="20"/>
          <w:color w:val="auto"/>
        </w:rPr>
      </w:pPr>
    </w:p>
    <w:p>
      <w:pPr>
        <w:ind w:right="1400" w:firstLine="576"/>
        <w:spacing w:after="0" w:line="237" w:lineRule="auto"/>
        <w:rPr>
          <w:sz w:val="20"/>
          <w:szCs w:val="20"/>
          <w:color w:val="auto"/>
        </w:rPr>
      </w:pPr>
      <w:r>
        <w:rPr>
          <w:rFonts w:ascii="Times New Roman" w:cs="Times New Roman" w:eastAsia="Times New Roman" w:hAnsi="Times New Roman"/>
          <w:sz w:val="14"/>
          <w:szCs w:val="14"/>
          <w:i w:val="1"/>
          <w:iCs w:val="1"/>
          <w:color w:val="auto"/>
        </w:rPr>
        <w:t xml:space="preserve">Realized Net Performance Revenues. </w:t>
      </w:r>
      <w:r>
        <w:rPr>
          <w:rFonts w:ascii="Times New Roman" w:cs="Times New Roman" w:eastAsia="Times New Roman" w:hAnsi="Times New Roman"/>
          <w:sz w:val="14"/>
          <w:szCs w:val="14"/>
          <w:color w:val="auto"/>
        </w:rPr>
        <w:t>Realized net performance revenues decreased $159.9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as compared to 2023 despite a $122.1 million increase in realized performance revenues as realized performance revenues related compensation increased disproportionately primarily as a result of the update to our compensation and incentive plan that became effective December 31, 2023. For the year ended December 31, 2024, realized net performance revenues of $ 337.1 million were primarily driven by CAP IV, CIEP, and CEOF II. For the year ended December 31, 2023, realized net performance revenues of $497.0 million were primarily driven by NGP XII, our CEOF funds, CEP IV, and CP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-595630</wp:posOffset>
            </wp:positionV>
            <wp:extent cx="1028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Fee Related Earnings</w:t>
      </w:r>
    </w:p>
    <w:p>
      <w:pPr>
        <w:spacing w:after="0" w:line="1" w:lineRule="exact"/>
        <w:rPr>
          <w:sz w:val="20"/>
          <w:szCs w:val="20"/>
          <w:color w:val="auto"/>
        </w:rPr>
      </w:pPr>
    </w:p>
    <w:p>
      <w:pPr>
        <w:jc w:val="both"/>
        <w:ind w:right="1920" w:firstLine="576"/>
        <w:spacing w:after="0" w:line="241" w:lineRule="auto"/>
        <w:rPr>
          <w:sz w:val="20"/>
          <w:szCs w:val="20"/>
          <w:color w:val="auto"/>
        </w:rPr>
      </w:pPr>
      <w:r>
        <w:rPr>
          <w:rFonts w:ascii="Times New Roman" w:cs="Times New Roman" w:eastAsia="Times New Roman" w:hAnsi="Times New Roman"/>
          <w:sz w:val="14"/>
          <w:szCs w:val="14"/>
          <w:color w:val="auto"/>
        </w:rPr>
        <w:t>Fee Related Earnings increased $33.9 million for the year ended December 31, 2024 as compared to 2023. The following table provides the components of the changes in Fee Related Earnings for the year ended December 31, 2024:</w:t>
      </w:r>
    </w:p>
    <w:tbl>
      <w:tblPr>
        <w:tblLayout w:type="fixed"/>
        <w:tblInd w:w="0" w:type="dxa"/>
        <w:tblCellMar>
          <w:top w:w="0" w:type="dxa"/>
          <w:left w:w="0" w:type="dxa"/>
          <w:bottom w:w="0" w:type="dxa"/>
          <w:right w:w="0" w:type="dxa"/>
        </w:tblCellMar>
      </w:tblPr>
      <w:tr>
        <w:trPr>
          <w:trHeight w:val="140"/>
        </w:trPr>
        <w:tc>
          <w:tcPr>
            <w:tcW w:w="5200" w:type="dxa"/>
            <w:vAlign w:val="bottom"/>
          </w:tcPr>
          <w:p>
            <w:pPr>
              <w:spacing w:after="0"/>
              <w:rPr>
                <w:sz w:val="12"/>
                <w:szCs w:val="12"/>
                <w:color w:val="auto"/>
              </w:rPr>
            </w:pPr>
          </w:p>
        </w:tc>
        <w:tc>
          <w:tcPr>
            <w:tcW w:w="100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2"/>
                <w:szCs w:val="12"/>
                <w:color w:val="auto"/>
              </w:rPr>
            </w:pPr>
          </w:p>
        </w:tc>
      </w:tr>
      <w:tr>
        <w:trPr>
          <w:trHeight w:val="205"/>
        </w:trPr>
        <w:tc>
          <w:tcPr>
            <w:tcW w:w="520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7"/>
        </w:trPr>
        <w:tc>
          <w:tcPr>
            <w:tcW w:w="520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62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97"/>
        </w:trPr>
        <w:tc>
          <w:tcPr>
            <w:tcW w:w="52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Fee Related Earnings, December 31, 2023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564.8</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Increases (decreases):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7"/>
        </w:trPr>
        <w:tc>
          <w:tcPr>
            <w:tcW w:w="5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fee revenues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(153.0)</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0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161.0</w:t>
            </w:r>
          </w:p>
        </w:tc>
      </w:tr>
      <w:tr>
        <w:trPr>
          <w:trHeight w:val="37"/>
        </w:trPr>
        <w:tc>
          <w:tcPr>
            <w:tcW w:w="5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general, administrative and other indirect expenses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26.7</w:t>
            </w:r>
          </w:p>
        </w:tc>
      </w:tr>
      <w:tr>
        <w:trPr>
          <w:trHeight w:val="203"/>
        </w:trPr>
        <w:tc>
          <w:tcPr>
            <w:tcW w:w="52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 other changes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w:t>
            </w:r>
          </w:p>
        </w:tc>
      </w:tr>
      <w:tr>
        <w:trPr>
          <w:trHeight w:val="37"/>
        </w:trPr>
        <w:tc>
          <w:tcPr>
            <w:tcW w:w="52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2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increase</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33.9</w:t>
            </w:r>
          </w:p>
        </w:tc>
      </w:tr>
      <w:tr>
        <w:trPr>
          <w:trHeight w:val="195"/>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Fee Related Earnings, December 31, 2024</w:t>
            </w: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635</wp:posOffset>
            </wp:positionV>
            <wp:extent cx="1028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line="2" w:lineRule="exact"/>
        <w:rPr>
          <w:sz w:val="20"/>
          <w:szCs w:val="20"/>
          <w:color w:val="auto"/>
        </w:rPr>
      </w:pPr>
    </w:p>
    <w:p>
      <w:pPr>
        <w:ind w:right="1720" w:firstLine="564"/>
        <w:spacing w:after="0" w:line="235" w:lineRule="auto"/>
        <w:rPr>
          <w:sz w:val="20"/>
          <w:szCs w:val="20"/>
          <w:color w:val="auto"/>
        </w:rPr>
      </w:pPr>
      <w:r>
        <w:rPr>
          <w:rFonts w:ascii="Times New Roman" w:cs="Times New Roman" w:eastAsia="Times New Roman" w:hAnsi="Times New Roman"/>
          <w:sz w:val="16"/>
          <w:szCs w:val="16"/>
          <w:i w:val="1"/>
          <w:iCs w:val="1"/>
          <w:color w:val="auto"/>
        </w:rPr>
        <w:t xml:space="preserve">Fee Revenues. </w:t>
      </w:r>
      <w:r>
        <w:rPr>
          <w:rFonts w:ascii="Times New Roman" w:cs="Times New Roman" w:eastAsia="Times New Roman" w:hAnsi="Times New Roman"/>
          <w:sz w:val="16"/>
          <w:szCs w:val="16"/>
          <w:color w:val="auto"/>
        </w:rPr>
        <w:t>Total fee revenues decreased $153.0 million for the year ended December 31, 2024 as compared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due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-218440</wp:posOffset>
            </wp:positionV>
            <wp:extent cx="1028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ectPr>
          <w:pgSz w:w="11900" w:h="16840" w:orient="portrait"/>
          <w:cols w:equalWidth="0" w:num="1">
            <w:col w:w="9400"/>
          </w:cols>
          <w:pgMar w:left="1060" w:top="555" w:right="1440" w:bottom="1148"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6"/>
                <w:szCs w:val="16"/>
                <w:color w:val="auto"/>
              </w:rPr>
            </w:pPr>
          </w:p>
        </w:tc>
      </w:tr>
      <w:tr>
        <w:trPr>
          <w:trHeight w:val="205"/>
        </w:trPr>
        <w:tc>
          <w:tcPr>
            <w:tcW w:w="520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Pr>
          <w:p>
            <w:pPr>
              <w:spacing w:after="0"/>
              <w:rPr>
                <w:sz w:val="17"/>
                <w:szCs w:val="17"/>
                <w:color w:val="auto"/>
              </w:rPr>
            </w:pPr>
          </w:p>
        </w:tc>
      </w:tr>
      <w:tr>
        <w:trPr>
          <w:trHeight w:val="23"/>
        </w:trPr>
        <w:tc>
          <w:tcPr>
            <w:tcW w:w="5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3"/>
        </w:trPr>
        <w:tc>
          <w:tcPr>
            <w:tcW w:w="520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620" w:type="dxa"/>
            <w:vAlign w:val="bottom"/>
            <w:tcBorders>
              <w:bottom w:val="single" w:sz="8" w:color="auto"/>
            </w:tcBorders>
          </w:tcPr>
          <w:p>
            <w:pPr>
              <w:spacing w:after="0"/>
              <w:rPr>
                <w:sz w:val="17"/>
                <w:szCs w:val="17"/>
                <w:color w:val="auto"/>
              </w:rPr>
            </w:pPr>
          </w:p>
        </w:tc>
      </w:tr>
      <w:tr>
        <w:trPr>
          <w:trHeight w:val="208"/>
        </w:trPr>
        <w:tc>
          <w:tcPr>
            <w:tcW w:w="520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14"/>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Lower fund management fees</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(97.8)</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Higher portfolio advisory and transaction fees, net and other</w:t>
            </w:r>
          </w:p>
        </w:tc>
        <w:tc>
          <w:tcPr>
            <w:tcW w:w="100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6.2</w:t>
            </w:r>
          </w:p>
        </w:tc>
      </w:tr>
      <w:tr>
        <w:trPr>
          <w:trHeight w:val="25"/>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Lower fee related performance revenues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w:t>
            </w:r>
          </w:p>
        </w:tc>
      </w:tr>
      <w:tr>
        <w:trPr>
          <w:trHeight w:val="18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Total decrease in fee revenues</w:t>
            </w: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(153.0)</w:t>
            </w: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firstLine="576"/>
        <w:spacing w:after="0" w:line="203" w:lineRule="auto"/>
        <w:rPr>
          <w:sz w:val="20"/>
          <w:szCs w:val="20"/>
          <w:color w:val="auto"/>
        </w:rPr>
      </w:pPr>
      <w:r>
        <w:rPr>
          <w:rFonts w:ascii="Times New Roman" w:cs="Times New Roman" w:eastAsia="Times New Roman" w:hAnsi="Times New Roman"/>
          <w:sz w:val="16"/>
          <w:szCs w:val="16"/>
          <w:color w:val="auto"/>
        </w:rPr>
        <w:t>The decrease in fund management fees for the year ended December 31, 2024 as compared to 2023 was primarily due to the impact of investment realizations in funds on which management fees are based on invested capital, a step- down in management fee rate in CP VII at the beginning of 2024 and a decrease in catch -up management fees primarily from CP VIII, which completed fundraising in 2023. The impact of smaller buyout funds in our corporate private equity strategy is resulting in, and may continue to result in, lower fund management fees relative to prior periods.</w:t>
      </w:r>
    </w:p>
    <w:p>
      <w:pPr>
        <w:spacing w:after="0" w:line="2" w:lineRule="exact"/>
        <w:rPr>
          <w:sz w:val="20"/>
          <w:szCs w:val="20"/>
          <w:color w:val="auto"/>
        </w:rPr>
      </w:pPr>
    </w:p>
    <w:p>
      <w:pPr>
        <w:jc w:val="both"/>
        <w:ind w:right="2200"/>
        <w:spacing w:after="0" w:line="203" w:lineRule="auto"/>
        <w:rPr>
          <w:sz w:val="20"/>
          <w:szCs w:val="20"/>
          <w:color w:val="auto"/>
        </w:rPr>
      </w:pPr>
      <w:r>
        <w:rPr>
          <w:rFonts w:ascii="Times New Roman" w:cs="Times New Roman" w:eastAsia="Times New Roman" w:hAnsi="Times New Roman"/>
          <w:sz w:val="16"/>
          <w:szCs w:val="16"/>
          <w:color w:val="auto"/>
        </w:rPr>
        <w:t>The decrease in fee related performance revenues for the year ended December 31, 2024 as compared to 2023 was driven by CPI, which will fluctuate from year to year based on fund performance. The portion of these fees paid as compensation are included in cash-based compensation and benefits expense. We do not expect material fee related performance revenues in Global Private Equity for 2025.</w:t>
      </w:r>
    </w:p>
    <w:p>
      <w:pPr>
        <w:ind w:left="560"/>
        <w:spacing w:after="0" w:line="205" w:lineRule="auto"/>
        <w:rPr>
          <w:sz w:val="20"/>
          <w:szCs w:val="20"/>
          <w:color w:val="auto"/>
        </w:rPr>
      </w:pPr>
      <w:r>
        <w:rPr>
          <w:rFonts w:ascii="Times New Roman" w:cs="Times New Roman" w:eastAsia="Times New Roman" w:hAnsi="Times New Roman"/>
          <w:sz w:val="16"/>
          <w:szCs w:val="16"/>
          <w:i w:val="1"/>
          <w:iCs w:val="1"/>
          <w:color w:val="auto"/>
        </w:rPr>
        <w:t xml:space="preserve">Cash-based compensation and benefits expense. </w:t>
      </w:r>
      <w:r>
        <w:rPr>
          <w:rFonts w:ascii="Times New Roman" w:cs="Times New Roman" w:eastAsia="Times New Roman" w:hAnsi="Times New Roman"/>
          <w:sz w:val="16"/>
          <w:szCs w:val="16"/>
          <w:color w:val="auto"/>
        </w:rPr>
        <w:t>Cash-based compensation and benefits expense decreased $161.0</w:t>
      </w:r>
    </w:p>
    <w:p>
      <w:pPr>
        <w:spacing w:after="0" w:line="204" w:lineRule="auto"/>
        <w:rPr>
          <w:sz w:val="20"/>
          <w:szCs w:val="20"/>
          <w:color w:val="auto"/>
        </w:rPr>
      </w:pPr>
      <w:r>
        <w:rPr>
          <w:rFonts w:ascii="Times New Roman" w:cs="Times New Roman" w:eastAsia="Times New Roman" w:hAnsi="Times New Roman"/>
          <w:sz w:val="16"/>
          <w:szCs w:val="16"/>
          <w:color w:val="auto"/>
        </w:rPr>
        <w:t>million, for the year ended December 31, 2024 as compared to 2023, primarily due to a decrease in the portion of bonuses</w:t>
      </w:r>
    </w:p>
    <w:p>
      <w:pPr>
        <w:spacing w:after="0" w:line="203" w:lineRule="auto"/>
        <w:rPr>
          <w:sz w:val="20"/>
          <w:szCs w:val="20"/>
          <w:color w:val="auto"/>
        </w:rPr>
      </w:pPr>
      <w:r>
        <w:rPr>
          <w:rFonts w:ascii="Times New Roman" w:cs="Times New Roman" w:eastAsia="Times New Roman" w:hAnsi="Times New Roman"/>
          <w:sz w:val="16"/>
          <w:szCs w:val="16"/>
          <w:color w:val="auto"/>
        </w:rPr>
        <w:t>funded by fee earnings as a result of the updates to our compensation program effective as of December 31, 2023, which</w:t>
      </w:r>
    </w:p>
    <w:p>
      <w:pPr>
        <w:spacing w:after="0" w:line="204" w:lineRule="auto"/>
        <w:rPr>
          <w:sz w:val="20"/>
          <w:szCs w:val="20"/>
          <w:color w:val="auto"/>
        </w:rPr>
      </w:pPr>
      <w:r>
        <w:rPr>
          <w:rFonts w:ascii="Times New Roman" w:cs="Times New Roman" w:eastAsia="Times New Roman" w:hAnsi="Times New Roman"/>
          <w:sz w:val="16"/>
          <w:szCs w:val="16"/>
          <w:color w:val="auto"/>
        </w:rPr>
        <w:t>resulted in a larger portion of compensation being derived from Realized performance revenues related compensation.</w:t>
      </w:r>
    </w:p>
    <w:p>
      <w:pPr>
        <w:spacing w:after="0" w:line="203" w:lineRule="auto"/>
        <w:rPr>
          <w:sz w:val="20"/>
          <w:szCs w:val="20"/>
          <w:color w:val="auto"/>
        </w:rPr>
      </w:pPr>
      <w:r>
        <w:rPr>
          <w:rFonts w:ascii="Times New Roman" w:cs="Times New Roman" w:eastAsia="Times New Roman" w:hAnsi="Times New Roman"/>
          <w:sz w:val="16"/>
          <w:szCs w:val="16"/>
          <w:color w:val="auto"/>
        </w:rPr>
        <w:t>Additionally, the decrease was further impacted by a decrease in fee related performance compensation of $29.7 million.</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indirect expenses. </w:t>
      </w:r>
      <w:r>
        <w:rPr>
          <w:rFonts w:ascii="Times New Roman" w:cs="Times New Roman" w:eastAsia="Times New Roman" w:hAnsi="Times New Roman"/>
          <w:sz w:val="16"/>
          <w:szCs w:val="16"/>
          <w:color w:val="auto"/>
        </w:rPr>
        <w:t>General, administrative and other indirect expenses decreased</w:t>
      </w:r>
    </w:p>
    <w:p>
      <w:pPr>
        <w:spacing w:after="0" w:line="204" w:lineRule="auto"/>
        <w:rPr>
          <w:sz w:val="20"/>
          <w:szCs w:val="20"/>
          <w:color w:val="auto"/>
        </w:rPr>
      </w:pPr>
      <w:r>
        <w:rPr>
          <w:rFonts w:ascii="Times New Roman" w:cs="Times New Roman" w:eastAsia="Times New Roman" w:hAnsi="Times New Roman"/>
          <w:sz w:val="16"/>
          <w:szCs w:val="16"/>
          <w:color w:val="auto"/>
        </w:rPr>
        <w:t>$26.7 million for the year ended December 31, 2024 as compared to 2023, primarily due to lower professional fees and the</w:t>
      </w:r>
    </w:p>
    <w:p>
      <w:pPr>
        <w:spacing w:after="0" w:line="203" w:lineRule="auto"/>
        <w:rPr>
          <w:sz w:val="20"/>
          <w:szCs w:val="20"/>
          <w:color w:val="auto"/>
        </w:rPr>
      </w:pPr>
      <w:r>
        <w:rPr>
          <w:rFonts w:ascii="Times New Roman" w:cs="Times New Roman" w:eastAsia="Times New Roman" w:hAnsi="Times New Roman"/>
          <w:sz w:val="16"/>
          <w:szCs w:val="16"/>
          <w:color w:val="auto"/>
        </w:rPr>
        <w:t>benefit of lower VAT expense in Asia.</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Fee-earning AUM</w:t>
      </w:r>
    </w:p>
    <w:p>
      <w:pPr>
        <w:ind w:right="2100"/>
        <w:spacing w:after="0" w:line="203" w:lineRule="auto"/>
        <w:rPr>
          <w:sz w:val="20"/>
          <w:szCs w:val="20"/>
          <w:color w:val="auto"/>
        </w:rPr>
      </w:pPr>
      <w:r>
        <w:rPr>
          <w:rFonts w:ascii="Times New Roman" w:cs="Times New Roman" w:eastAsia="Times New Roman" w:hAnsi="Times New Roman"/>
          <w:sz w:val="16"/>
          <w:szCs w:val="16"/>
          <w:color w:val="auto"/>
        </w:rPr>
        <w:t>Fee-earning AUM is presented below for each period together with the components of change during each respective period.</w:t>
      </w:r>
    </w:p>
    <w:p>
      <w:pPr>
        <w:spacing w:after="0" w:line="218" w:lineRule="auto"/>
        <w:rPr>
          <w:sz w:val="20"/>
          <w:szCs w:val="20"/>
          <w:color w:val="auto"/>
        </w:rPr>
      </w:pPr>
      <w:r>
        <w:rPr>
          <w:rFonts w:ascii="Times New Roman" w:cs="Times New Roman" w:eastAsia="Times New Roman" w:hAnsi="Times New Roman"/>
          <w:sz w:val="16"/>
          <w:szCs w:val="16"/>
          <w:color w:val="auto"/>
        </w:rPr>
        <w:t>The table below breaks out Fee-earning AUM by its respective components at each period.</w:t>
      </w: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6"/>
                <w:szCs w:val="16"/>
                <w:color w:val="auto"/>
              </w:rPr>
            </w:pPr>
          </w:p>
        </w:tc>
      </w:tr>
      <w:tr>
        <w:trPr>
          <w:trHeight w:val="188"/>
        </w:trPr>
        <w:tc>
          <w:tcPr>
            <w:tcW w:w="59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6"/>
                <w:szCs w:val="16"/>
                <w:color w:val="auto"/>
              </w:rPr>
            </w:pPr>
          </w:p>
        </w:tc>
      </w:tr>
      <w:tr>
        <w:trPr>
          <w:trHeight w:val="185"/>
        </w:trPr>
        <w:tc>
          <w:tcPr>
            <w:tcW w:w="5980" w:type="dxa"/>
            <w:vAlign w:val="bottom"/>
          </w:tcPr>
          <w:p>
            <w:pPr>
              <w:spacing w:after="0"/>
              <w:rPr>
                <w:sz w:val="16"/>
                <w:szCs w:val="16"/>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780" w:type="dxa"/>
            <w:vAlign w:val="bottom"/>
          </w:tcPr>
          <w:p>
            <w:pPr>
              <w:spacing w:after="0"/>
              <w:rPr>
                <w:sz w:val="16"/>
                <w:szCs w:val="16"/>
                <w:color w:val="auto"/>
              </w:rPr>
            </w:pP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Private Equity</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34"/>
        </w:trPr>
        <w:tc>
          <w:tcPr>
            <w:tcW w:w="598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Components of Fee-earning AUM</w:t>
            </w: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26"/>
        </w:trPr>
        <w:tc>
          <w:tcPr>
            <w:tcW w:w="5980" w:type="dxa"/>
            <w:vAlign w:val="bottom"/>
          </w:tcPr>
          <w:p>
            <w:pPr>
              <w:ind w:left="2080"/>
              <w:spacing w:after="0"/>
              <w:rPr>
                <w:sz w:val="20"/>
                <w:szCs w:val="20"/>
                <w:color w:val="auto"/>
              </w:rPr>
            </w:pPr>
            <w:r>
              <w:rPr>
                <w:rFonts w:ascii="Times New Roman" w:cs="Times New Roman" w:eastAsia="Times New Roman" w:hAnsi="Times New Roman"/>
                <w:sz w:val="10"/>
                <w:szCs w:val="10"/>
                <w:b w:val="1"/>
                <w:bCs w:val="1"/>
                <w:color w:val="auto"/>
              </w:rPr>
              <w:t>(1)</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68"/>
        </w:trPr>
        <w:tc>
          <w:tcPr>
            <w:tcW w:w="5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2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capital commitments</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34,484</w:t>
            </w: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52,172</w:t>
            </w: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invested capital</w:t>
            </w:r>
          </w:p>
        </w:tc>
        <w:tc>
          <w:tcPr>
            <w:tcW w:w="44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52,998</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44,524</w:t>
            </w:r>
          </w:p>
        </w:tc>
      </w:tr>
      <w:tr>
        <w:trPr>
          <w:trHeight w:val="52"/>
        </w:trPr>
        <w:tc>
          <w:tcPr>
            <w:tcW w:w="5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net asset value</w:t>
            </w: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7,348</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6,877</w:t>
            </w: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lower of cost or fair value</w:t>
            </w:r>
          </w:p>
        </w:tc>
        <w:tc>
          <w:tcPr>
            <w:tcW w:w="440" w:type="dxa"/>
            <w:vAlign w:val="bottom"/>
          </w:tcPr>
          <w:p>
            <w:pPr>
              <w:spacing w:after="0"/>
              <w:rPr>
                <w:sz w:val="16"/>
                <w:szCs w:val="16"/>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3,203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3,078</w:t>
            </w:r>
          </w:p>
        </w:tc>
      </w:tr>
      <w:tr>
        <w:trPr>
          <w:trHeight w:val="40"/>
        </w:trPr>
        <w:tc>
          <w:tcPr>
            <w:tcW w:w="59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8"/>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Fee-earning AUM</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98,033</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106,651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Annualized Management Fee Rate</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1.17 %</w:t>
            </w:r>
          </w:p>
        </w:tc>
        <w:tc>
          <w:tcPr>
            <w:tcW w:w="68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1.22 %</w:t>
            </w:r>
          </w:p>
        </w:tc>
      </w:tr>
      <w:tr>
        <w:trPr>
          <w:trHeight w:val="124"/>
        </w:trPr>
        <w:tc>
          <w:tcPr>
            <w:tcW w:w="5980" w:type="dxa"/>
            <w:vAlign w:val="bottom"/>
          </w:tcPr>
          <w:p>
            <w:pPr>
              <w:ind w:left="2000"/>
              <w:spacing w:after="0"/>
              <w:rPr>
                <w:sz w:val="20"/>
                <w:szCs w:val="20"/>
                <w:color w:val="auto"/>
              </w:rPr>
            </w:pPr>
            <w:r>
              <w:rPr>
                <w:rFonts w:ascii="Times New Roman" w:cs="Times New Roman" w:eastAsia="Times New Roman" w:hAnsi="Times New Roman"/>
                <w:sz w:val="10"/>
                <w:szCs w:val="10"/>
                <w:color w:val="auto"/>
              </w:rPr>
              <w:t>(2)</w:t>
            </w: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5259070" cy="152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(1)For additional information concerning the components of Fee-earning AUM, see “—Key Financial Measures—Operating Metrics.”</w:t>
      </w:r>
    </w:p>
    <w:p>
      <w:pPr>
        <w:ind w:right="1420"/>
        <w:spacing w:after="0" w:line="235" w:lineRule="auto"/>
        <w:rPr>
          <w:sz w:val="20"/>
          <w:szCs w:val="20"/>
          <w:color w:val="auto"/>
        </w:rPr>
      </w:pPr>
      <w:r>
        <w:rPr>
          <w:rFonts w:ascii="Times New Roman" w:cs="Times New Roman" w:eastAsia="Times New Roman" w:hAnsi="Times New Roman"/>
          <w:sz w:val="14"/>
          <w:szCs w:val="14"/>
          <w:color w:val="auto"/>
        </w:rPr>
        <w:t>(2)Represents annualized fund management fees divided by the average of the beginning of year and each quarter end’s Fee-earning AUM in the reporting period. Catch-up management fees were excluded in the calculation of the annualized fund management fees.</w:t>
      </w:r>
    </w:p>
    <w:p>
      <w:pPr>
        <w:sectPr>
          <w:pgSz w:w="11900" w:h="16840" w:orient="portrait"/>
          <w:cols w:equalWidth="0" w:num="1">
            <w:col w:w="9400"/>
          </w:cols>
          <w:pgMar w:left="1060" w:top="530"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124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color w:val="auto"/>
        </w:rPr>
        <w:t>The table below provides the period to period rollforward of Fee-earning AUM.</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5259070"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Fee-earning AUM Rollforward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Outflows (including realizations)</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Activity &amp; Other</w:t>
      </w:r>
      <w:r>
        <w:rPr>
          <w:rFonts w:ascii="Times New Roman" w:cs="Times New Roman" w:eastAsia="Times New Roman" w:hAnsi="Times New Roman"/>
          <w:sz w:val="9"/>
          <w:szCs w:val="9"/>
          <w:color w:val="auto"/>
        </w:rPr>
        <w:t>(3)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3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-100330</wp:posOffset>
            </wp:positionV>
            <wp:extent cx="159321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-114300</wp:posOffset>
            </wp:positionV>
            <wp:extent cx="159321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tabs>
          <w:tab w:leader="none" w:pos="600" w:val="left"/>
          <w:tab w:leader="none" w:pos="1260" w:val="left"/>
          <w:tab w:leader="none" w:pos="18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106,651</w:t>
        <w:tab/>
        <w:t>$</w:t>
      </w:r>
      <w:r>
        <w:rPr>
          <w:sz w:val="20"/>
          <w:szCs w:val="20"/>
          <w:color w:val="auto"/>
        </w:rPr>
        <w:tab/>
      </w:r>
      <w:r>
        <w:rPr>
          <w:rFonts w:ascii="Times New Roman" w:cs="Times New Roman" w:eastAsia="Times New Roman" w:hAnsi="Times New Roman"/>
          <w:sz w:val="14"/>
          <w:szCs w:val="14"/>
          <w:color w:val="auto"/>
        </w:rPr>
        <w:t>107,801</w:t>
      </w:r>
    </w:p>
    <w:p>
      <w:pPr>
        <w:spacing w:after="0" w:line="79"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14"/>
          <w:szCs w:val="14"/>
          <w:color w:val="auto"/>
        </w:rPr>
        <w:t>7,696</w:t>
      </w:r>
      <w:r>
        <w:rPr>
          <w:sz w:val="20"/>
          <w:szCs w:val="20"/>
          <w:color w:val="auto"/>
        </w:rPr>
        <w:tab/>
      </w:r>
      <w:r>
        <w:rPr>
          <w:rFonts w:ascii="Times New Roman" w:cs="Times New Roman" w:eastAsia="Times New Roman" w:hAnsi="Times New Roman"/>
          <w:sz w:val="14"/>
          <w:szCs w:val="14"/>
          <w:color w:val="auto"/>
        </w:rPr>
        <w:t>6,863</w:t>
      </w:r>
    </w:p>
    <w:p>
      <w:pPr>
        <w:spacing w:after="0" w:line="79" w:lineRule="exact"/>
        <w:rPr>
          <w:sz w:val="20"/>
          <w:szCs w:val="20"/>
          <w:color w:val="auto"/>
        </w:rPr>
      </w:pPr>
    </w:p>
    <w:p>
      <w:pPr>
        <w:jc w:val="both"/>
        <w:ind w:left="640"/>
        <w:spacing w:after="0"/>
        <w:tabs>
          <w:tab w:leader="none" w:pos="1980" w:val="left"/>
        </w:tabs>
        <w:rPr>
          <w:sz w:val="20"/>
          <w:szCs w:val="20"/>
          <w:color w:val="auto"/>
        </w:rPr>
      </w:pPr>
      <w:r>
        <w:rPr>
          <w:rFonts w:ascii="Times New Roman" w:cs="Times New Roman" w:eastAsia="Times New Roman" w:hAnsi="Times New Roman"/>
          <w:sz w:val="14"/>
          <w:szCs w:val="14"/>
          <w:color w:val="auto"/>
        </w:rPr>
        <w:t>(14,910)</w:t>
      </w:r>
      <w:r>
        <w:rPr>
          <w:sz w:val="20"/>
          <w:szCs w:val="20"/>
          <w:color w:val="auto"/>
        </w:rPr>
        <w:tab/>
      </w:r>
      <w:r>
        <w:rPr>
          <w:rFonts w:ascii="Times New Roman" w:cs="Times New Roman" w:eastAsia="Times New Roman" w:hAnsi="Times New Roman"/>
          <w:sz w:val="14"/>
          <w:szCs w:val="14"/>
          <w:color w:val="auto"/>
        </w:rPr>
        <w:t>(7,917)</w:t>
      </w:r>
    </w:p>
    <w:p>
      <w:pPr>
        <w:spacing w:after="0" w:line="79" w:lineRule="exact"/>
        <w:rPr>
          <w:sz w:val="20"/>
          <w:szCs w:val="20"/>
          <w:color w:val="auto"/>
        </w:rPr>
      </w:pPr>
    </w:p>
    <w:p>
      <w:pPr>
        <w:ind w:left="2100" w:hanging="1276"/>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(413)</w:t>
      </w:r>
    </w:p>
    <w:p>
      <w:pPr>
        <w:spacing w:after="0" w:line="79" w:lineRule="exact"/>
        <w:rPr>
          <w:rFonts w:ascii="Times New Roman" w:cs="Times New Roman" w:eastAsia="Times New Roman" w:hAnsi="Times New Roman"/>
          <w:sz w:val="14"/>
          <w:szCs w:val="14"/>
          <w:color w:val="auto"/>
        </w:rPr>
      </w:pPr>
    </w:p>
    <w:p>
      <w:pPr>
        <w:ind w:left="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(1,164)317</w:t>
      </w:r>
    </w:p>
    <w:p>
      <w:pPr>
        <w:spacing w:after="0" w:line="89" w:lineRule="exact"/>
        <w:rPr>
          <w:sz w:val="20"/>
          <w:szCs w:val="20"/>
          <w:color w:val="auto"/>
        </w:rPr>
      </w:pPr>
    </w:p>
    <w:p>
      <w:pPr>
        <w:spacing w:after="0"/>
        <w:tabs>
          <w:tab w:leader="none" w:pos="680" w:val="left"/>
          <w:tab w:leader="none" w:pos="1260" w:val="left"/>
          <w:tab w:leader="none" w:pos="18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98,033</w:t>
        <w:tab/>
        <w:t>$</w:t>
      </w:r>
      <w:r>
        <w:rPr>
          <w:sz w:val="20"/>
          <w:szCs w:val="20"/>
          <w:color w:val="auto"/>
        </w:rPr>
        <w:tab/>
      </w:r>
      <w:r>
        <w:rPr>
          <w:rFonts w:ascii="Times New Roman" w:cs="Times New Roman" w:eastAsia="Times New Roman" w:hAnsi="Times New Roman"/>
          <w:sz w:val="14"/>
          <w:szCs w:val="14"/>
          <w:b w:val="1"/>
          <w:bCs w:val="1"/>
          <w:color w:val="auto"/>
        </w:rPr>
        <w:t>106,651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-100330</wp:posOffset>
            </wp:positionV>
            <wp:extent cx="159321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93215" cy="76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159321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69" w:lineRule="exact"/>
        <w:rPr>
          <w:sz w:val="20"/>
          <w:szCs w:val="20"/>
          <w:color w:val="auto"/>
        </w:rPr>
      </w:pPr>
    </w:p>
    <w:p>
      <w:pPr>
        <w:sectPr>
          <w:pgSz w:w="11900" w:h="16840" w:orient="portrait"/>
          <w:cols w:equalWidth="0" w:num="2">
            <w:col w:w="5060" w:space="720"/>
            <w:col w:w="3620"/>
          </w:cols>
          <w:pgMar w:left="1060" w:top="1171" w:right="1440" w:bottom="140" w:gutter="0" w:footer="0" w:header="0"/>
        </w:sectPr>
      </w:pPr>
    </w:p>
    <w:p>
      <w:pPr>
        <w:ind w:right="1360"/>
        <w:spacing w:after="0" w:line="220" w:lineRule="auto"/>
        <w:rPr>
          <w:sz w:val="20"/>
          <w:szCs w:val="20"/>
          <w:color w:val="auto"/>
        </w:rPr>
      </w:pPr>
      <w:r>
        <w:rPr>
          <w:rFonts w:ascii="Times New Roman" w:cs="Times New Roman" w:eastAsia="Times New Roman" w:hAnsi="Times New Roman"/>
          <w:sz w:val="14"/>
          <w:szCs w:val="14"/>
          <w:color w:val="auto"/>
        </w:rPr>
        <w:t>(1)Inflows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exclude fundraising amounts during the period for which fees have not yet been activated, which are referenced as Pending Fee -earning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-366395</wp:posOffset>
            </wp:positionV>
            <wp:extent cx="159321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right="1540"/>
        <w:spacing w:after="0" w:line="214" w:lineRule="auto"/>
        <w:rPr>
          <w:sz w:val="20"/>
          <w:szCs w:val="20"/>
          <w:color w:val="auto"/>
        </w:rPr>
      </w:pPr>
      <w:r>
        <w:rPr>
          <w:rFonts w:ascii="Times New Roman" w:cs="Times New Roman" w:eastAsia="Times New Roman" w:hAnsi="Times New Roman"/>
          <w:sz w:val="14"/>
          <w:szCs w:val="14"/>
          <w:color w:val="auto"/>
        </w:rPr>
        <w:t>(2)Outflows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Realizations for funds earning management fees based on commitments during the period do not affect Fee- earning AUM.</w:t>
      </w:r>
    </w:p>
    <w:p>
      <w:pPr>
        <w:spacing w:after="0" w:line="2" w:lineRule="exact"/>
        <w:rPr>
          <w:sz w:val="20"/>
          <w:szCs w:val="20"/>
          <w:color w:val="auto"/>
        </w:rPr>
      </w:pPr>
    </w:p>
    <w:p>
      <w:pPr>
        <w:ind w:right="1380"/>
        <w:spacing w:after="0" w:line="214" w:lineRule="auto"/>
        <w:rPr>
          <w:sz w:val="20"/>
          <w:szCs w:val="20"/>
          <w:color w:val="auto"/>
        </w:rPr>
      </w:pPr>
      <w:r>
        <w:rPr>
          <w:rFonts w:ascii="Times New Roman" w:cs="Times New Roman" w:eastAsia="Times New Roman" w:hAnsi="Times New Roman"/>
          <w:sz w:val="14"/>
          <w:szCs w:val="14"/>
          <w:color w:val="auto"/>
        </w:rPr>
        <w:t>(3)Market Activity &amp; Other represents realized and unrealized gains (losses) on portfolio investments in our carry funds based on the lower of cost or fair value.</w:t>
      </w:r>
    </w:p>
    <w:p>
      <w:pPr>
        <w:spacing w:after="0" w:line="1"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1" w:lineRule="exact"/>
        <w:rPr>
          <w:sz w:val="20"/>
          <w:szCs w:val="20"/>
          <w:color w:val="auto"/>
        </w:rPr>
      </w:pPr>
    </w:p>
    <w:p>
      <w:pPr>
        <w:ind w:right="2100"/>
        <w:spacing w:after="0" w:line="232" w:lineRule="auto"/>
        <w:rPr>
          <w:sz w:val="20"/>
          <w:szCs w:val="20"/>
          <w:color w:val="auto"/>
        </w:rPr>
      </w:pPr>
      <w:r>
        <w:rPr>
          <w:rFonts w:ascii="Times New Roman" w:cs="Times New Roman" w:eastAsia="Times New Roman" w:hAnsi="Times New Roman"/>
          <w:sz w:val="14"/>
          <w:szCs w:val="14"/>
          <w:color w:val="auto"/>
        </w:rPr>
        <w:t>Fee-earning AUM was $98.0 billion at December 31, 2024, a decrease of 8% compared to $106.7 billion at December 31, 2023, as outflows and negative foreign exchange activity exceeded inflows for the period. Outflows of</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$14.9 billion were driven by realizations in funds that charge fees on invested capital, as well as fee basis step-downs in CRP IX, CAP V, and CEP V. Negative foreign exchange activity of $1.2 billion reflected the impact of a strengthening U.S. Dollar on the translation of our EUR- and JPY- denominated funds to USD. Inflows of $ 7.7 billion included the activation of management fees in CJP V and CAP VI and capital deployed in CPI. Investment and distribution activity has no impact for funds still in the original investment period where Fee-earning AUM is based on commitments.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Total AUM</w:t>
      </w:r>
    </w:p>
    <w:p>
      <w:pPr>
        <w:spacing w:after="0" w:line="217" w:lineRule="auto"/>
        <w:rPr>
          <w:sz w:val="20"/>
          <w:szCs w:val="20"/>
          <w:color w:val="auto"/>
        </w:rPr>
      </w:pPr>
      <w:r>
        <w:rPr>
          <w:rFonts w:ascii="Times New Roman" w:cs="Times New Roman" w:eastAsia="Times New Roman" w:hAnsi="Times New Roman"/>
          <w:sz w:val="16"/>
          <w:szCs w:val="16"/>
          <w:color w:val="auto"/>
        </w:rPr>
        <w:t>The table below provides the period to period rollforward of Total AUM.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Private Equity</w:t>
            </w:r>
          </w:p>
        </w:tc>
        <w:tc>
          <w:tcPr>
            <w:tcW w:w="37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AUM Rollforward</w:t>
            </w:r>
          </w:p>
        </w:tc>
        <w:tc>
          <w:tcPr>
            <w:tcW w:w="3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9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4200" w:type="dxa"/>
            <w:vAlign w:val="bottom"/>
            <w:tcBorders>
              <w:bottom w:val="single" w:sz="8" w:color="CCEEFF"/>
            </w:tcBorders>
            <w:gridSpan w:val="2"/>
            <w:shd w:val="clear" w:color="auto" w:fill="CCEEFF"/>
          </w:tcPr>
          <w:p>
            <w:pPr>
              <w:ind w:left="37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161,308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163,098</w:t>
            </w:r>
          </w:p>
        </w:tc>
        <w:tc>
          <w:tcPr>
            <w:tcW w:w="0" w:type="dxa"/>
            <w:vAlign w:val="bottom"/>
          </w:tcPr>
          <w:p>
            <w:pPr>
              <w:spacing w:after="0"/>
              <w:rPr>
                <w:sz w:val="1"/>
                <w:szCs w:val="1"/>
                <w:color w:val="auto"/>
              </w:rPr>
            </w:pPr>
          </w:p>
        </w:tc>
      </w:tr>
      <w:tr>
        <w:trPr>
          <w:trHeight w:val="18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tc>
        <w:tc>
          <w:tcPr>
            <w:tcW w:w="3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12,695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8,759</w:t>
            </w:r>
          </w:p>
        </w:tc>
        <w:tc>
          <w:tcPr>
            <w:tcW w:w="0" w:type="dxa"/>
            <w:vAlign w:val="bottom"/>
          </w:tcPr>
          <w:p>
            <w:pPr>
              <w:spacing w:after="0"/>
              <w:rPr>
                <w:sz w:val="1"/>
                <w:szCs w:val="1"/>
                <w:color w:val="auto"/>
              </w:rPr>
            </w:pPr>
          </w:p>
        </w:tc>
      </w:tr>
      <w:tr>
        <w:trPr>
          <w:trHeight w:val="52"/>
        </w:trPr>
        <w:tc>
          <w:tcPr>
            <w:tcW w:w="19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9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Outflows (including realizations)</w:t>
            </w:r>
          </w:p>
        </w:tc>
        <w:tc>
          <w:tcPr>
            <w:tcW w:w="3740" w:type="dxa"/>
            <w:vAlign w:val="bottom"/>
            <w:vMerge w:val="restart"/>
            <w:shd w:val="clear" w:color="auto" w:fill="CCEEFF"/>
          </w:tcPr>
          <w:p>
            <w:pPr>
              <w:jc w:val="right"/>
              <w:ind w:right="3583"/>
              <w:spacing w:after="0"/>
              <w:rPr>
                <w:sz w:val="20"/>
                <w:szCs w:val="20"/>
                <w:color w:val="auto"/>
              </w:rPr>
            </w:pPr>
            <w:r>
              <w:rPr>
                <w:rFonts w:ascii="Times New Roman" w:cs="Times New Roman" w:eastAsia="Times New Roman" w:hAnsi="Times New Roman"/>
                <w:sz w:val="8"/>
                <w:szCs w:val="8"/>
                <w:color w:val="auto"/>
                <w:w w:val="85"/>
              </w:rPr>
              <w:t>(2)</w:t>
            </w: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8"/>
              <w:spacing w:after="0" w:line="120" w:lineRule="exact"/>
              <w:rPr>
                <w:sz w:val="20"/>
                <w:szCs w:val="20"/>
                <w:color w:val="auto"/>
              </w:rPr>
            </w:pPr>
            <w:r>
              <w:rPr>
                <w:rFonts w:ascii="Times New Roman" w:cs="Times New Roman" w:eastAsia="Times New Roman" w:hAnsi="Times New Roman"/>
                <w:sz w:val="13"/>
                <w:szCs w:val="13"/>
                <w:color w:val="auto"/>
              </w:rPr>
              <w:t>(16,314)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(14,375)</w:t>
            </w:r>
          </w:p>
        </w:tc>
        <w:tc>
          <w:tcPr>
            <w:tcW w:w="0" w:type="dxa"/>
            <w:vAlign w:val="bottom"/>
          </w:tcPr>
          <w:p>
            <w:pPr>
              <w:spacing w:after="0"/>
              <w:rPr>
                <w:sz w:val="1"/>
                <w:szCs w:val="1"/>
                <w:color w:val="auto"/>
              </w:rPr>
            </w:pPr>
          </w:p>
        </w:tc>
      </w:tr>
      <w:tr>
        <w:trPr>
          <w:trHeight w:val="28"/>
        </w:trPr>
        <w:tc>
          <w:tcPr>
            <w:tcW w:w="1920" w:type="dxa"/>
            <w:vAlign w:val="bottom"/>
            <w:shd w:val="clear" w:color="auto" w:fill="CCEEFF"/>
          </w:tcPr>
          <w:p>
            <w:pPr>
              <w:spacing w:after="0"/>
              <w:rPr>
                <w:sz w:val="2"/>
                <w:szCs w:val="2"/>
                <w:color w:val="auto"/>
              </w:rPr>
            </w:pPr>
          </w:p>
        </w:tc>
        <w:tc>
          <w:tcPr>
            <w:tcW w:w="3740" w:type="dxa"/>
            <w:vAlign w:val="bottom"/>
            <w:vMerge w:val="continue"/>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shd w:val="clear" w:color="auto" w:fill="CCEEFF"/>
          </w:tcPr>
          <w:p>
            <w:pPr>
              <w:spacing w:after="0"/>
              <w:rPr>
                <w:sz w:val="8"/>
                <w:szCs w:val="8"/>
                <w:color w:val="auto"/>
              </w:rPr>
            </w:pPr>
          </w:p>
        </w:tc>
        <w:tc>
          <w:tcPr>
            <w:tcW w:w="37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0"/>
                <w:szCs w:val="20"/>
                <w:color w:val="auto"/>
              </w:rPr>
            </w:pPr>
            <w:r>
              <w:rPr>
                <w:rFonts w:ascii="Times New Roman" w:cs="Times New Roman" w:eastAsia="Times New Roman" w:hAnsi="Times New Roman"/>
                <w:sz w:val="3"/>
                <w:szCs w:val="3"/>
                <w:color w:val="auto"/>
              </w:rPr>
              <w:t>Market Activity &amp; Other</w:t>
            </w:r>
          </w:p>
        </w:tc>
        <w:tc>
          <w:tcPr>
            <w:tcW w:w="3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7,533</w:t>
            </w: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3,073</w:t>
            </w:r>
          </w:p>
        </w:tc>
        <w:tc>
          <w:tcPr>
            <w:tcW w:w="0" w:type="dxa"/>
            <w:vAlign w:val="bottom"/>
          </w:tcPr>
          <w:p>
            <w:pPr>
              <w:spacing w:after="0" w:line="20" w:lineRule="exact"/>
              <w:rPr>
                <w:sz w:val="1"/>
                <w:szCs w:val="1"/>
                <w:color w:val="auto"/>
              </w:rPr>
            </w:pPr>
          </w:p>
        </w:tc>
      </w:tr>
      <w:tr>
        <w:trPr>
          <w:trHeight w:val="124"/>
        </w:trPr>
        <w:tc>
          <w:tcPr>
            <w:tcW w:w="1920" w:type="dxa"/>
            <w:vAlign w:val="bottom"/>
          </w:tcPr>
          <w:p>
            <w:pPr>
              <w:ind w:left="1440"/>
              <w:spacing w:after="0"/>
              <w:rPr>
                <w:sz w:val="20"/>
                <w:szCs w:val="20"/>
                <w:color w:val="auto"/>
              </w:rPr>
            </w:pPr>
            <w:r>
              <w:rPr>
                <w:rFonts w:ascii="Times New Roman" w:cs="Times New Roman" w:eastAsia="Times New Roman" w:hAnsi="Times New Roman"/>
                <w:sz w:val="10"/>
                <w:szCs w:val="10"/>
                <w:color w:val="auto"/>
              </w:rPr>
              <w:t>(3)</w:t>
            </w:r>
          </w:p>
        </w:tc>
        <w:tc>
          <w:tcPr>
            <w:tcW w:w="3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9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tc>
        <w:tc>
          <w:tcPr>
            <w:tcW w:w="37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(1,689)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753</w:t>
            </w:r>
          </w:p>
        </w:tc>
        <w:tc>
          <w:tcPr>
            <w:tcW w:w="0" w:type="dxa"/>
            <w:vAlign w:val="bottom"/>
          </w:tcPr>
          <w:p>
            <w:pPr>
              <w:spacing w:after="0"/>
              <w:rPr>
                <w:sz w:val="1"/>
                <w:szCs w:val="1"/>
                <w:color w:val="auto"/>
              </w:rPr>
            </w:pPr>
          </w:p>
        </w:tc>
      </w:tr>
      <w:tr>
        <w:trPr>
          <w:trHeight w:val="182"/>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740" w:type="dxa"/>
            <w:vAlign w:val="bottom"/>
          </w:tcPr>
          <w:p>
            <w:pPr>
              <w:spacing w:after="0"/>
              <w:rPr>
                <w:sz w:val="15"/>
                <w:szCs w:val="15"/>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163,533</w:t>
            </w:r>
          </w:p>
        </w:tc>
        <w:tc>
          <w:tcPr>
            <w:tcW w:w="80" w:type="dxa"/>
            <w:vAlign w:val="bottom"/>
          </w:tcPr>
          <w:p>
            <w:pPr>
              <w:spacing w:after="0"/>
              <w:rPr>
                <w:sz w:val="15"/>
                <w:szCs w:val="15"/>
                <w:color w:val="auto"/>
              </w:rPr>
            </w:pP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161,308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1270</wp:posOffset>
            </wp:positionV>
            <wp:extent cx="16084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spacing w:after="0" w:line="5" w:lineRule="exact"/>
        <w:rPr>
          <w:sz w:val="20"/>
          <w:szCs w:val="20"/>
          <w:color w:val="auto"/>
        </w:rPr>
      </w:pPr>
    </w:p>
    <w:p>
      <w:pPr>
        <w:ind w:right="1460"/>
        <w:spacing w:after="0" w:line="222" w:lineRule="auto"/>
        <w:rPr>
          <w:sz w:val="20"/>
          <w:szCs w:val="20"/>
          <w:color w:val="auto"/>
        </w:rPr>
      </w:pPr>
      <w:r>
        <w:rPr>
          <w:rFonts w:ascii="Times New Roman" w:cs="Times New Roman" w:eastAsia="Times New Roman" w:hAnsi="Times New Roman"/>
          <w:sz w:val="14"/>
          <w:szCs w:val="14"/>
          <w:color w:val="auto"/>
        </w:rPr>
        <w:t>(1)Inflows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-274955</wp:posOffset>
            </wp:positionV>
            <wp:extent cx="16084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608455" cy="7620"/>
                    </a:xfrm>
                    <a:prstGeom prst="rect">
                      <a:avLst/>
                    </a:prstGeom>
                    <a:noFill/>
                  </pic:spPr>
                </pic:pic>
              </a:graphicData>
            </a:graphic>
          </wp:anchor>
        </w:drawing>
      </w:r>
    </w:p>
    <w:p>
      <w:pPr>
        <w:ind w:right="1380"/>
        <w:spacing w:after="0" w:line="235" w:lineRule="auto"/>
        <w:rPr>
          <w:sz w:val="20"/>
          <w:szCs w:val="20"/>
          <w:color w:val="auto"/>
        </w:rPr>
      </w:pPr>
      <w:r>
        <w:rPr>
          <w:rFonts w:ascii="Times New Roman" w:cs="Times New Roman" w:eastAsia="Times New Roman" w:hAnsi="Times New Roman"/>
          <w:sz w:val="14"/>
          <w:szCs w:val="14"/>
          <w:color w:val="auto"/>
        </w:rPr>
        <w:t>(2)Outflows includes distributions net of recallable or recyclable amounts in our carry funds, related co-investment vehicles, and separately managed accounts, gross redemptions in our open-ended funds, and the expiration of available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w:t>
      </w:r>
    </w:p>
    <w:p>
      <w:pPr>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right="1460"/>
        <w:spacing w:after="0" w:line="214" w:lineRule="auto"/>
        <w:rPr>
          <w:sz w:val="20"/>
          <w:szCs w:val="20"/>
          <w:color w:val="auto"/>
        </w:rPr>
      </w:pPr>
      <w:r>
        <w:rPr>
          <w:rFonts w:ascii="Times New Roman" w:cs="Times New Roman" w:eastAsia="Times New Roman" w:hAnsi="Times New Roman"/>
          <w:sz w:val="14"/>
          <w:szCs w:val="14"/>
          <w:color w:val="auto"/>
        </w:rPr>
        <w:t>(3)Market Activity &amp; Other generally represents realized and unrealized gains (losses) on portfolio investments in our carry funds, related co-investment vehicles, and separately managed accounts, as well as the impact of fees, expenses and non-investment income, and other changes in AUM.</w:t>
      </w:r>
    </w:p>
    <w:p>
      <w:pPr>
        <w:spacing w:after="0" w:line="1"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204" w:lineRule="auto"/>
        <w:rPr>
          <w:sz w:val="20"/>
          <w:szCs w:val="20"/>
          <w:color w:val="auto"/>
        </w:rPr>
      </w:pPr>
      <w:r>
        <w:rPr>
          <w:rFonts w:ascii="Times New Roman" w:cs="Times New Roman" w:eastAsia="Times New Roman" w:hAnsi="Times New Roman"/>
          <w:sz w:val="16"/>
          <w:szCs w:val="16"/>
          <w:color w:val="auto"/>
        </w:rPr>
        <w:t>Total AUM was $163.5 billion at December 31, 2024, an increase of 1% compared to $161.3 billion at December 31,</w:t>
      </w:r>
    </w:p>
    <w:p>
      <w:pPr>
        <w:ind w:right="1420"/>
        <w:spacing w:after="0" w:line="241" w:lineRule="auto"/>
        <w:rPr>
          <w:sz w:val="20"/>
          <w:szCs w:val="20"/>
          <w:color w:val="auto"/>
        </w:rPr>
      </w:pPr>
      <w:r>
        <w:rPr>
          <w:rFonts w:ascii="Times New Roman" w:cs="Times New Roman" w:eastAsia="Times New Roman" w:hAnsi="Times New Roman"/>
          <w:sz w:val="14"/>
          <w:szCs w:val="14"/>
          <w:color w:val="auto"/>
        </w:rPr>
        <w:t>2023, as inflows and market appreciation were largely offset by outflows and negative foreign exchange activity for the period. Inflows of $12.7 billion reflected fundraising across the segment, notably in CRP X and CJP V. Market activity of $ 7.5 billion was driven by appreciation in CP VII (15% appreciation for $3.4 billion), CP VIII (21% appreciation for $1.7 billion), and CRP IX (17% appreciation for $ 0.6 billion), partially offset by depreciation in CEP V (- 16% depreciation for $ 1.0 billion). Outflows of $16.3 billion were driven by distributions across the segment, notably in the U.S. buyout, Asia buyout, NGP energy, Japan</w:t>
      </w:r>
    </w:p>
    <w:p>
      <w:pPr>
        <w:sectPr>
          <w:pgSz w:w="11900" w:h="16840" w:orient="portrait"/>
          <w:cols w:equalWidth="0" w:num="1">
            <w:col w:w="9400"/>
          </w:cols>
          <w:pgMar w:left="1060" w:top="1171" w:right="1440" w:bottom="140" w:gutter="0" w:footer="0" w:header="0"/>
          <w:type w:val="continuous"/>
        </w:sectPr>
      </w:pPr>
    </w:p>
    <w:bookmarkStart w:id="102" w:name="page103"/>
    <w:bookmarkEnd w:id="102"/>
    <w:p>
      <w:pPr>
        <w:ind w:right="2260"/>
        <w:spacing w:after="0" w:line="215" w:lineRule="auto"/>
        <w:rPr>
          <w:sz w:val="20"/>
          <w:szCs w:val="20"/>
          <w:color w:val="auto"/>
        </w:rPr>
      </w:pPr>
      <w:r>
        <w:rPr>
          <w:rFonts w:ascii="Times New Roman" w:cs="Times New Roman" w:eastAsia="Times New Roman" w:hAnsi="Times New Roman"/>
          <w:sz w:val="16"/>
          <w:szCs w:val="16"/>
          <w:color w:val="auto"/>
        </w:rPr>
        <w:t>buyout, and international energy funds. Negative foreign exchange activity of $1.7 billion reflected the impact of a strengthening U.S. Dollar on the translation of our EUR- and JPY-denominated funds to USD.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Fund Performance Metrics</w:t>
      </w:r>
    </w:p>
    <w:p>
      <w:pPr>
        <w:spacing w:after="0" w:line="203" w:lineRule="auto"/>
        <w:rPr>
          <w:sz w:val="20"/>
          <w:szCs w:val="20"/>
          <w:color w:val="auto"/>
        </w:rPr>
      </w:pPr>
      <w:r>
        <w:rPr>
          <w:rFonts w:ascii="Times New Roman" w:cs="Times New Roman" w:eastAsia="Times New Roman" w:hAnsi="Times New Roman"/>
          <w:sz w:val="16"/>
          <w:szCs w:val="16"/>
          <w:color w:val="auto"/>
        </w:rPr>
        <w:t>Fund performance information for our investment funds that generally have at least $1.0 billion in capital</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commitments, cumulative equity invested or total value as of December 31, 2024, which we refer to as our “significant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See Part I, Item 1A “Risk Factors—Risks Related to Our Business Operations—Risks Related to the Assets We Manage—The historical returns attributable to our funds, including those presented in this Annual Report on Form 10 - K, should not be considered as indicative of the future results of our funds or of our future results or of any returns expected on an investment in our common stock.”</w:t>
      </w:r>
    </w:p>
    <w:p>
      <w:pPr>
        <w:spacing w:after="0" w:line="4" w:lineRule="exact"/>
        <w:rPr>
          <w:sz w:val="20"/>
          <w:szCs w:val="20"/>
          <w:color w:val="auto"/>
        </w:rPr>
      </w:pPr>
    </w:p>
    <w:p>
      <w:pPr>
        <w:ind w:right="2020"/>
        <w:spacing w:after="0" w:line="222" w:lineRule="auto"/>
        <w:rPr>
          <w:sz w:val="20"/>
          <w:szCs w:val="20"/>
          <w:color w:val="auto"/>
        </w:rPr>
      </w:pPr>
      <w:r>
        <w:rPr>
          <w:rFonts w:ascii="Times New Roman" w:cs="Times New Roman" w:eastAsia="Times New Roman" w:hAnsi="Times New Roman"/>
          <w:sz w:val="16"/>
          <w:szCs w:val="16"/>
          <w:color w:val="auto"/>
        </w:rPr>
        <w:t>The following tables reflect the performance of our significant funds in our Global Private Equity business. See Part I, Item 1 “Business—Our Global Investment Offerings” for a legend of the fund acronyms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126</w:t>
      </w:r>
    </w:p>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ectPr>
          <w:pgSz w:w="11900" w:h="16840" w:orient="portrait"/>
          <w:cols w:equalWidth="0" w:num="1">
            <w:col w:w="9400"/>
          </w:cols>
          <w:pgMar w:left="1060" w:top="557"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15"/>
        </w:trPr>
        <w:tc>
          <w:tcPr>
            <w:tcW w:w="19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(Amounts in millions)</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TOTAL INVESTMENTS</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REALIZED/PARTIALLY</w:t>
            </w:r>
          </w:p>
        </w:tc>
        <w:tc>
          <w:tcPr>
            <w:tcW w:w="0" w:type="dxa"/>
            <w:vAlign w:val="bottom"/>
          </w:tcPr>
          <w:p>
            <w:pPr>
              <w:spacing w:after="0"/>
              <w:rPr>
                <w:sz w:val="1"/>
                <w:szCs w:val="1"/>
                <w:color w:val="auto"/>
              </w:rPr>
            </w:pPr>
          </w:p>
        </w:tc>
      </w:tr>
      <w:tr>
        <w:trPr>
          <w:trHeight w:val="96"/>
        </w:trPr>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4"/>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REALIZED INVESTMENTS</w:t>
            </w: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85"/>
              </w:rPr>
              <w:t>(5)</w:t>
            </w: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As of December 31, 2024</w:t>
            </w: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6"/>
              </w:rPr>
              <w:t>As of December 31, 2024</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9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Fund (Fee Initiation Date/Stepdown Date)</w:t>
            </w: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Committed</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520" w:type="dxa"/>
            <w:vAlign w:val="bottom"/>
            <w:tcBorders>
              <w:bottom w:val="single" w:sz="8" w:color="auto"/>
            </w:tcBorders>
            <w:gridSpan w:val="2"/>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Realized</w:t>
            </w:r>
          </w:p>
        </w:tc>
        <w:tc>
          <w:tcPr>
            <w:tcW w:w="60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42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MOIC</w:t>
            </w:r>
          </w:p>
        </w:tc>
        <w:tc>
          <w:tcPr>
            <w:tcW w:w="440" w:type="dxa"/>
            <w:vAlign w:val="bottom"/>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Gross</w:t>
            </w:r>
          </w:p>
        </w:tc>
        <w:tc>
          <w:tcPr>
            <w:tcW w:w="42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Net</w:t>
            </w:r>
          </w:p>
        </w:tc>
        <w:tc>
          <w:tcPr>
            <w:tcW w:w="70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Net Accrued</w:t>
            </w:r>
          </w:p>
        </w:tc>
        <w:tc>
          <w:tcPr>
            <w:tcW w:w="20" w:type="dxa"/>
            <w:vAlign w:val="bottom"/>
          </w:tcPr>
          <w:p>
            <w:pPr>
              <w:spacing w:after="0"/>
              <w:rPr>
                <w:sz w:val="7"/>
                <w:szCs w:val="7"/>
                <w:color w:val="auto"/>
              </w:rPr>
            </w:pPr>
          </w:p>
        </w:tc>
        <w:tc>
          <w:tcPr>
            <w:tcW w:w="6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44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MOIC</w:t>
            </w:r>
          </w:p>
        </w:tc>
        <w:tc>
          <w:tcPr>
            <w:tcW w:w="44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Gross</w:t>
            </w:r>
          </w:p>
        </w:tc>
        <w:tc>
          <w:tcPr>
            <w:tcW w:w="0" w:type="dxa"/>
            <w:vAlign w:val="bottom"/>
          </w:tcPr>
          <w:p>
            <w:pPr>
              <w:spacing w:after="0"/>
              <w:rPr>
                <w:sz w:val="1"/>
                <w:szCs w:val="1"/>
                <w:color w:val="auto"/>
              </w:rPr>
            </w:pPr>
          </w:p>
        </w:tc>
      </w:tr>
      <w:tr>
        <w:trPr>
          <w:trHeight w:val="96"/>
        </w:trPr>
        <w:tc>
          <w:tcPr>
            <w:tcW w:w="192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(19)</w:t>
            </w:r>
          </w:p>
        </w:tc>
        <w:tc>
          <w:tcPr>
            <w:tcW w:w="680" w:type="dxa"/>
            <w:vAlign w:val="bottom"/>
            <w:gridSpan w:val="2"/>
          </w:tcPr>
          <w:p>
            <w:pPr>
              <w:ind w:left="120"/>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56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Invested</w:t>
            </w:r>
          </w:p>
        </w:tc>
        <w:tc>
          <w:tcPr>
            <w:tcW w:w="64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Invested</w:t>
            </w:r>
          </w:p>
        </w:tc>
        <w:tc>
          <w:tcPr>
            <w:tcW w:w="52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Value (2)</w:t>
            </w:r>
          </w:p>
        </w:tc>
        <w:tc>
          <w:tcPr>
            <w:tcW w:w="60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42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(4)</w:t>
            </w:r>
          </w:p>
        </w:tc>
        <w:tc>
          <w:tcPr>
            <w:tcW w:w="440" w:type="dxa"/>
            <w:vAlign w:val="bottom"/>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IRR</w:t>
            </w:r>
          </w:p>
        </w:tc>
        <w:tc>
          <w:tcPr>
            <w:tcW w:w="42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IRR</w:t>
            </w:r>
          </w:p>
        </w:tc>
        <w:tc>
          <w:tcPr>
            <w:tcW w:w="70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Carry/</w:t>
            </w:r>
          </w:p>
        </w:tc>
        <w:tc>
          <w:tcPr>
            <w:tcW w:w="20" w:type="dxa"/>
            <w:vAlign w:val="bottom"/>
          </w:tcPr>
          <w:p>
            <w:pPr>
              <w:spacing w:after="0"/>
              <w:rPr>
                <w:sz w:val="8"/>
                <w:szCs w:val="8"/>
                <w:color w:val="auto"/>
              </w:rPr>
            </w:pPr>
          </w:p>
        </w:tc>
        <w:tc>
          <w:tcPr>
            <w:tcW w:w="60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Fair</w:t>
            </w:r>
          </w:p>
        </w:tc>
        <w:tc>
          <w:tcPr>
            <w:tcW w:w="4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(4)</w:t>
            </w:r>
          </w:p>
        </w:tc>
        <w:tc>
          <w:tcPr>
            <w:tcW w:w="4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IRR</w:t>
            </w:r>
          </w:p>
        </w:tc>
        <w:tc>
          <w:tcPr>
            <w:tcW w:w="0" w:type="dxa"/>
            <w:vAlign w:val="bottom"/>
          </w:tcPr>
          <w:p>
            <w:pPr>
              <w:spacing w:after="0"/>
              <w:rPr>
                <w:sz w:val="1"/>
                <w:szCs w:val="1"/>
                <w:color w:val="auto"/>
              </w:rPr>
            </w:pPr>
          </w:p>
        </w:tc>
      </w:tr>
      <w:tr>
        <w:trPr>
          <w:trHeight w:val="96"/>
        </w:trPr>
        <w:tc>
          <w:tcPr>
            <w:tcW w:w="1920" w:type="dxa"/>
            <w:vAlign w:val="bottom"/>
          </w:tcPr>
          <w:p>
            <w:pPr>
              <w:spacing w:after="0"/>
              <w:rPr>
                <w:sz w:val="8"/>
                <w:szCs w:val="8"/>
                <w:color w:val="auto"/>
              </w:rPr>
            </w:pPr>
          </w:p>
        </w:tc>
        <w:tc>
          <w:tcPr>
            <w:tcW w:w="680" w:type="dxa"/>
            <w:vAlign w:val="bottom"/>
            <w:gridSpan w:val="2"/>
          </w:tcPr>
          <w:p>
            <w:pPr>
              <w:ind w:left="120"/>
              <w:spacing w:after="0" w:line="96" w:lineRule="exact"/>
              <w:rPr>
                <w:sz w:val="20"/>
                <w:szCs w:val="20"/>
                <w:color w:val="auto"/>
              </w:rPr>
            </w:pPr>
            <w:r>
              <w:rPr>
                <w:rFonts w:ascii="Times New Roman" w:cs="Times New Roman" w:eastAsia="Times New Roman" w:hAnsi="Times New Roman"/>
                <w:sz w:val="10"/>
                <w:szCs w:val="10"/>
                <w:b w:val="1"/>
                <w:bCs w:val="1"/>
                <w:color w:val="auto"/>
              </w:rPr>
              <w:t>(20)</w:t>
            </w:r>
          </w:p>
        </w:tc>
        <w:tc>
          <w:tcPr>
            <w:tcW w:w="56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Capital (1)</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(3)</w:t>
            </w:r>
          </w:p>
        </w:tc>
        <w:tc>
          <w:tcPr>
            <w:tcW w:w="420" w:type="dxa"/>
            <w:vAlign w:val="bottom"/>
          </w:tcPr>
          <w:p>
            <w:pPr>
              <w:spacing w:after="0"/>
              <w:rPr>
                <w:sz w:val="8"/>
                <w:szCs w:val="8"/>
                <w:color w:val="auto"/>
              </w:rPr>
            </w:pPr>
          </w:p>
        </w:tc>
        <w:tc>
          <w:tcPr>
            <w:tcW w:w="440" w:type="dxa"/>
            <w:vAlign w:val="bottom"/>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(6)(12)</w:t>
            </w:r>
          </w:p>
        </w:tc>
        <w:tc>
          <w:tcPr>
            <w:tcW w:w="42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(7)(12)</w:t>
            </w:r>
          </w:p>
        </w:tc>
        <w:tc>
          <w:tcPr>
            <w:tcW w:w="70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(Giveback)</w:t>
            </w:r>
          </w:p>
        </w:tc>
        <w:tc>
          <w:tcPr>
            <w:tcW w:w="20" w:type="dxa"/>
            <w:vAlign w:val="bottom"/>
          </w:tcPr>
          <w:p>
            <w:pPr>
              <w:spacing w:after="0"/>
              <w:rPr>
                <w:sz w:val="8"/>
                <w:szCs w:val="8"/>
                <w:color w:val="auto"/>
              </w:rPr>
            </w:pPr>
          </w:p>
        </w:tc>
        <w:tc>
          <w:tcPr>
            <w:tcW w:w="60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Value (9)</w:t>
            </w:r>
          </w:p>
        </w:tc>
        <w:tc>
          <w:tcPr>
            <w:tcW w:w="440" w:type="dxa"/>
            <w:vAlign w:val="bottom"/>
          </w:tcPr>
          <w:p>
            <w:pPr>
              <w:spacing w:after="0"/>
              <w:rPr>
                <w:sz w:val="8"/>
                <w:szCs w:val="8"/>
                <w:color w:val="auto"/>
              </w:rPr>
            </w:pPr>
          </w:p>
        </w:tc>
        <w:tc>
          <w:tcPr>
            <w:tcW w:w="440" w:type="dxa"/>
            <w:vAlign w:val="bottom"/>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(6)(12)</w:t>
            </w:r>
          </w:p>
        </w:tc>
        <w:tc>
          <w:tcPr>
            <w:tcW w:w="0" w:type="dxa"/>
            <w:vAlign w:val="bottom"/>
          </w:tcPr>
          <w:p>
            <w:pPr>
              <w:spacing w:after="0"/>
              <w:rPr>
                <w:sz w:val="1"/>
                <w:szCs w:val="1"/>
                <w:color w:val="auto"/>
              </w:rPr>
            </w:pPr>
          </w:p>
        </w:tc>
      </w:tr>
      <w:tr>
        <w:trPr>
          <w:trHeight w:val="136"/>
        </w:trPr>
        <w:tc>
          <w:tcPr>
            <w:tcW w:w="1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rPr>
              <w:t>(8)</w:t>
            </w: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Corporate Private Equity</w:t>
            </w:r>
          </w:p>
        </w:tc>
        <w:tc>
          <w:tcPr>
            <w:tcW w:w="2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CP VIII (Oct 2021 / Oct 2027)</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14,797</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9,590</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761</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11,960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22%</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10%</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w:t>
            </w:r>
          </w:p>
        </w:tc>
        <w:tc>
          <w:tcPr>
            <w:tcW w:w="20" w:type="dxa"/>
            <w:vAlign w:val="bottom"/>
          </w:tcPr>
          <w:p>
            <w:pPr>
              <w:spacing w:after="0"/>
              <w:rPr>
                <w:sz w:val="12"/>
                <w:szCs w:val="12"/>
                <w:color w:val="auto"/>
              </w:rPr>
            </w:pPr>
          </w:p>
        </w:tc>
        <w:tc>
          <w:tcPr>
            <w:tcW w:w="60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CP VII (May 2018 / Oct 2021)</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18,510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17,740</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5,344</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22,682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8%</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6,419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1.5x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CP VI (May 2013 / May 2018)</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13,000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13,140</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25,270</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3,212</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2.2x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26,224</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2.5x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CP V (Jun 2007 / May 2013)</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13,720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13,238</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28,109</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2.2x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14%</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28,134</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CEP V (Oct 2018 / Oct 2024)</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6,416</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5,565</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1,446</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5,212</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1.2x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0.0x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Neg</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CEP IV (Sep 2014 / Oct 2018)</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3,670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3,797</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6,197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1,268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2.0x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17%</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6,249</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2.1x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CEP III (Jul 2007 / Dec 2013)</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5,295</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5,177</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11,725</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19%</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14%</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11,658</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 VI (Jun 2024/Jun 2030)</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2,266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n/a</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CAP V (Jun 2018 / Jun 2024)</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6,554</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6,291</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6,591</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1.4x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8%</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1,488</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 IV (Jul 2013 / Jun 2018)</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4,146</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8,360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2.2x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13%</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8,664</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2.4x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gridSpan w:val="2"/>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CJP V (Nov 2024 / Nov 2030)</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4"/>
              </w:rPr>
              <w:t>434,325</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n/a</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CJP IV (Oct 2020 / Nov 2024)</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4"/>
              </w:rPr>
              <w:t>258,000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224,357</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108,478</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276,215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38%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24%</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153,712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3.9x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CJP III (Sep 2013 / Aug 2020)</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4"/>
              </w:rPr>
              <w:t>119,505</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91,192</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257,202</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16,742</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3.0x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18%</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247,857</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3.4x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CGFSP III (Dec 2017 / Dec 2023)</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972</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1,684</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18%</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75</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1,064</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4.3x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CGFSP II (Jun 2013 / Dec 2017)</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943</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1,960</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608</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2.7x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26%</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20%</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1,956</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CP Growth (Oct 2021 / Oct 2027)</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472</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CEOF II (Nov 2015 / Mar 2020)</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2,400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2,364</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4,091</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1,314</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21%</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15%</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4,589</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CETP V (Mar 2022 / Jun 2028)</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3,180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1,209</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1,345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CETP IV (Jul 2019 / Jun 2022)</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1,199</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1,777</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33%</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24%</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1,009</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4.9x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CETP III (Jul 2014 / Jul 2019)</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608</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1,750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330</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3.4x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41%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29%</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1,755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3.8x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0" w:type="dxa"/>
            <w:vAlign w:val="bottom"/>
            <w:gridSpan w:val="2"/>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CGP II (Dec 2020 / Jan 2025)</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984</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1,463</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1.5x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17%</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12%</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tcPr>
          <w:p>
            <w:pPr>
              <w:spacing w:after="0"/>
              <w:rPr>
                <w:sz w:val="12"/>
                <w:szCs w:val="12"/>
                <w:color w:val="auto"/>
              </w:rPr>
            </w:pPr>
          </w:p>
        </w:tc>
        <w:tc>
          <w:tcPr>
            <w:tcW w:w="60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88"/>
        </w:trPr>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CGP (Jan 2015 / Mar 2021)</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3,588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3,206</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1,575</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3,050</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1.4x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6%</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5%</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1,728</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2.2x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All Other Active Funds &amp; Vehicles (10)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19,182</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14,284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16,535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11%</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14,590</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Fully Realized Funds &amp; Vehicles (11)(21)</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34,791</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80,118</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20%</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80,120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2.3x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64"/>
        </w:trPr>
        <w:tc>
          <w:tcPr>
            <w:tcW w:w="2600" w:type="dxa"/>
            <w:vAlign w:val="bottom"/>
            <w:gridSpan w:val="3"/>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0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CORPORATE PRIVATE EQUITY (13)</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147,230</w:t>
            </w: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198,035</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82,940</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1.9x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25%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17%</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1,442</w:t>
            </w:r>
          </w:p>
        </w:tc>
        <w:tc>
          <w:tcPr>
            <w:tcW w:w="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198,918</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2.3x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26%</w:t>
            </w:r>
          </w:p>
        </w:tc>
        <w:tc>
          <w:tcPr>
            <w:tcW w:w="0" w:type="dxa"/>
            <w:vAlign w:val="bottom"/>
          </w:tcPr>
          <w:p>
            <w:pPr>
              <w:spacing w:after="0"/>
              <w:rPr>
                <w:sz w:val="1"/>
                <w:szCs w:val="1"/>
                <w:color w:val="auto"/>
              </w:rPr>
            </w:pPr>
          </w:p>
        </w:tc>
      </w:tr>
      <w:tr>
        <w:trPr>
          <w:trHeight w:val="50"/>
        </w:trPr>
        <w:tc>
          <w:tcPr>
            <w:tcW w:w="1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CRP IX (Oct 2021 / Dec 2024)</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7,987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5,329</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5,938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182</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1.4x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NM</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CRP VIII (Aug 2017 / Oct 2021)</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5,505</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5,160</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5,254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3,793</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1.8x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35%</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20%</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5,352</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CRP VII (Jun 2014 / Dec 2017)</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3,826</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5,077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1,241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17%</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5,040</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1.8x</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64"/>
        </w:trPr>
        <w:tc>
          <w:tcPr>
            <w:tcW w:w="19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20"/>
                <w:szCs w:val="20"/>
                <w:color w:val="auto"/>
              </w:rPr>
            </w:pPr>
            <w:r>
              <w:rPr>
                <w:rFonts w:ascii="Times New Roman" w:cs="Times New Roman" w:eastAsia="Times New Roman" w:hAnsi="Times New Roman"/>
                <w:sz w:val="11"/>
                <w:szCs w:val="11"/>
                <w:color w:val="auto"/>
              </w:rPr>
              <w:t>CRP VI (Mar 2011 / Jun 2014)</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2,340</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2,158</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3,807</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118</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1.8x</w:t>
            </w:r>
          </w:p>
        </w:tc>
        <w:tc>
          <w:tcPr>
            <w:tcW w:w="4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27%</w:t>
            </w:r>
          </w:p>
        </w:tc>
        <w:tc>
          <w:tcPr>
            <w:tcW w:w="4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17%</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3,727</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1.9x</w:t>
            </w: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64"/>
        </w:trPr>
        <w:tc>
          <w:tcPr>
            <w:tcW w:w="19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127</w:t>
      </w:r>
    </w:p>
    <w:p>
      <w:pPr>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right="1360"/>
        <w:spacing w:after="0" w:line="215" w:lineRule="auto"/>
        <w:rPr>
          <w:sz w:val="20"/>
          <w:szCs w:val="20"/>
          <w:color w:val="auto"/>
        </w:rPr>
      </w:pPr>
      <w:r>
        <w:rPr>
          <w:rFonts w:ascii="Times New Roman" w:cs="Times New Roman" w:eastAsia="Times New Roman" w:hAnsi="Times New Roman"/>
          <w:sz w:val="14"/>
          <w:szCs w:val="14"/>
          <w:i w:val="1"/>
          <w:iCs w:val="1"/>
          <w:color w:val="auto"/>
        </w:rPr>
        <w:t>*Net accrued fee related performance revenues for CPI are excluded from Net Accrued Performance Revenues. These amounts will be reflected as fee related performance revenues when realized, and included in Fund level fee revenues in our segment results. There were no</w:t>
      </w:r>
    </w:p>
    <w:p>
      <w:pPr>
        <w:spacing w:after="0" w:line="216" w:lineRule="auto"/>
        <w:rPr>
          <w:sz w:val="20"/>
          <w:szCs w:val="20"/>
          <w:color w:val="auto"/>
        </w:rPr>
      </w:pPr>
      <w:r>
        <w:rPr>
          <w:rFonts w:ascii="Times New Roman" w:cs="Times New Roman" w:eastAsia="Times New Roman" w:hAnsi="Times New Roman"/>
          <w:sz w:val="14"/>
          <w:szCs w:val="14"/>
          <w:i w:val="1"/>
          <w:iCs w:val="1"/>
          <w:color w:val="auto"/>
        </w:rPr>
        <w:t>accrued fee related performance revenues for CPI as of December 31, 2024</w:t>
      </w:r>
      <w:r>
        <w:rPr>
          <w:rFonts w:ascii="Times New Roman" w:cs="Times New Roman" w:eastAsia="Times New Roman" w:hAnsi="Times New Roman"/>
          <w:sz w:val="15"/>
          <w:szCs w:val="15"/>
          <w:i w:val="1"/>
          <w:iCs w:val="1"/>
          <w:color w:val="auto"/>
        </w:rPr>
        <w:t>.</w:t>
      </w:r>
    </w:p>
    <w:p>
      <w:pPr>
        <w:ind w:right="1440"/>
        <w:spacing w:after="0" w:line="224" w:lineRule="auto"/>
        <w:rPr>
          <w:sz w:val="20"/>
          <w:szCs w:val="20"/>
          <w:color w:val="auto"/>
        </w:rPr>
      </w:pPr>
      <w:r>
        <w:rPr>
          <w:rFonts w:ascii="Times New Roman" w:cs="Times New Roman" w:eastAsia="Times New Roman" w:hAnsi="Times New Roman"/>
          <w:sz w:val="14"/>
          <w:szCs w:val="14"/>
          <w:i w:val="1"/>
          <w:iCs w:val="1"/>
          <w:color w:val="auto"/>
        </w:rPr>
        <w:t>**The IRR is incalculable, which occurs in instances when a distribution occurs prior to a Limited Partner capital contribution due to the use of fund -level credit facilities.</w:t>
      </w:r>
    </w:p>
    <w:p>
      <w:pPr>
        <w:spacing w:after="0" w:line="204" w:lineRule="auto"/>
        <w:rPr>
          <w:sz w:val="20"/>
          <w:szCs w:val="20"/>
          <w:color w:val="auto"/>
        </w:rPr>
      </w:pPr>
      <w:r>
        <w:rPr>
          <w:rFonts w:ascii="Times New Roman" w:cs="Times New Roman" w:eastAsia="Times New Roman" w:hAnsi="Times New Roman"/>
          <w:sz w:val="16"/>
          <w:szCs w:val="16"/>
          <w:color w:val="auto"/>
        </w:rPr>
        <w:t>(1)Represents the original cost of investments since inception of the fund.</w:t>
      </w:r>
    </w:p>
    <w:p>
      <w:pPr>
        <w:spacing w:after="0" w:line="204" w:lineRule="auto"/>
        <w:rPr>
          <w:sz w:val="20"/>
          <w:szCs w:val="20"/>
          <w:color w:val="auto"/>
        </w:rPr>
      </w:pPr>
      <w:r>
        <w:rPr>
          <w:rFonts w:ascii="Times New Roman" w:cs="Times New Roman" w:eastAsia="Times New Roman" w:hAnsi="Times New Roman"/>
          <w:sz w:val="16"/>
          <w:szCs w:val="16"/>
          <w:color w:val="auto"/>
        </w:rPr>
        <w:t>(2)Represents all realized proceeds since inception of the fund.</w:t>
      </w:r>
    </w:p>
    <w:p>
      <w:pPr>
        <w:ind w:right="1980"/>
        <w:spacing w:after="0" w:line="203" w:lineRule="auto"/>
        <w:rPr>
          <w:sz w:val="20"/>
          <w:szCs w:val="20"/>
          <w:color w:val="auto"/>
        </w:rPr>
      </w:pPr>
      <w:r>
        <w:rPr>
          <w:rFonts w:ascii="Times New Roman" w:cs="Times New Roman" w:eastAsia="Times New Roman" w:hAnsi="Times New Roman"/>
          <w:sz w:val="16"/>
          <w:szCs w:val="16"/>
          <w:color w:val="auto"/>
        </w:rPr>
        <w:t>(3)Represents remaining fair value, before management fees, expenses and carried interest, and may include remaining escrow values for realized investments.</w:t>
      </w:r>
    </w:p>
    <w:p>
      <w:pPr>
        <w:spacing w:after="0" w:line="1" w:lineRule="exact"/>
        <w:rPr>
          <w:sz w:val="20"/>
          <w:szCs w:val="20"/>
          <w:color w:val="auto"/>
        </w:rPr>
      </w:pPr>
    </w:p>
    <w:p>
      <w:pPr>
        <w:ind w:right="2220"/>
        <w:spacing w:after="0" w:line="203" w:lineRule="auto"/>
        <w:rPr>
          <w:sz w:val="20"/>
          <w:szCs w:val="20"/>
          <w:color w:val="auto"/>
        </w:rPr>
      </w:pPr>
      <w:r>
        <w:rPr>
          <w:rFonts w:ascii="Times New Roman" w:cs="Times New Roman" w:eastAsia="Times New Roman" w:hAnsi="Times New Roman"/>
          <w:sz w:val="16"/>
          <w:szCs w:val="16"/>
          <w:color w:val="auto"/>
        </w:rPr>
        <w:t>(4)Multiple of invested capital (“MOIC”) represents total fair value, before management fees, expenses and carried interest, divided by cumulative invested capital.</w:t>
      </w:r>
    </w:p>
    <w:p>
      <w:pPr>
        <w:spacing w:after="0" w:line="1" w:lineRule="exact"/>
        <w:rPr>
          <w:sz w:val="20"/>
          <w:szCs w:val="20"/>
          <w:color w:val="auto"/>
        </w:rPr>
      </w:pPr>
    </w:p>
    <w:p>
      <w:pPr>
        <w:ind w:right="1780"/>
        <w:spacing w:after="0" w:line="203" w:lineRule="auto"/>
        <w:rPr>
          <w:sz w:val="20"/>
          <w:szCs w:val="20"/>
          <w:color w:val="auto"/>
        </w:rPr>
      </w:pPr>
      <w:r>
        <w:rPr>
          <w:rFonts w:ascii="Times New Roman" w:cs="Times New Roman" w:eastAsia="Times New Roman" w:hAnsi="Times New Roman"/>
          <w:sz w:val="16"/>
          <w:szCs w:val="16"/>
          <w:color w:val="auto"/>
        </w:rPr>
        <w:t>(5)An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 activity has not yet occurred. Realized/Partially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w:t>
      </w:r>
    </w:p>
    <w:p>
      <w:pPr>
        <w:spacing w:after="0" w:line="6" w:lineRule="exact"/>
        <w:rPr>
          <w:sz w:val="20"/>
          <w:szCs w:val="20"/>
          <w:color w:val="auto"/>
        </w:rPr>
      </w:pPr>
    </w:p>
    <w:p>
      <w:pPr>
        <w:ind w:right="1740"/>
        <w:spacing w:after="0" w:line="232" w:lineRule="auto"/>
        <w:rPr>
          <w:sz w:val="20"/>
          <w:szCs w:val="20"/>
          <w:color w:val="auto"/>
        </w:rPr>
      </w:pPr>
      <w:r>
        <w:rPr>
          <w:rFonts w:ascii="Times New Roman" w:cs="Times New Roman" w:eastAsia="Times New Roman" w:hAnsi="Times New Roman"/>
          <w:sz w:val="14"/>
          <w:szCs w:val="14"/>
          <w:color w:val="auto"/>
        </w:rPr>
        <w:t>(6)Gross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w:t>
      </w:r>
    </w:p>
    <w:p>
      <w:pPr>
        <w:spacing w:after="0" w:line="2" w:lineRule="exact"/>
        <w:rPr>
          <w:sz w:val="20"/>
          <w:szCs w:val="20"/>
          <w:color w:val="auto"/>
        </w:rPr>
      </w:pPr>
    </w:p>
    <w:p>
      <w:pPr>
        <w:ind w:right="2020"/>
        <w:spacing w:after="0" w:line="203" w:lineRule="auto"/>
        <w:rPr>
          <w:sz w:val="20"/>
          <w:szCs w:val="20"/>
          <w:color w:val="auto"/>
        </w:rPr>
      </w:pPr>
      <w:r>
        <w:rPr>
          <w:rFonts w:ascii="Times New Roman" w:cs="Times New Roman" w:eastAsia="Times New Roman" w:hAnsi="Times New Roman"/>
          <w:sz w:val="16"/>
          <w:szCs w:val="16"/>
          <w:color w:val="auto"/>
        </w:rPr>
        <w:t>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2" w:lineRule="exact"/>
        <w:rPr>
          <w:sz w:val="20"/>
          <w:szCs w:val="20"/>
          <w:color w:val="auto"/>
        </w:rPr>
      </w:pPr>
    </w:p>
    <w:p>
      <w:pPr>
        <w:ind w:right="1900"/>
        <w:spacing w:after="0" w:line="203" w:lineRule="auto"/>
        <w:rPr>
          <w:sz w:val="20"/>
          <w:szCs w:val="20"/>
          <w:color w:val="auto"/>
        </w:rPr>
      </w:pPr>
      <w:r>
        <w:rPr>
          <w:rFonts w:ascii="Times New Roman" w:cs="Times New Roman" w:eastAsia="Times New Roman" w:hAnsi="Times New Roman"/>
          <w:sz w:val="16"/>
          <w:szCs w:val="16"/>
          <w:color w:val="auto"/>
        </w:rPr>
        <w:t>(7)Net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208" w:lineRule="auto"/>
        <w:rPr>
          <w:sz w:val="20"/>
          <w:szCs w:val="20"/>
          <w:color w:val="auto"/>
        </w:rPr>
      </w:pPr>
      <w:r>
        <w:rPr>
          <w:rFonts w:ascii="Times New Roman" w:cs="Times New Roman" w:eastAsia="Times New Roman" w:hAnsi="Times New Roman"/>
          <w:sz w:val="16"/>
          <w:szCs w:val="16"/>
          <w:color w:val="auto"/>
        </w:rPr>
        <w:t>(8)Represents the net accrued performance revenue balance/(giveback obligation) as of the current quarter end.</w:t>
      </w:r>
    </w:p>
    <w:p>
      <w:pPr>
        <w:ind w:right="1980"/>
        <w:spacing w:after="0" w:line="203" w:lineRule="auto"/>
        <w:rPr>
          <w:sz w:val="20"/>
          <w:szCs w:val="20"/>
          <w:color w:val="auto"/>
        </w:rPr>
      </w:pPr>
      <w:r>
        <w:rPr>
          <w:rFonts w:ascii="Times New Roman" w:cs="Times New Roman" w:eastAsia="Times New Roman" w:hAnsi="Times New Roman"/>
          <w:sz w:val="16"/>
          <w:szCs w:val="16"/>
          <w:color w:val="auto"/>
        </w:rPr>
        <w:t>(9)Represents all realized proceeds combined with remaining fair value, before management fees, expenses and carried interest.</w:t>
      </w:r>
    </w:p>
    <w:p>
      <w:pPr>
        <w:spacing w:after="0" w:line="1"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(10)Aggregate includes the following funds, as well as all active co-investments, separately managed accounts (SMAs), and stand-alone investments arranged by us: MENA, CCI, CSSAF I, CPF I, CAP Growth I, CAP Growth II, CBPF II, CAGP IV, ABV 8, ABV 9 and ACCD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(11)Aggregate includes the following funds, as well as related co-investments, separately managed accounts (SMAs), and</w:t>
      </w:r>
    </w:p>
    <w:p>
      <w:pPr>
        <w:sectPr>
          <w:pgSz w:w="11900" w:h="16840" w:orient="portrait"/>
          <w:cols w:equalWidth="0" w:num="1">
            <w:col w:w="9400"/>
          </w:cols>
          <w:pgMar w:left="1060" w:top="551" w:right="1440" w:bottom="140" w:gutter="0" w:footer="0" w:header="0"/>
        </w:sectPr>
      </w:pPr>
    </w:p>
    <w:bookmarkStart w:id="104" w:name="page105"/>
    <w:bookmarkEnd w:id="104"/>
    <w:p>
      <w:pPr>
        <w:ind w:right="1980"/>
        <w:spacing w:after="0" w:line="211" w:lineRule="auto"/>
        <w:rPr>
          <w:sz w:val="20"/>
          <w:szCs w:val="20"/>
          <w:color w:val="auto"/>
        </w:rPr>
      </w:pPr>
      <w:r>
        <w:rPr>
          <w:rFonts w:ascii="Times New Roman" w:cs="Times New Roman" w:eastAsia="Times New Roman" w:hAnsi="Times New Roman"/>
          <w:sz w:val="16"/>
          <w:szCs w:val="16"/>
          <w:color w:val="auto"/>
        </w:rPr>
        <w:t>certain other stand- alone investments arranged by us: CP I, CP II, CP III, CP IV, CEP I, CEP II, CAP I, CAP II, CAP III, CBPF I, CJP I, CJP II, CMG, CVP I, CVP II, CUSGF III, CGFSP I, CEVP I, CETP I, CETP II, CAVP I, CAVP II, CAGP III, CEOF I, Mexico and CSABF.</w:t>
      </w:r>
    </w:p>
    <w:p>
      <w:pPr>
        <w:spacing w:after="0" w:line="1"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(12)For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sz w:val="20"/>
          <w:szCs w:val="20"/>
          <w:color w:val="auto"/>
        </w:rPr>
      </w:pPr>
    </w:p>
    <w:p>
      <w:pPr>
        <w:ind w:right="1800"/>
        <w:spacing w:after="0" w:line="222" w:lineRule="auto"/>
        <w:rPr>
          <w:sz w:val="20"/>
          <w:szCs w:val="20"/>
          <w:color w:val="auto"/>
        </w:rPr>
      </w:pPr>
      <w:r>
        <w:rPr>
          <w:rFonts w:ascii="Times New Roman" w:cs="Times New Roman" w:eastAsia="Times New Roman" w:hAnsi="Times New Roman"/>
          <w:sz w:val="16"/>
          <w:szCs w:val="16"/>
          <w:color w:val="auto"/>
        </w:rPr>
        <w:t>(13)For purposes of aggregation, funds that report in foreign currency have been converted to U.S. dollars at the reporting period spot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660"/>
        <w:spacing w:after="0" w:line="203" w:lineRule="auto"/>
        <w:rPr>
          <w:sz w:val="20"/>
          <w:szCs w:val="20"/>
          <w:color w:val="auto"/>
        </w:rPr>
      </w:pPr>
      <w:r>
        <w:rPr>
          <w:rFonts w:ascii="Times New Roman" w:cs="Times New Roman" w:eastAsia="Times New Roman" w:hAnsi="Times New Roman"/>
          <w:sz w:val="16"/>
          <w:szCs w:val="16"/>
          <w:color w:val="auto"/>
        </w:rPr>
        <w:t>(14)Aggregate includes the following funds, as well as all active co-investments, separately managed accounts (SMAs), and stand-alone investments arranged by us: CCR, CER I, and CER II.</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(15)Aggregate includes the following funds, as well as related co-investments, separately managed accounts (SMAs), and certain other stand-alone investments arranged by us: CRP I, CRP II, CRP III, CRP IV, CRP V, CRCP I, CAREP I, CAREP II, CEREP I, CEREP II and CEREP III.</w:t>
      </w:r>
    </w:p>
    <w:p>
      <w:pPr>
        <w:spacing w:after="0" w:line="1" w:lineRule="exact"/>
        <w:rPr>
          <w:sz w:val="20"/>
          <w:szCs w:val="20"/>
          <w:color w:val="auto"/>
        </w:rPr>
      </w:pPr>
    </w:p>
    <w:p>
      <w:pPr>
        <w:ind w:right="1920"/>
        <w:spacing w:after="0" w:line="203" w:lineRule="auto"/>
        <w:rPr>
          <w:sz w:val="20"/>
          <w:szCs w:val="20"/>
          <w:color w:val="auto"/>
        </w:rPr>
      </w:pPr>
      <w:r>
        <w:rPr>
          <w:rFonts w:ascii="Times New Roman" w:cs="Times New Roman" w:eastAsia="Times New Roman" w:hAnsi="Times New Roman"/>
          <w:sz w:val="16"/>
          <w:szCs w:val="16"/>
          <w:color w:val="auto"/>
        </w:rPr>
        <w:t>(16)Aggregate includes the following Legacy Energy funds and related co-investments: Energy I, Energy II, Energy III, Energy IV, Renew I, and Renew II.</w:t>
      </w:r>
    </w:p>
    <w:p>
      <w:pPr>
        <w:spacing w:after="0" w:line="1"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(17)Aggregate includes the following funds, as well as all active co-investments, separately managed accounts (SMAs), and stand-alone investments arranged by us: NGP GAP, NGP RP I, NGP RP II, NGP ETP IV, CPOCP, and CRSEF.</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(18)Aggregate includes the following funds, as well as related co-investments, separately managed accounts (SMAs), and certain other stand-alone investments arranged by us: CIP.</w:t>
      </w:r>
    </w:p>
    <w:p>
      <w:pPr>
        <w:spacing w:after="0" w:line="1" w:lineRule="exact"/>
        <w:rPr>
          <w:sz w:val="20"/>
          <w:szCs w:val="20"/>
          <w:color w:val="auto"/>
        </w:rPr>
      </w:pPr>
    </w:p>
    <w:p>
      <w:pPr>
        <w:ind w:right="1900"/>
        <w:spacing w:after="0" w:line="203" w:lineRule="auto"/>
        <w:rPr>
          <w:sz w:val="20"/>
          <w:szCs w:val="20"/>
          <w:color w:val="auto"/>
        </w:rPr>
      </w:pPr>
      <w:r>
        <w:rPr>
          <w:rFonts w:ascii="Times New Roman" w:cs="Times New Roman" w:eastAsia="Times New Roman" w:hAnsi="Times New Roman"/>
          <w:sz w:val="16"/>
          <w:szCs w:val="16"/>
          <w:color w:val="auto"/>
        </w:rPr>
        <w:t>(19)The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(20)All amounts shown represent total capital commitments as of December 31, 2024. Certain of our recent vintage funds are currently in fundraising and total capital commitments are subject to change.</w:t>
      </w:r>
    </w:p>
    <w:p>
      <w:pPr>
        <w:spacing w:after="0" w:line="1" w:lineRule="exact"/>
        <w:rPr>
          <w:sz w:val="20"/>
          <w:szCs w:val="20"/>
          <w:color w:val="auto"/>
        </w:rPr>
      </w:pPr>
    </w:p>
    <w:p>
      <w:pPr>
        <w:ind w:right="1780"/>
        <w:spacing w:after="0" w:line="222" w:lineRule="auto"/>
        <w:rPr>
          <w:sz w:val="20"/>
          <w:szCs w:val="20"/>
          <w:color w:val="auto"/>
        </w:rPr>
      </w:pPr>
      <w:r>
        <w:rPr>
          <w:rFonts w:ascii="Times New Roman" w:cs="Times New Roman" w:eastAsia="Times New Roman" w:hAnsi="Times New Roman"/>
          <w:sz w:val="16"/>
          <w:szCs w:val="16"/>
          <w:color w:val="auto"/>
        </w:rPr>
        <w:t>(21)Funds are included when all investments have been realized. There may be remaining fair value and net accrued carry where there are outstanding escrow balances or undistributed proceeds.</w:t>
      </w:r>
    </w:p>
    <w:p>
      <w:pPr>
        <w:sectPr>
          <w:pgSz w:w="11900" w:h="16840" w:orient="portrait"/>
          <w:cols w:equalWidth="0" w:num="1">
            <w:col w:w="9400"/>
          </w:cols>
          <w:pgMar w:left="1060" w:top="557"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Global Credit</w:t>
      </w:r>
    </w:p>
    <w:p>
      <w:pPr>
        <w:spacing w:after="0" w:line="217" w:lineRule="auto"/>
        <w:rPr>
          <w:sz w:val="20"/>
          <w:szCs w:val="20"/>
          <w:color w:val="auto"/>
        </w:rPr>
      </w:pPr>
      <w:r>
        <w:rPr>
          <w:rFonts w:ascii="Times New Roman" w:cs="Times New Roman" w:eastAsia="Times New Roman" w:hAnsi="Times New Roman"/>
          <w:sz w:val="16"/>
          <w:szCs w:val="16"/>
          <w:color w:val="auto"/>
        </w:rPr>
        <w:t>The following table presents our results of operations for our Global Credit segment:</w:t>
      </w: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558.3</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512.2</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46.1</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76.8</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109.1</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89.1</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806.2</w:t>
            </w:r>
          </w:p>
        </w:tc>
        <w:tc>
          <w:tcPr>
            <w:tcW w:w="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663.3</w:t>
            </w: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142.9</w:t>
            </w: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22</w:t>
            </w:r>
          </w:p>
        </w:tc>
        <w:tc>
          <w:tcPr>
            <w:tcW w:w="8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25</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12</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923.4</w:t>
            </w:r>
          </w:p>
        </w:tc>
        <w:tc>
          <w:tcPr>
            <w:tcW w:w="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778.6</w:t>
            </w: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144.8</w:t>
            </w: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19</w:t>
            </w:r>
          </w:p>
        </w:tc>
        <w:tc>
          <w:tcPr>
            <w:tcW w:w="8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320.1</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324.5</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40"/>
        </w:trPr>
        <w:tc>
          <w:tcPr>
            <w:tcW w:w="42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339.5</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344.8</w:t>
            </w: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General, administrative, and other indirect expenses</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140.4</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106.8</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31</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74</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18</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546.1</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504.2</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377.3</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274.4</w:t>
            </w:r>
          </w:p>
        </w:tc>
        <w:tc>
          <w:tcPr>
            <w:tcW w:w="20" w:type="dxa"/>
            <w:vAlign w:val="bottom"/>
          </w:tcPr>
          <w:p>
            <w:pPr>
              <w:spacing w:after="0"/>
              <w:rPr>
                <w:sz w:val="15"/>
                <w:szCs w:val="15"/>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102.9</w:t>
            </w: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38 %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25</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36</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332.5</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224.4</w:t>
            </w:r>
          </w:p>
        </w:tc>
        <w:tc>
          <w:tcPr>
            <w:tcW w:w="20" w:type="dxa"/>
            <w:vAlign w:val="bottom"/>
          </w:tcPr>
          <w:p>
            <w:pPr>
              <w:spacing w:after="0"/>
              <w:rPr>
                <w:sz w:val="15"/>
                <w:szCs w:val="15"/>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108.1</w:t>
            </w: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48 %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400"/>
          </w:cols>
          <w:pgMar w:left="1060" w:top="1440" w:right="1440"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Distributable Earnings</w:t>
      </w:r>
    </w:p>
    <w:p>
      <w:pPr>
        <w:ind w:right="1840"/>
        <w:spacing w:after="0" w:line="268" w:lineRule="auto"/>
        <w:rPr>
          <w:sz w:val="20"/>
          <w:szCs w:val="20"/>
          <w:color w:val="auto"/>
        </w:rPr>
      </w:pPr>
      <w:r>
        <w:rPr>
          <w:rFonts w:ascii="Times New Roman" w:cs="Times New Roman" w:eastAsia="Times New Roman" w:hAnsi="Times New Roman"/>
          <w:sz w:val="14"/>
          <w:szCs w:val="14"/>
          <w:color w:val="auto"/>
        </w:rPr>
        <w:t>Distributable Earnings increased $102.9 million for the year ended December 31, 2024 as compared to 2023. The following table provides the components of the changes in Distributable Earnings for the year ended December 31, 2024:</w:t>
      </w:r>
    </w:p>
    <w:p>
      <w:pPr>
        <w:sectPr>
          <w:pgSz w:w="11900" w:h="16840" w:orient="portrait"/>
          <w:cols w:equalWidth="0" w:num="1">
            <w:col w:w="9400"/>
          </w:cols>
          <w:pgMar w:left="1060" w:top="1440" w:right="1440" w:bottom="277"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560" w:type="dxa"/>
            <w:vAlign w:val="bottom"/>
          </w:tcPr>
          <w:p>
            <w:pPr>
              <w:spacing w:after="0"/>
              <w:rPr>
                <w:sz w:val="16"/>
                <w:szCs w:val="16"/>
                <w:color w:val="auto"/>
              </w:rPr>
            </w:pPr>
          </w:p>
        </w:tc>
      </w:tr>
      <w:tr>
        <w:trPr>
          <w:trHeight w:val="205"/>
        </w:trPr>
        <w:tc>
          <w:tcPr>
            <w:tcW w:w="46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Pr>
          <w:p>
            <w:pPr>
              <w:spacing w:after="0"/>
              <w:rPr>
                <w:sz w:val="17"/>
                <w:szCs w:val="17"/>
                <w:color w:val="auto"/>
              </w:rPr>
            </w:pPr>
          </w:p>
        </w:tc>
      </w:tr>
      <w:tr>
        <w:trPr>
          <w:trHeight w:val="23"/>
        </w:trPr>
        <w:tc>
          <w:tcPr>
            <w:tcW w:w="4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7"/>
        </w:trPr>
        <w:tc>
          <w:tcPr>
            <w:tcW w:w="46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560" w:type="dxa"/>
            <w:vAlign w:val="bottom"/>
          </w:tcPr>
          <w:p>
            <w:pPr>
              <w:spacing w:after="0"/>
              <w:rPr>
                <w:sz w:val="17"/>
                <w:szCs w:val="17"/>
                <w:color w:val="auto"/>
              </w:rPr>
            </w:pPr>
          </w:p>
        </w:tc>
      </w:tr>
      <w:tr>
        <w:trPr>
          <w:trHeight w:val="23"/>
        </w:trPr>
        <w:tc>
          <w:tcPr>
            <w:tcW w:w="46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97"/>
        </w:trPr>
        <w:tc>
          <w:tcPr>
            <w:tcW w:w="46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
        </w:trPr>
        <w:tc>
          <w:tcPr>
            <w:tcW w:w="4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Distributable Earnings, December 31, 2023</w:t>
            </w: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274.4</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Increases (decreases):</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7"/>
        </w:trPr>
        <w:tc>
          <w:tcPr>
            <w:tcW w:w="4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108.1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realized net performance revenues</w:t>
            </w:r>
          </w:p>
        </w:tc>
        <w:tc>
          <w:tcPr>
            <w:tcW w:w="9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w:t>
            </w:r>
          </w:p>
        </w:tc>
      </w:tr>
      <w:tr>
        <w:trPr>
          <w:trHeight w:val="37"/>
        </w:trPr>
        <w:tc>
          <w:tcPr>
            <w:tcW w:w="4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realized principal investment income</w:t>
            </w: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net interest</w:t>
            </w:r>
          </w:p>
        </w:tc>
        <w:tc>
          <w:tcPr>
            <w:tcW w:w="9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37"/>
        </w:trPr>
        <w:tc>
          <w:tcPr>
            <w:tcW w:w="46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increase</w:t>
            </w: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102.9</w:t>
            </w:r>
          </w:p>
        </w:tc>
      </w:tr>
      <w:tr>
        <w:trPr>
          <w:trHeight w:val="195"/>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 December 31, 2024</w:t>
            </w: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635</wp:posOffset>
            </wp:positionV>
            <wp:extent cx="9829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82980" cy="7620"/>
                    </a:xfrm>
                    <a:prstGeom prst="rect">
                      <a:avLst/>
                    </a:prstGeom>
                    <a:noFill/>
                  </pic:spPr>
                </pic:pic>
              </a:graphicData>
            </a:graphic>
          </wp:anchor>
        </w:drawing>
      </w:r>
    </w:p>
    <w:p>
      <w:pPr>
        <w:spacing w:after="0" w:line="2" w:lineRule="exact"/>
        <w:rPr>
          <w:sz w:val="20"/>
          <w:szCs w:val="20"/>
          <w:color w:val="auto"/>
        </w:rPr>
      </w:pPr>
    </w:p>
    <w:p>
      <w:pPr>
        <w:ind w:right="1900"/>
        <w:spacing w:after="0" w:line="212" w:lineRule="auto"/>
        <w:rPr>
          <w:sz w:val="20"/>
          <w:szCs w:val="20"/>
          <w:color w:val="auto"/>
        </w:rPr>
      </w:pPr>
      <w:r>
        <w:rPr>
          <w:rFonts w:ascii="Times New Roman" w:cs="Times New Roman" w:eastAsia="Times New Roman" w:hAnsi="Times New Roman"/>
          <w:sz w:val="16"/>
          <w:szCs w:val="16"/>
          <w:i w:val="1"/>
          <w:iCs w:val="1"/>
          <w:color w:val="auto"/>
        </w:rPr>
        <w:t xml:space="preserve">Realized Net Performance Revenues. </w:t>
      </w:r>
      <w:r>
        <w:rPr>
          <w:rFonts w:ascii="Times New Roman" w:cs="Times New Roman" w:eastAsia="Times New Roman" w:hAnsi="Times New Roman"/>
          <w:sz w:val="16"/>
          <w:szCs w:val="16"/>
          <w:color w:val="auto"/>
        </w:rPr>
        <w:t>Realized net performance revenues decreased $10.6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as compared to 2023, primarily due to a decrease in realized net performance revenues generated by CCOF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-299720</wp:posOffset>
            </wp:positionV>
            <wp:extent cx="98298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82980" cy="7620"/>
                    </a:xfrm>
                    <a:prstGeom prst="rect">
                      <a:avLst/>
                    </a:prstGeom>
                    <a:noFill/>
                  </pic:spPr>
                </pic:pic>
              </a:graphicData>
            </a:graphic>
          </wp:anchor>
        </w:drawing>
      </w:r>
    </w:p>
    <w:p>
      <w:pPr>
        <w:ind w:right="166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Realized Principal Investment Income. </w:t>
      </w:r>
      <w:r>
        <w:rPr>
          <w:rFonts w:ascii="Times New Roman" w:cs="Times New Roman" w:eastAsia="Times New Roman" w:hAnsi="Times New Roman"/>
          <w:sz w:val="16"/>
          <w:szCs w:val="16"/>
          <w:color w:val="auto"/>
        </w:rPr>
        <w:t>Realized principal investment income increased $9.1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as compared to 2023, primarily driven by higher realized principal investment income from our indirect investment in Fortitude.</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Fee Related Earnings</w:t>
      </w:r>
    </w:p>
    <w:p>
      <w:pPr>
        <w:ind w:right="1820" w:firstLine="576"/>
        <w:spacing w:after="0" w:line="241" w:lineRule="auto"/>
        <w:rPr>
          <w:sz w:val="20"/>
          <w:szCs w:val="20"/>
          <w:color w:val="auto"/>
        </w:rPr>
      </w:pPr>
      <w:r>
        <w:rPr>
          <w:rFonts w:ascii="Times New Roman" w:cs="Times New Roman" w:eastAsia="Times New Roman" w:hAnsi="Times New Roman"/>
          <w:sz w:val="14"/>
          <w:szCs w:val="14"/>
          <w:color w:val="auto"/>
        </w:rPr>
        <w:t>Fee Related Earnings increased $108.1 million for the year ended December 31, 2024 as compared to 2023. The following table provides the components of the changes in Fee Related Earnings for the year ended December 31, 2024:</w:t>
      </w:r>
    </w:p>
    <w:tbl>
      <w:tblPr>
        <w:tblLayout w:type="fixed"/>
        <w:tblInd w:w="0" w:type="dxa"/>
        <w:tblCellMar>
          <w:top w:w="0" w:type="dxa"/>
          <w:left w:w="0" w:type="dxa"/>
          <w:bottom w:w="0" w:type="dxa"/>
          <w:right w:w="0" w:type="dxa"/>
        </w:tblCellMar>
      </w:tblPr>
      <w:tr>
        <w:trPr>
          <w:trHeight w:val="140"/>
        </w:trPr>
        <w:tc>
          <w:tcPr>
            <w:tcW w:w="5000" w:type="dxa"/>
            <w:vAlign w:val="bottom"/>
          </w:tcPr>
          <w:p>
            <w:pPr>
              <w:spacing w:after="0"/>
              <w:rPr>
                <w:sz w:val="12"/>
                <w:szCs w:val="12"/>
                <w:color w:val="auto"/>
              </w:rPr>
            </w:pPr>
          </w:p>
        </w:tc>
        <w:tc>
          <w:tcPr>
            <w:tcW w:w="100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540" w:type="dxa"/>
            <w:vAlign w:val="bottom"/>
          </w:tcPr>
          <w:p>
            <w:pPr>
              <w:spacing w:after="0"/>
              <w:rPr>
                <w:sz w:val="12"/>
                <w:szCs w:val="12"/>
                <w:color w:val="auto"/>
              </w:rPr>
            </w:pPr>
          </w:p>
        </w:tc>
      </w:tr>
      <w:tr>
        <w:trPr>
          <w:trHeight w:val="205"/>
        </w:trPr>
        <w:tc>
          <w:tcPr>
            <w:tcW w:w="500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Pr>
          <w:p>
            <w:pPr>
              <w:spacing w:after="0"/>
              <w:rPr>
                <w:sz w:val="17"/>
                <w:szCs w:val="17"/>
                <w:color w:val="auto"/>
              </w:rPr>
            </w:pPr>
          </w:p>
        </w:tc>
      </w:tr>
      <w:tr>
        <w:trPr>
          <w:trHeight w:val="23"/>
        </w:trPr>
        <w:tc>
          <w:tcPr>
            <w:tcW w:w="5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7"/>
        </w:trPr>
        <w:tc>
          <w:tcPr>
            <w:tcW w:w="500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540" w:type="dxa"/>
            <w:vAlign w:val="bottom"/>
          </w:tcPr>
          <w:p>
            <w:pPr>
              <w:spacing w:after="0"/>
              <w:rPr>
                <w:sz w:val="17"/>
                <w:szCs w:val="17"/>
                <w:color w:val="auto"/>
              </w:rPr>
            </w:pPr>
          </w:p>
        </w:tc>
      </w:tr>
      <w:tr>
        <w:trPr>
          <w:trHeight w:val="23"/>
        </w:trPr>
        <w:tc>
          <w:tcPr>
            <w:tcW w:w="50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97"/>
        </w:trPr>
        <w:tc>
          <w:tcPr>
            <w:tcW w:w="50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Fee Related Earnings, December 31, 2023</w:t>
            </w: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224.4</w:t>
            </w: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Increases (Decreases):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7"/>
        </w:trPr>
        <w:tc>
          <w:tcPr>
            <w:tcW w:w="5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2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fee revenues</w:t>
            </w:r>
          </w:p>
        </w:tc>
        <w:tc>
          <w:tcPr>
            <w:tcW w:w="1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142.9</w:t>
            </w: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000" w:type="dxa"/>
            <w:vAlign w:val="bottom"/>
          </w:tcPr>
          <w:p>
            <w:pPr>
              <w:spacing w:after="0"/>
              <w:rPr>
                <w:sz w:val="17"/>
                <w:szCs w:val="17"/>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r>
      <w:tr>
        <w:trPr>
          <w:trHeight w:val="37"/>
        </w:trPr>
        <w:tc>
          <w:tcPr>
            <w:tcW w:w="5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08"/>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w:t>
            </w:r>
          </w:p>
        </w:tc>
      </w:tr>
      <w:tr>
        <w:trPr>
          <w:trHeight w:val="203"/>
        </w:trPr>
        <w:tc>
          <w:tcPr>
            <w:tcW w:w="5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 other changes</w:t>
            </w:r>
          </w:p>
        </w:tc>
        <w:tc>
          <w:tcPr>
            <w:tcW w:w="10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r>
      <w:tr>
        <w:trPr>
          <w:trHeight w:val="37"/>
        </w:trPr>
        <w:tc>
          <w:tcPr>
            <w:tcW w:w="50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2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increase</w:t>
            </w:r>
          </w:p>
        </w:tc>
        <w:tc>
          <w:tcPr>
            <w:tcW w:w="10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108.1</w:t>
            </w: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Fee Related Earnings, December 31, 2024</w:t>
            </w: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332.5</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80"/>
        <w:spacing w:after="0" w:line="211" w:lineRule="auto"/>
        <w:rPr>
          <w:sz w:val="20"/>
          <w:szCs w:val="20"/>
          <w:color w:val="auto"/>
        </w:rPr>
      </w:pPr>
      <w:r>
        <w:rPr>
          <w:rFonts w:ascii="Times New Roman" w:cs="Times New Roman" w:eastAsia="Times New Roman" w:hAnsi="Times New Roman"/>
          <w:sz w:val="16"/>
          <w:szCs w:val="16"/>
          <w:i w:val="1"/>
          <w:iCs w:val="1"/>
          <w:color w:val="auto"/>
        </w:rPr>
        <w:t xml:space="preserve">Fee Revenues. </w:t>
      </w:r>
      <w:r>
        <w:rPr>
          <w:rFonts w:ascii="Times New Roman" w:cs="Times New Roman" w:eastAsia="Times New Roman" w:hAnsi="Times New Roman"/>
          <w:sz w:val="16"/>
          <w:szCs w:val="16"/>
          <w:color w:val="auto"/>
        </w:rPr>
        <w:t>Fee revenues increased $142.9 million for the year ended December 31, 2024 as compared to 2023, due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following:</w:t>
      </w:r>
    </w:p>
    <w:tbl>
      <w:tblPr>
        <w:tblLayout w:type="fixed"/>
        <w:tblInd w:w="0" w:type="dxa"/>
        <w:tblCellMar>
          <w:top w:w="0" w:type="dxa"/>
          <w:left w:w="0" w:type="dxa"/>
          <w:bottom w:w="0" w:type="dxa"/>
          <w:right w:w="0" w:type="dxa"/>
        </w:tblCellMar>
      </w:tblPr>
      <w:tr>
        <w:trPr>
          <w:trHeight w:val="140"/>
        </w:trPr>
        <w:tc>
          <w:tcPr>
            <w:tcW w:w="5000" w:type="dxa"/>
            <w:vAlign w:val="bottom"/>
          </w:tcPr>
          <w:p>
            <w:pPr>
              <w:spacing w:after="0"/>
              <w:rPr>
                <w:sz w:val="12"/>
                <w:szCs w:val="12"/>
                <w:color w:val="auto"/>
              </w:rPr>
            </w:pPr>
          </w:p>
        </w:tc>
        <w:tc>
          <w:tcPr>
            <w:tcW w:w="102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Year Ended</w:t>
            </w:r>
          </w:p>
        </w:tc>
        <w:tc>
          <w:tcPr>
            <w:tcW w:w="600" w:type="dxa"/>
            <w:vAlign w:val="bottom"/>
          </w:tcPr>
          <w:p>
            <w:pPr>
              <w:spacing w:after="0"/>
              <w:rPr>
                <w:sz w:val="12"/>
                <w:szCs w:val="12"/>
                <w:color w:val="auto"/>
              </w:rPr>
            </w:pPr>
          </w:p>
        </w:tc>
      </w:tr>
      <w:tr>
        <w:trPr>
          <w:trHeight w:val="205"/>
        </w:trPr>
        <w:tc>
          <w:tcPr>
            <w:tcW w:w="50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0" w:type="dxa"/>
            <w:vAlign w:val="bottom"/>
          </w:tcPr>
          <w:p>
            <w:pPr>
              <w:spacing w:after="0"/>
              <w:rPr>
                <w:sz w:val="17"/>
                <w:szCs w:val="17"/>
                <w:color w:val="auto"/>
              </w:rPr>
            </w:pPr>
          </w:p>
        </w:tc>
      </w:tr>
      <w:tr>
        <w:trPr>
          <w:trHeight w:val="23"/>
        </w:trPr>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7"/>
        </w:trPr>
        <w:tc>
          <w:tcPr>
            <w:tcW w:w="500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600" w:type="dxa"/>
            <w:vAlign w:val="bottom"/>
          </w:tcPr>
          <w:p>
            <w:pPr>
              <w:spacing w:after="0"/>
              <w:rPr>
                <w:sz w:val="17"/>
                <w:szCs w:val="17"/>
                <w:color w:val="auto"/>
              </w:rPr>
            </w:pPr>
          </w:p>
        </w:tc>
      </w:tr>
      <w:tr>
        <w:trPr>
          <w:trHeight w:val="23"/>
        </w:trPr>
        <w:tc>
          <w:tcPr>
            <w:tcW w:w="50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97"/>
        </w:trPr>
        <w:tc>
          <w:tcPr>
            <w:tcW w:w="50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Higher fund management fees</w:t>
            </w: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46.1</w:t>
            </w: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Higher portfolio advisory and transaction fees, net and other</w:t>
            </w:r>
          </w:p>
        </w:tc>
        <w:tc>
          <w:tcPr>
            <w:tcW w:w="1020" w:type="dxa"/>
            <w:vAlign w:val="bottom"/>
          </w:tcPr>
          <w:p>
            <w:pPr>
              <w:spacing w:after="0"/>
              <w:rPr>
                <w:sz w:val="17"/>
                <w:szCs w:val="17"/>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76.8</w:t>
            </w:r>
          </w:p>
        </w:tc>
      </w:tr>
      <w:tr>
        <w:trPr>
          <w:trHeight w:val="37"/>
        </w:trPr>
        <w:tc>
          <w:tcPr>
            <w:tcW w:w="5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Higher fee related performance revenues</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20.0</w:t>
            </w:r>
          </w:p>
        </w:tc>
      </w:tr>
      <w:tr>
        <w:trPr>
          <w:trHeight w:val="19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Total increase in fee revenues</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635</wp:posOffset>
            </wp:positionV>
            <wp:extent cx="1028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The increase in fund management fees for the year ended December 31, 2024 as compared to 2023 was primarily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-101600</wp:posOffset>
            </wp:positionV>
            <wp:extent cx="1028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028700" cy="7620"/>
                    </a:xfrm>
                    <a:prstGeom prst="rect">
                      <a:avLst/>
                    </a:prstGeom>
                    <a:noFill/>
                  </pic:spPr>
                </pic:pic>
              </a:graphicData>
            </a:graphic>
          </wp:anchor>
        </w:drawing>
      </w:r>
    </w:p>
    <w:p>
      <w:pPr>
        <w:ind w:right="1400"/>
        <w:spacing w:after="0" w:line="203" w:lineRule="auto"/>
        <w:rPr>
          <w:sz w:val="20"/>
          <w:szCs w:val="20"/>
          <w:color w:val="auto"/>
        </w:rPr>
      </w:pPr>
      <w:r>
        <w:rPr>
          <w:rFonts w:ascii="Times New Roman" w:cs="Times New Roman" w:eastAsia="Times New Roman" w:hAnsi="Times New Roman"/>
          <w:sz w:val="16"/>
          <w:szCs w:val="16"/>
          <w:color w:val="auto"/>
        </w:rPr>
        <w:t>driven by closed reinsurance transactions at Fortitude in the fourth quarter of 2023, which increased the fee basis under the strategic advisory services agreement, as well as increases reflecting the impact of inflows and capital deployment in CTAC and CCOF III. These increases were partially offset by modest declines in management fees from CLOs due to net capital outflows during the year ended December 31, 2024.</w:t>
      </w:r>
    </w:p>
    <w:p>
      <w:pPr>
        <w:spacing w:after="0" w:line="2" w:lineRule="exact"/>
        <w:rPr>
          <w:sz w:val="20"/>
          <w:szCs w:val="20"/>
          <w:color w:val="auto"/>
        </w:rPr>
      </w:pPr>
    </w:p>
    <w:p>
      <w:pPr>
        <w:jc w:val="both"/>
        <w:ind w:right="1600" w:firstLine="576"/>
        <w:spacing w:after="0" w:line="213" w:lineRule="auto"/>
        <w:rPr>
          <w:sz w:val="20"/>
          <w:szCs w:val="20"/>
          <w:color w:val="auto"/>
        </w:rPr>
      </w:pPr>
      <w:r>
        <w:rPr>
          <w:rFonts w:ascii="Times New Roman" w:cs="Times New Roman" w:eastAsia="Times New Roman" w:hAnsi="Times New Roman"/>
          <w:sz w:val="16"/>
          <w:szCs w:val="16"/>
          <w:color w:val="auto"/>
        </w:rPr>
        <w:t>The increase in portfolio advisory and transaction fees, net, and other fees for the year ended December 31, 2024 as compared to 2023 was primarily driven by an increase in capital markets fees. The recognition of capital markets fees can be volatile as they are primarily generated by investment activity. See “—Trends Affecting Our Business” for further discussion on our investment activity and broader market trends.</w:t>
      </w:r>
    </w:p>
    <w:p>
      <w:pPr>
        <w:sectPr>
          <w:pgSz w:w="11900" w:h="16840" w:orient="portrait"/>
          <w:cols w:equalWidth="0" w:num="1">
            <w:col w:w="9400"/>
          </w:cols>
          <w:pgMar w:left="1060" w:top="530" w:right="1440" w:bottom="115"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color w:val="auto"/>
        </w:rPr>
        <w:t>The increase in fee related performance revenues for the year ended December 31, 2024 as compared to 2023 was</w:t>
      </w:r>
    </w:p>
    <w:p>
      <w:pPr>
        <w:ind w:right="1460"/>
        <w:spacing w:after="0" w:line="203" w:lineRule="auto"/>
        <w:rPr>
          <w:sz w:val="20"/>
          <w:szCs w:val="20"/>
          <w:color w:val="auto"/>
        </w:rPr>
      </w:pPr>
      <w:r>
        <w:rPr>
          <w:rFonts w:ascii="Times New Roman" w:cs="Times New Roman" w:eastAsia="Times New Roman" w:hAnsi="Times New Roman"/>
          <w:sz w:val="16"/>
          <w:szCs w:val="16"/>
          <w:color w:val="auto"/>
        </w:rPr>
        <w:t>primarily driven by higher fee related performance revenues from CTAC due to its growing capital base and continued positive performance.</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indirect expenses. </w:t>
      </w:r>
      <w:r>
        <w:rPr>
          <w:rFonts w:ascii="Times New Roman" w:cs="Times New Roman" w:eastAsia="Times New Roman" w:hAnsi="Times New Roman"/>
          <w:sz w:val="16"/>
          <w:szCs w:val="16"/>
          <w:color w:val="auto"/>
        </w:rPr>
        <w:t>General, administrative and other indirect expenses increased</w:t>
      </w:r>
    </w:p>
    <w:p>
      <w:pPr>
        <w:ind w:right="1480"/>
        <w:spacing w:after="0" w:line="203" w:lineRule="auto"/>
        <w:rPr>
          <w:sz w:val="20"/>
          <w:szCs w:val="20"/>
          <w:color w:val="auto"/>
        </w:rPr>
      </w:pPr>
      <w:r>
        <w:rPr>
          <w:rFonts w:ascii="Times New Roman" w:cs="Times New Roman" w:eastAsia="Times New Roman" w:hAnsi="Times New Roman"/>
          <w:sz w:val="16"/>
          <w:szCs w:val="16"/>
          <w:color w:val="auto"/>
        </w:rPr>
        <w:t>$33.6 million for the year ended December 31, 2024 as compared to 2023, primarily due to increases in partnership expenses paid by the Company on behalf of the Carlyle funds, professional fees (including legal expenses), and external costs associated with fundraising activities.</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Fee-earning AUM</w:t>
      </w:r>
    </w:p>
    <w:p>
      <w:pPr>
        <w:ind w:right="2100"/>
        <w:spacing w:after="0" w:line="203" w:lineRule="auto"/>
        <w:rPr>
          <w:sz w:val="20"/>
          <w:szCs w:val="20"/>
          <w:color w:val="auto"/>
        </w:rPr>
      </w:pPr>
      <w:r>
        <w:rPr>
          <w:rFonts w:ascii="Times New Roman" w:cs="Times New Roman" w:eastAsia="Times New Roman" w:hAnsi="Times New Roman"/>
          <w:sz w:val="16"/>
          <w:szCs w:val="16"/>
          <w:color w:val="auto"/>
        </w:rPr>
        <w:t>Fee-earning AUM is presented below for each period together with the components of change during each respective period.</w:t>
      </w:r>
    </w:p>
    <w:p>
      <w:pPr>
        <w:spacing w:after="0" w:line="218" w:lineRule="auto"/>
        <w:rPr>
          <w:sz w:val="20"/>
          <w:szCs w:val="20"/>
          <w:color w:val="auto"/>
        </w:rPr>
      </w:pPr>
      <w:r>
        <w:rPr>
          <w:rFonts w:ascii="Times New Roman" w:cs="Times New Roman" w:eastAsia="Times New Roman" w:hAnsi="Times New Roman"/>
          <w:sz w:val="16"/>
          <w:szCs w:val="16"/>
          <w:color w:val="auto"/>
        </w:rPr>
        <w:t>The table below breaks out Fee-earning AUM by its respective components at each period.</w:t>
      </w: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2"/>
        </w:trPr>
        <w:tc>
          <w:tcPr>
            <w:tcW w:w="58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r>
      <w:tr>
        <w:trPr>
          <w:trHeight w:val="172"/>
        </w:trPr>
        <w:tc>
          <w:tcPr>
            <w:tcW w:w="58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Credit</w:t>
            </w:r>
          </w:p>
        </w:tc>
        <w:tc>
          <w:tcPr>
            <w:tcW w:w="4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4"/>
        </w:trPr>
        <w:tc>
          <w:tcPr>
            <w:tcW w:w="582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Components of Fee-earning AUM</w:t>
            </w: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26"/>
        </w:trPr>
        <w:tc>
          <w:tcPr>
            <w:tcW w:w="5820" w:type="dxa"/>
            <w:vAlign w:val="bottom"/>
          </w:tcPr>
          <w:p>
            <w:pPr>
              <w:ind w:left="2080"/>
              <w:spacing w:after="0"/>
              <w:rPr>
                <w:sz w:val="20"/>
                <w:szCs w:val="20"/>
                <w:color w:val="auto"/>
              </w:rPr>
            </w:pPr>
            <w:r>
              <w:rPr>
                <w:rFonts w:ascii="Times New Roman" w:cs="Times New Roman" w:eastAsia="Times New Roman" w:hAnsi="Times New Roman"/>
                <w:sz w:val="10"/>
                <w:szCs w:val="10"/>
                <w:b w:val="1"/>
                <w:bCs w:val="1"/>
                <w:color w:val="auto"/>
              </w:rPr>
              <w:t>(1)</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80"/>
        </w:trPr>
        <w:tc>
          <w:tcPr>
            <w:tcW w:w="5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2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capital commitments</w:t>
            </w: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2,467</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2,260</w:t>
            </w:r>
          </w:p>
        </w:tc>
      </w:tr>
      <w:tr>
        <w:trPr>
          <w:trHeight w:val="188"/>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invested capital</w:t>
            </w:r>
          </w:p>
        </w:tc>
        <w:tc>
          <w:tcPr>
            <w:tcW w:w="4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19,604</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16,388</w:t>
            </w:r>
          </w:p>
        </w:tc>
      </w:tr>
      <w:tr>
        <w:trPr>
          <w:trHeight w:val="52"/>
        </w:trPr>
        <w:tc>
          <w:tcPr>
            <w:tcW w:w="5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2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collateral balances, at par</w:t>
            </w:r>
          </w:p>
        </w:tc>
        <w:tc>
          <w:tcPr>
            <w:tcW w:w="4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45,890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49,999</w:t>
            </w:r>
          </w:p>
        </w:tc>
      </w:tr>
      <w:tr>
        <w:trPr>
          <w:trHeight w:val="188"/>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Fee-earning AUM based on net asset value</w:t>
            </w:r>
          </w:p>
        </w:tc>
        <w:tc>
          <w:tcPr>
            <w:tcW w:w="440" w:type="dxa"/>
            <w:vAlign w:val="bottom"/>
          </w:tcPr>
          <w:p>
            <w:pPr>
              <w:spacing w:after="0"/>
              <w:rPr>
                <w:sz w:val="16"/>
                <w:szCs w:val="16"/>
                <w:color w:val="auto"/>
              </w:rPr>
            </w:pP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3,091</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2,130</w:t>
            </w:r>
          </w:p>
        </w:tc>
      </w:tr>
      <w:tr>
        <w:trPr>
          <w:trHeight w:val="52"/>
        </w:trPr>
        <w:tc>
          <w:tcPr>
            <w:tcW w:w="5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4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fair value and other</w:t>
            </w:r>
            <w:r>
              <w:rPr>
                <w:rFonts w:ascii="Times New Roman" w:cs="Times New Roman" w:eastAsia="Times New Roman" w:hAnsi="Times New Roman"/>
                <w:sz w:val="9"/>
                <w:szCs w:val="9"/>
                <w:color w:val="auto"/>
              </w:rPr>
              <w:t>(2)</w:t>
            </w: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83,134</w:t>
            </w: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84,461</w:t>
            </w:r>
          </w:p>
        </w:tc>
      </w:tr>
      <w:tr>
        <w:trPr>
          <w:trHeight w:val="189"/>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Fee-earning AUM</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154,186</w:t>
            </w:r>
          </w:p>
        </w:tc>
        <w:tc>
          <w:tcPr>
            <w:tcW w:w="60" w:type="dxa"/>
            <w:vAlign w:val="bottom"/>
          </w:tcPr>
          <w:p>
            <w:pPr>
              <w:spacing w:after="0"/>
              <w:rPr>
                <w:sz w:val="16"/>
                <w:szCs w:val="16"/>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155,238</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5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34"/>
        </w:trPr>
        <w:tc>
          <w:tcPr>
            <w:tcW w:w="5820" w:type="dxa"/>
            <w:vAlign w:val="bottom"/>
          </w:tcPr>
          <w:p>
            <w:pPr>
              <w:spacing w:after="0"/>
              <w:rPr>
                <w:sz w:val="20"/>
                <w:szCs w:val="20"/>
                <w:color w:val="auto"/>
              </w:rPr>
            </w:pPr>
            <w:r>
              <w:rPr>
                <w:rFonts w:ascii="Times New Roman" w:cs="Times New Roman" w:eastAsia="Times New Roman" w:hAnsi="Times New Roman"/>
                <w:sz w:val="3"/>
                <w:szCs w:val="3"/>
                <w:color w:val="auto"/>
              </w:rPr>
              <w:t>Annualized Management Fee Rate</w:t>
            </w:r>
          </w:p>
        </w:tc>
        <w:tc>
          <w:tcPr>
            <w:tcW w:w="440" w:type="dxa"/>
            <w:vAlign w:val="bottom"/>
          </w:tcPr>
          <w:p>
            <w:pPr>
              <w:spacing w:after="0"/>
              <w:rPr>
                <w:sz w:val="20"/>
                <w:szCs w:val="20"/>
                <w:color w:val="auto"/>
              </w:rPr>
            </w:pPr>
            <w:r>
              <w:rPr>
                <w:rFonts w:ascii="Times New Roman" w:cs="Times New Roman" w:eastAsia="Times New Roman" w:hAnsi="Times New Roman"/>
                <w:sz w:val="3"/>
                <w:szCs w:val="3"/>
                <w:color w:val="auto"/>
              </w:rPr>
              <w:t>0.36 %</w:t>
            </w: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3"/>
                <w:szCs w:val="3"/>
                <w:color w:val="auto"/>
              </w:rPr>
              <w:t>0.39 %</w:t>
            </w:r>
          </w:p>
        </w:tc>
        <w:tc>
          <w:tcPr>
            <w:tcW w:w="760" w:type="dxa"/>
            <w:vAlign w:val="bottom"/>
          </w:tcPr>
          <w:p>
            <w:pPr>
              <w:spacing w:after="0"/>
              <w:rPr>
                <w:sz w:val="2"/>
                <w:szCs w:val="2"/>
                <w:color w:val="auto"/>
              </w:rPr>
            </w:pPr>
          </w:p>
        </w:tc>
      </w:tr>
      <w:tr>
        <w:trPr>
          <w:trHeight w:val="124"/>
        </w:trPr>
        <w:tc>
          <w:tcPr>
            <w:tcW w:w="5820" w:type="dxa"/>
            <w:vAlign w:val="bottom"/>
          </w:tcPr>
          <w:p>
            <w:pPr>
              <w:ind w:left="2000"/>
              <w:spacing w:after="0"/>
              <w:rPr>
                <w:sz w:val="20"/>
                <w:szCs w:val="20"/>
                <w:color w:val="auto"/>
              </w:rPr>
            </w:pPr>
            <w:r>
              <w:rPr>
                <w:rFonts w:ascii="Times New Roman" w:cs="Times New Roman" w:eastAsia="Times New Roman" w:hAnsi="Times New Roman"/>
                <w:sz w:val="10"/>
                <w:szCs w:val="10"/>
                <w:color w:val="auto"/>
              </w:rPr>
              <w:t>(3)</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(1)For additional information concerning the components of Fee-earning AUM, see “—Key Financial Measures—Operating Metrics.”</w:t>
      </w:r>
    </w:p>
    <w:p>
      <w:pPr>
        <w:ind w:right="1600"/>
        <w:spacing w:after="0" w:line="235" w:lineRule="auto"/>
        <w:rPr>
          <w:sz w:val="20"/>
          <w:szCs w:val="20"/>
          <w:color w:val="auto"/>
        </w:rPr>
      </w:pPr>
      <w:r>
        <w:rPr>
          <w:rFonts w:ascii="Times New Roman" w:cs="Times New Roman" w:eastAsia="Times New Roman" w:hAnsi="Times New Roman"/>
          <w:sz w:val="14"/>
          <w:szCs w:val="14"/>
          <w:color w:val="auto"/>
        </w:rPr>
        <w:t>(2)Includes the fair value of Fortitude’s general account assets covered by the strategic advisory services agreement and funds with fees based on gross asset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132</w:t>
      </w:r>
    </w:p>
    <w:p>
      <w:pPr>
        <w:spacing w:after="0" w:line="201"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1" w:lineRule="exact"/>
        <w:rPr>
          <w:sz w:val="20"/>
          <w:szCs w:val="20"/>
          <w:color w:val="auto"/>
        </w:rPr>
      </w:pPr>
    </w:p>
    <w:p>
      <w:pPr>
        <w:ind w:right="1420"/>
        <w:spacing w:after="0" w:line="215" w:lineRule="auto"/>
        <w:rPr>
          <w:sz w:val="20"/>
          <w:szCs w:val="20"/>
          <w:color w:val="auto"/>
        </w:rPr>
      </w:pPr>
      <w:r>
        <w:rPr>
          <w:rFonts w:ascii="Times New Roman" w:cs="Times New Roman" w:eastAsia="Times New Roman" w:hAnsi="Times New Roman"/>
          <w:sz w:val="14"/>
          <w:szCs w:val="14"/>
          <w:color w:val="auto"/>
        </w:rPr>
        <w:t>(3)Represents annualized fund management fees divided by the average of the beginning of year and each quarter end’s Fee-earning AUM in the reporting period. Catch-up management fees were excluded in the calculation of the annualized fund management fees.</w:t>
      </w:r>
    </w:p>
    <w:p>
      <w:pPr>
        <w:sectPr>
          <w:pgSz w:w="11900" w:h="16840" w:orient="portrait"/>
          <w:cols w:equalWidth="0" w:num="1">
            <w:col w:w="9400"/>
          </w:cols>
          <w:pgMar w:left="1060" w:top="547" w:right="1440" w:bottom="79"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the period to period rollforward of Fee-earning AUM.</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5259070" cy="129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259070" cy="12954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Fee-earning AUM Rollforward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44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Outflows (including realizations)</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44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Activity &amp; Other</w:t>
      </w:r>
      <w:r>
        <w:rPr>
          <w:rFonts w:ascii="Times New Roman" w:cs="Times New Roman" w:eastAsia="Times New Roman" w:hAnsi="Times New Roman"/>
          <w:sz w:val="9"/>
          <w:szCs w:val="9"/>
          <w:color w:val="auto"/>
        </w:rPr>
        <w:t>(3)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44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Ended December 31,</w:t>
      </w:r>
    </w:p>
    <w:p>
      <w:pPr>
        <w:spacing w:after="0" w:line="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5627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62735" cy="76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5627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562735"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tabs>
          <w:tab w:leader="none" w:pos="580" w:val="left"/>
          <w:tab w:leader="none" w:pos="1240" w:val="left"/>
          <w:tab w:leader="none" w:pos="18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155,238</w:t>
        <w:tab/>
        <w:t>$</w:t>
      </w:r>
      <w:r>
        <w:rPr>
          <w:sz w:val="20"/>
          <w:szCs w:val="20"/>
          <w:color w:val="auto"/>
        </w:rPr>
        <w:tab/>
      </w:r>
      <w:r>
        <w:rPr>
          <w:rFonts w:ascii="Times New Roman" w:cs="Times New Roman" w:eastAsia="Times New Roman" w:hAnsi="Times New Roman"/>
          <w:sz w:val="14"/>
          <w:szCs w:val="14"/>
          <w:color w:val="auto"/>
        </w:rPr>
        <w:t>121,229</w:t>
      </w:r>
    </w:p>
    <w:p>
      <w:pPr>
        <w:spacing w:after="0" w:line="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4"/>
          <w:szCs w:val="14"/>
          <w:color w:val="auto"/>
        </w:rPr>
        <w:t>15,389</w:t>
      </w:r>
      <w:r>
        <w:rPr>
          <w:sz w:val="20"/>
          <w:szCs w:val="20"/>
          <w:color w:val="auto"/>
        </w:rPr>
        <w:tab/>
      </w:r>
      <w:r>
        <w:rPr>
          <w:rFonts w:ascii="Times New Roman" w:cs="Times New Roman" w:eastAsia="Times New Roman" w:hAnsi="Times New Roman"/>
          <w:sz w:val="14"/>
          <w:szCs w:val="14"/>
          <w:color w:val="auto"/>
        </w:rPr>
        <w:t>35,568</w:t>
      </w:r>
    </w:p>
    <w:p>
      <w:pPr>
        <w:spacing w:after="0" w:line="67" w:lineRule="exact"/>
        <w:rPr>
          <w:sz w:val="20"/>
          <w:szCs w:val="20"/>
          <w:color w:val="auto"/>
        </w:rPr>
      </w:pPr>
    </w:p>
    <w:p>
      <w:pPr>
        <w:jc w:val="both"/>
        <w:ind w:left="620"/>
        <w:spacing w:after="0"/>
        <w:tabs>
          <w:tab w:leader="none" w:pos="1940" w:val="left"/>
        </w:tabs>
        <w:rPr>
          <w:sz w:val="20"/>
          <w:szCs w:val="20"/>
          <w:color w:val="auto"/>
        </w:rPr>
      </w:pPr>
      <w:r>
        <w:rPr>
          <w:rFonts w:ascii="Times New Roman" w:cs="Times New Roman" w:eastAsia="Times New Roman" w:hAnsi="Times New Roman"/>
          <w:sz w:val="14"/>
          <w:szCs w:val="14"/>
          <w:color w:val="auto"/>
        </w:rPr>
        <w:t>(12,520)</w:t>
      </w:r>
      <w:r>
        <w:rPr>
          <w:sz w:val="20"/>
          <w:szCs w:val="20"/>
          <w:color w:val="auto"/>
        </w:rPr>
        <w:tab/>
      </w:r>
      <w:r>
        <w:rPr>
          <w:rFonts w:ascii="Times New Roman" w:cs="Times New Roman" w:eastAsia="Times New Roman" w:hAnsi="Times New Roman"/>
          <w:sz w:val="14"/>
          <w:szCs w:val="14"/>
          <w:color w:val="auto"/>
        </w:rPr>
        <w:t>(4,705)</w:t>
      </w:r>
    </w:p>
    <w:p>
      <w:pPr>
        <w:spacing w:after="0" w:line="67" w:lineRule="exact"/>
        <w:rPr>
          <w:sz w:val="20"/>
          <w:szCs w:val="20"/>
          <w:color w:val="auto"/>
        </w:rPr>
      </w:pPr>
    </w:p>
    <w:p>
      <w:pPr>
        <w:ind w:left="680"/>
        <w:spacing w:after="0"/>
        <w:tabs>
          <w:tab w:leader="none" w:pos="1980" w:val="left"/>
        </w:tabs>
        <w:rPr>
          <w:sz w:val="20"/>
          <w:szCs w:val="20"/>
          <w:color w:val="auto"/>
        </w:rPr>
      </w:pPr>
      <w:r>
        <w:rPr>
          <w:rFonts w:ascii="Times New Roman" w:cs="Times New Roman" w:eastAsia="Times New Roman" w:hAnsi="Times New Roman"/>
          <w:sz w:val="14"/>
          <w:szCs w:val="14"/>
          <w:color w:val="auto"/>
        </w:rPr>
        <w:t>(3,290)</w:t>
      </w:r>
      <w:r>
        <w:rPr>
          <w:sz w:val="20"/>
          <w:szCs w:val="20"/>
          <w:color w:val="auto"/>
        </w:rPr>
        <w:tab/>
      </w:r>
      <w:r>
        <w:rPr>
          <w:rFonts w:ascii="Times New Roman" w:cs="Times New Roman" w:eastAsia="Times New Roman" w:hAnsi="Times New Roman"/>
          <w:sz w:val="14"/>
          <w:szCs w:val="14"/>
          <w:color w:val="auto"/>
        </w:rPr>
        <w:t>2,793</w:t>
      </w:r>
    </w:p>
    <w:p>
      <w:pPr>
        <w:spacing w:after="0" w:line="67" w:lineRule="exact"/>
        <w:rPr>
          <w:sz w:val="20"/>
          <w:szCs w:val="20"/>
          <w:color w:val="auto"/>
        </w:rPr>
      </w:pPr>
    </w:p>
    <w:p>
      <w:pPr>
        <w:ind w:left="2120" w:hanging="1324"/>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353</w:t>
      </w:r>
    </w:p>
    <w:p>
      <w:pPr>
        <w:spacing w:after="0" w:line="77" w:lineRule="exact"/>
        <w:rPr>
          <w:sz w:val="20"/>
          <w:szCs w:val="20"/>
          <w:color w:val="auto"/>
        </w:rPr>
      </w:pPr>
    </w:p>
    <w:p>
      <w:pPr>
        <w:spacing w:after="0"/>
        <w:tabs>
          <w:tab w:leader="none" w:pos="580" w:val="left"/>
          <w:tab w:leader="none" w:pos="1240" w:val="left"/>
          <w:tab w:leader="none" w:pos="18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154,186</w:t>
        <w:tab/>
        <w:t>$</w:t>
      </w:r>
      <w:r>
        <w:rPr>
          <w:sz w:val="20"/>
          <w:szCs w:val="20"/>
          <w:color w:val="auto"/>
        </w:rPr>
        <w:tab/>
      </w:r>
      <w:r>
        <w:rPr>
          <w:rFonts w:ascii="Times New Roman" w:cs="Times New Roman" w:eastAsia="Times New Roman" w:hAnsi="Times New Roman"/>
          <w:sz w:val="14"/>
          <w:szCs w:val="14"/>
          <w:b w:val="1"/>
          <w:bCs w:val="1"/>
          <w:color w:val="auto"/>
        </w:rPr>
        <w:t>155,238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156273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56273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56273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62735" cy="7620"/>
                    </a:xfrm>
                    <a:prstGeom prst="rect">
                      <a:avLst/>
                    </a:prstGeom>
                    <a:noFill/>
                  </pic:spPr>
                </pic:pic>
              </a:graphicData>
            </a:graphic>
          </wp:anchor>
        </w:drawing>
      </w:r>
    </w:p>
    <w:p>
      <w:pPr>
        <w:spacing w:after="0" w:line="45" w:lineRule="exact"/>
        <w:rPr>
          <w:sz w:val="20"/>
          <w:szCs w:val="20"/>
          <w:color w:val="auto"/>
        </w:rPr>
      </w:pPr>
    </w:p>
    <w:p>
      <w:pPr>
        <w:sectPr>
          <w:pgSz w:w="11900" w:h="16840" w:orient="portrait"/>
          <w:cols w:equalWidth="0" w:num="2">
            <w:col w:w="5100" w:space="720"/>
            <w:col w:w="3580"/>
          </w:cols>
          <w:pgMar w:left="1060" w:top="547" w:right="1440" w:bottom="79" w:gutter="0" w:footer="0" w:header="0"/>
          <w:type w:val="continuous"/>
        </w:sectPr>
      </w:pPr>
    </w:p>
    <w:p>
      <w:pPr>
        <w:ind w:right="1360"/>
        <w:spacing w:after="0" w:line="218" w:lineRule="auto"/>
        <w:rPr>
          <w:sz w:val="20"/>
          <w:szCs w:val="20"/>
          <w:color w:val="auto"/>
        </w:rPr>
      </w:pPr>
      <w:r>
        <w:rPr>
          <w:rFonts w:ascii="Times New Roman" w:cs="Times New Roman" w:eastAsia="Times New Roman" w:hAnsi="Times New Roman"/>
          <w:sz w:val="14"/>
          <w:szCs w:val="14"/>
          <w:color w:val="auto"/>
        </w:rPr>
        <w:t>(1)Inflows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closed reinsurance transactions at Fortitude, and gross subscriptions in our vehicles for which management fees are based on net asset value. Inflows for the year ended December 31, 2023 include $26 billion of Fee-earning AUM related to closed reinsurance transactions at Fortitude. Inflows exclude fundraising amounts during the period for which fees have not yet been activated, which are referenced as Pending Fee-earning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-548640</wp:posOffset>
            </wp:positionV>
            <wp:extent cx="15627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562735" cy="7620"/>
                    </a:xfrm>
                    <a:prstGeom prst="rect">
                      <a:avLst/>
                    </a:prstGeom>
                    <a:noFill/>
                  </pic:spPr>
                </pic:pic>
              </a:graphicData>
            </a:graphic>
          </wp:anchor>
        </w:drawing>
      </w:r>
    </w:p>
    <w:p>
      <w:pPr>
        <w:ind w:right="1540"/>
        <w:spacing w:after="0" w:line="214" w:lineRule="auto"/>
        <w:rPr>
          <w:sz w:val="20"/>
          <w:szCs w:val="20"/>
          <w:color w:val="auto"/>
        </w:rPr>
      </w:pPr>
      <w:r>
        <w:rPr>
          <w:rFonts w:ascii="Times New Roman" w:cs="Times New Roman" w:eastAsia="Times New Roman" w:hAnsi="Times New Roman"/>
          <w:sz w:val="14"/>
          <w:szCs w:val="14"/>
          <w:color w:val="auto"/>
        </w:rPr>
        <w:t>(2)Outflows represents the impact of realizations from vehicles with management fees based on remaining invested capital at cost or fair value, changes in basis for funds where the investment period, weighted- average investment period or commitment fee period has expired during the period, reductions for funds that are no longer calling for fees, gross redemptions in our open-ended funds, and outflows from our liquid credit products. Realizations for funds earning management fees based on commitments during the period do not affect Fee- earning AUM.</w:t>
      </w:r>
    </w:p>
    <w:p>
      <w:pPr>
        <w:spacing w:after="0" w:line="2" w:lineRule="exact"/>
        <w:rPr>
          <w:sz w:val="20"/>
          <w:szCs w:val="20"/>
          <w:color w:val="auto"/>
        </w:rPr>
      </w:pPr>
    </w:p>
    <w:p>
      <w:pPr>
        <w:ind w:right="1640"/>
        <w:spacing w:after="0" w:line="214" w:lineRule="auto"/>
        <w:rPr>
          <w:sz w:val="20"/>
          <w:szCs w:val="20"/>
          <w:color w:val="auto"/>
        </w:rPr>
      </w:pPr>
      <w:r>
        <w:rPr>
          <w:rFonts w:ascii="Times New Roman" w:cs="Times New Roman" w:eastAsia="Times New Roman" w:hAnsi="Times New Roman"/>
          <w:sz w:val="14"/>
          <w:szCs w:val="14"/>
          <w:color w:val="auto"/>
        </w:rPr>
        <w:t>(3)Market Activity &amp; Other represents realized and unrealized gains (losses) on portfolio investments in funds or vehicles based on the lower of cost or fair value or net asset value, activity of funds with fees based on gross asset value, and changes in the fair value of Fortitude’s general account assets covered by the strategic advisory services agreement.</w:t>
      </w:r>
    </w:p>
    <w:p>
      <w:pPr>
        <w:spacing w:after="0" w:line="1"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1" w:lineRule="exact"/>
        <w:rPr>
          <w:sz w:val="20"/>
          <w:szCs w:val="20"/>
          <w:color w:val="auto"/>
        </w:rPr>
      </w:pPr>
    </w:p>
    <w:p>
      <w:pPr>
        <w:ind w:right="1460"/>
        <w:spacing w:after="0" w:line="238" w:lineRule="auto"/>
        <w:rPr>
          <w:sz w:val="20"/>
          <w:szCs w:val="20"/>
          <w:color w:val="auto"/>
        </w:rPr>
      </w:pPr>
      <w:r>
        <w:rPr>
          <w:rFonts w:ascii="Times New Roman" w:cs="Times New Roman" w:eastAsia="Times New Roman" w:hAnsi="Times New Roman"/>
          <w:sz w:val="14"/>
          <w:szCs w:val="14"/>
          <w:color w:val="auto"/>
        </w:rPr>
        <w:t>Fee-earning AUM was $154.2 billion at December 31, 2024, a decrease of less than 1% compared to $155.2 billion at December 31, 2023, as outflows and negative market activity exceeded inflows for the period. Outflows of $ 12.5 billion were driven by our liquid credit products and realizations in funds which charge fees on invested capital. Negative market activity of $3.3 billion primarily consisted of a $4 billion decrease in the fair value of assets covered by the Fortitude strategic advisory services agreement, partially offset by an increase in the gross asset value of CTAC. Inflows of $15.4 billion were primarily from the closing of our ten latest vintage CLOs and capital deployment in funds which charge fees on invested capital. The segment annualized management fee rate decreased to 0.36% at December 31, 2024 from 0.39% at December 31, 2023, primarily reflecting the full-year impact of assets acquired via reinsurance transactions that closed in 2023 and are covered by</w:t>
      </w:r>
    </w:p>
    <w:p>
      <w:pPr>
        <w:sectPr>
          <w:pgSz w:w="11900" w:h="16840" w:orient="portrait"/>
          <w:cols w:equalWidth="0" w:num="1">
            <w:col w:w="9400"/>
          </w:cols>
          <w:pgMar w:left="1060" w:top="547" w:right="1440" w:bottom="79"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the strategic advisory services agreement with Fortitude, which have a lower fee rate than other Global Credit products.</w:t>
      </w:r>
    </w:p>
    <w:p>
      <w:pPr>
        <w:sectPr>
          <w:pgSz w:w="11900" w:h="16840" w:orient="portrait"/>
          <w:cols w:equalWidth="0" w:num="1">
            <w:col w:w="9400"/>
          </w:cols>
          <w:pgMar w:left="1060" w:top="5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Total AUM</w:t>
      </w:r>
    </w:p>
    <w:p>
      <w:pPr>
        <w:spacing w:after="0"/>
        <w:rPr>
          <w:sz w:val="20"/>
          <w:szCs w:val="20"/>
          <w:color w:val="auto"/>
        </w:rPr>
      </w:pPr>
      <w:r>
        <w:rPr>
          <w:rFonts w:ascii="Times New Roman" w:cs="Times New Roman" w:eastAsia="Times New Roman" w:hAnsi="Times New Roman"/>
          <w:sz w:val="14"/>
          <w:szCs w:val="14"/>
          <w:color w:val="auto"/>
        </w:rPr>
        <w:t>The table below provides the period to period rollforward of Total AUM.</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5205730" cy="14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20573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AUM Rollforward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05730" cy="152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20573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Outflows (including realizations)</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05730" cy="152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20573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Activity &amp; Other</w:t>
      </w:r>
      <w:r>
        <w:rPr>
          <w:rFonts w:ascii="Times New Roman" w:cs="Times New Roman" w:eastAsia="Times New Roman" w:hAnsi="Times New Roman"/>
          <w:sz w:val="9"/>
          <w:szCs w:val="9"/>
          <w:color w:val="auto"/>
        </w:rPr>
        <w:t>(3)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05730" cy="152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20573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5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159321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159321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tabs>
          <w:tab w:leader="none" w:pos="600" w:val="left"/>
          <w:tab w:leader="none" w:pos="1260" w:val="left"/>
          <w:tab w:leader="none" w:pos="18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187,826</w:t>
        <w:tab/>
        <w:t>$</w:t>
      </w:r>
      <w:r>
        <w:rPr>
          <w:sz w:val="20"/>
          <w:szCs w:val="20"/>
          <w:color w:val="auto"/>
        </w:rPr>
        <w:tab/>
      </w:r>
      <w:r>
        <w:rPr>
          <w:rFonts w:ascii="Times New Roman" w:cs="Times New Roman" w:eastAsia="Times New Roman" w:hAnsi="Times New Roman"/>
          <w:sz w:val="14"/>
          <w:szCs w:val="14"/>
          <w:color w:val="auto"/>
        </w:rPr>
        <w:t>146,302</w:t>
      </w:r>
    </w:p>
    <w:p>
      <w:pPr>
        <w:spacing w:after="0" w:line="79" w:lineRule="exact"/>
        <w:rPr>
          <w:sz w:val="20"/>
          <w:szCs w:val="20"/>
          <w:color w:val="auto"/>
        </w:rPr>
      </w:pPr>
    </w:p>
    <w:p>
      <w:pPr>
        <w:ind w:left="680"/>
        <w:spacing w:after="0"/>
        <w:tabs>
          <w:tab w:leader="none" w:pos="1960" w:val="left"/>
        </w:tabs>
        <w:rPr>
          <w:sz w:val="20"/>
          <w:szCs w:val="20"/>
          <w:color w:val="auto"/>
        </w:rPr>
      </w:pPr>
      <w:r>
        <w:rPr>
          <w:rFonts w:ascii="Times New Roman" w:cs="Times New Roman" w:eastAsia="Times New Roman" w:hAnsi="Times New Roman"/>
          <w:sz w:val="14"/>
          <w:szCs w:val="14"/>
          <w:color w:val="auto"/>
        </w:rPr>
        <w:t>17,274</w:t>
      </w:r>
      <w:r>
        <w:rPr>
          <w:sz w:val="20"/>
          <w:szCs w:val="20"/>
          <w:color w:val="auto"/>
        </w:rPr>
        <w:tab/>
      </w:r>
      <w:r>
        <w:rPr>
          <w:rFonts w:ascii="Times New Roman" w:cs="Times New Roman" w:eastAsia="Times New Roman" w:hAnsi="Times New Roman"/>
          <w:sz w:val="14"/>
          <w:szCs w:val="14"/>
          <w:color w:val="auto"/>
        </w:rPr>
        <w:t>41,975</w:t>
      </w:r>
    </w:p>
    <w:p>
      <w:pPr>
        <w:spacing w:after="0" w:line="79" w:lineRule="exact"/>
        <w:rPr>
          <w:sz w:val="20"/>
          <w:szCs w:val="20"/>
          <w:color w:val="auto"/>
        </w:rPr>
      </w:pPr>
    </w:p>
    <w:p>
      <w:pPr>
        <w:jc w:val="both"/>
        <w:ind w:left="640"/>
        <w:spacing w:after="0"/>
        <w:tabs>
          <w:tab w:leader="none" w:pos="1980" w:val="left"/>
        </w:tabs>
        <w:rPr>
          <w:sz w:val="20"/>
          <w:szCs w:val="20"/>
          <w:color w:val="auto"/>
        </w:rPr>
      </w:pPr>
      <w:r>
        <w:rPr>
          <w:rFonts w:ascii="Times New Roman" w:cs="Times New Roman" w:eastAsia="Times New Roman" w:hAnsi="Times New Roman"/>
          <w:sz w:val="14"/>
          <w:szCs w:val="14"/>
          <w:color w:val="auto"/>
        </w:rPr>
        <w:t>(13,172)</w:t>
      </w:r>
      <w:r>
        <w:rPr>
          <w:sz w:val="20"/>
          <w:szCs w:val="20"/>
          <w:color w:val="auto"/>
        </w:rPr>
        <w:tab/>
      </w:r>
      <w:r>
        <w:rPr>
          <w:rFonts w:ascii="Times New Roman" w:cs="Times New Roman" w:eastAsia="Times New Roman" w:hAnsi="Times New Roman"/>
          <w:sz w:val="14"/>
          <w:szCs w:val="14"/>
          <w:color w:val="auto"/>
        </w:rPr>
        <w:t>(5,613)</w:t>
      </w:r>
    </w:p>
    <w:p>
      <w:pPr>
        <w:spacing w:after="0" w:line="79" w:lineRule="exact"/>
        <w:rPr>
          <w:sz w:val="20"/>
          <w:szCs w:val="20"/>
          <w:color w:val="auto"/>
        </w:rPr>
      </w:pPr>
    </w:p>
    <w:p>
      <w:pPr>
        <w:ind w:left="760"/>
        <w:spacing w:after="0"/>
        <w:tabs>
          <w:tab w:leader="none" w:pos="2020" w:val="left"/>
        </w:tabs>
        <w:rPr>
          <w:sz w:val="20"/>
          <w:szCs w:val="20"/>
          <w:color w:val="auto"/>
        </w:rPr>
      </w:pPr>
      <w:r>
        <w:rPr>
          <w:rFonts w:ascii="Times New Roman" w:cs="Times New Roman" w:eastAsia="Times New Roman" w:hAnsi="Times New Roman"/>
          <w:sz w:val="14"/>
          <w:szCs w:val="14"/>
          <w:color w:val="auto"/>
        </w:rPr>
        <w:t>1,110</w:t>
      </w:r>
      <w:r>
        <w:rPr>
          <w:sz w:val="20"/>
          <w:szCs w:val="20"/>
          <w:color w:val="auto"/>
        </w:rPr>
        <w:tab/>
      </w:r>
      <w:r>
        <w:rPr>
          <w:rFonts w:ascii="Times New Roman" w:cs="Times New Roman" w:eastAsia="Times New Roman" w:hAnsi="Times New Roman"/>
          <w:sz w:val="14"/>
          <w:szCs w:val="14"/>
          <w:color w:val="auto"/>
        </w:rPr>
        <w:t>4,789</w:t>
      </w:r>
    </w:p>
    <w:p>
      <w:pPr>
        <w:spacing w:after="0" w:line="79" w:lineRule="exact"/>
        <w:rPr>
          <w:sz w:val="20"/>
          <w:szCs w:val="20"/>
          <w:color w:val="auto"/>
        </w:rPr>
      </w:pPr>
    </w:p>
    <w:p>
      <w:pPr>
        <w:ind w:left="2160" w:hanging="1340"/>
        <w:spacing w:after="0"/>
        <w:tabs>
          <w:tab w:leader="none" w:pos="21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373</w:t>
      </w:r>
    </w:p>
    <w:p>
      <w:pPr>
        <w:spacing w:after="0" w:line="77" w:lineRule="exact"/>
        <w:rPr>
          <w:sz w:val="20"/>
          <w:szCs w:val="20"/>
          <w:color w:val="auto"/>
        </w:rPr>
      </w:pPr>
    </w:p>
    <w:p>
      <w:pPr>
        <w:sectPr>
          <w:pgSz w:w="11900" w:h="16840" w:orient="portrait"/>
          <w:cols w:equalWidth="0" w:num="2">
            <w:col w:w="4980" w:space="720"/>
            <w:col w:w="3700"/>
          </w:cols>
          <w:pgMar w:left="1060" w:top="557" w:right="1440" w:bottom="1440" w:gutter="0" w:footer="0" w:header="0"/>
          <w:type w:val="continuous"/>
        </w:sectPr>
      </w:pPr>
    </w:p>
    <w:p>
      <w:pPr>
        <w:spacing w:after="0"/>
        <w:tabs>
          <w:tab w:leader="none" w:pos="5680" w:val="left"/>
          <w:tab w:leader="none" w:pos="6300" w:val="left"/>
          <w:tab w:leader="none" w:pos="6960" w:val="left"/>
          <w:tab w:leader="none" w:pos="7580" w:val="left"/>
        </w:tabs>
        <w:rPr>
          <w:sz w:val="20"/>
          <w:szCs w:val="20"/>
          <w:color w:val="auto"/>
        </w:rPr>
      </w:pPr>
      <w:r>
        <w:rPr>
          <w:rFonts w:ascii="Times New Roman" w:cs="Times New Roman" w:eastAsia="Times New Roman" w:hAnsi="Times New Roman"/>
          <w:sz w:val="14"/>
          <w:szCs w:val="14"/>
          <w:b w:val="1"/>
          <w:bCs w:val="1"/>
          <w:color w:val="auto"/>
        </w:rPr>
        <w:t>Balance, End of Period</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192,374</w:t>
        <w:tab/>
        <w:t>$</w:t>
      </w:r>
      <w:r>
        <w:rPr>
          <w:sz w:val="20"/>
          <w:szCs w:val="20"/>
          <w:color w:val="auto"/>
        </w:rPr>
        <w:tab/>
      </w:r>
      <w:r>
        <w:rPr>
          <w:rFonts w:ascii="Times New Roman" w:cs="Times New Roman" w:eastAsia="Times New Roman" w:hAnsi="Times New Roman"/>
          <w:sz w:val="14"/>
          <w:szCs w:val="14"/>
          <w:b w:val="1"/>
          <w:bCs w:val="1"/>
          <w:color w:val="auto"/>
        </w:rPr>
        <w:t>187,826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-92710</wp:posOffset>
            </wp:positionV>
            <wp:extent cx="15932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93215" cy="762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36195</wp:posOffset>
            </wp:positionV>
            <wp:extent cx="159321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61" w:lineRule="exact"/>
        <w:rPr>
          <w:sz w:val="20"/>
          <w:szCs w:val="20"/>
          <w:color w:val="auto"/>
        </w:rPr>
      </w:pPr>
    </w:p>
    <w:p>
      <w:pPr>
        <w:ind w:right="1360"/>
        <w:spacing w:after="0" w:line="220" w:lineRule="auto"/>
        <w:rPr>
          <w:sz w:val="20"/>
          <w:szCs w:val="20"/>
          <w:color w:val="auto"/>
        </w:rPr>
      </w:pPr>
      <w:r>
        <w:rPr>
          <w:rFonts w:ascii="Times New Roman" w:cs="Times New Roman" w:eastAsia="Times New Roman" w:hAnsi="Times New Roman"/>
          <w:sz w:val="14"/>
          <w:szCs w:val="14"/>
          <w:color w:val="auto"/>
        </w:rPr>
        <w:t>(1)Inflows generally reflects the impact of gross fundraising and closed reinsurance transactions at Fortitude during the period. For funds or vehicles denominated in foreign currencies, this reflects translation at the average quarterly rate, while the separately reported Fundraising metric is translated at the spot rate for each individual closing. Inflows for the year ended December 31, 2023 include $26 billion of AUM related to closed reinsurance transactions at Fortitude.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-366395</wp:posOffset>
            </wp:positionV>
            <wp:extent cx="159321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right="1380"/>
        <w:spacing w:after="0" w:line="214" w:lineRule="auto"/>
        <w:rPr>
          <w:sz w:val="20"/>
          <w:szCs w:val="20"/>
          <w:color w:val="auto"/>
        </w:rPr>
      </w:pPr>
      <w:r>
        <w:rPr>
          <w:rFonts w:ascii="Times New Roman" w:cs="Times New Roman" w:eastAsia="Times New Roman" w:hAnsi="Times New Roman"/>
          <w:sz w:val="14"/>
          <w:szCs w:val="14"/>
          <w:color w:val="auto"/>
        </w:rPr>
        <w:t>(2)Outflows includes distributions net of recallable or recyclable amounts in our carry funds, related co-investment vehicles, and separately managed accounts, gross redemptions in our open-ended funds, outflows from our liquid credit products, and the expiration of available capital.</w:t>
      </w:r>
    </w:p>
    <w:p>
      <w:pPr>
        <w:spacing w:after="0" w:line="1" w:lineRule="exact"/>
        <w:rPr>
          <w:sz w:val="20"/>
          <w:szCs w:val="20"/>
          <w:color w:val="auto"/>
        </w:rPr>
      </w:pPr>
    </w:p>
    <w:p>
      <w:pPr>
        <w:ind w:right="1460"/>
        <w:spacing w:after="0" w:line="214" w:lineRule="auto"/>
        <w:rPr>
          <w:sz w:val="20"/>
          <w:szCs w:val="20"/>
          <w:color w:val="auto"/>
        </w:rPr>
      </w:pPr>
      <w:r>
        <w:rPr>
          <w:rFonts w:ascii="Times New Roman" w:cs="Times New Roman" w:eastAsia="Times New Roman" w:hAnsi="Times New Roman"/>
          <w:sz w:val="14"/>
          <w:szCs w:val="14"/>
          <w:color w:val="auto"/>
        </w:rPr>
        <w:t>(3)Market Activity &amp; Other generally represents realized and unrealized gains (losses) on portfolio investments in our carry funds, related co-investment vehicles, and separately managed accounts, as well as the impact of fees, expenses and non- investment income, change in gross asset value for our business development companies, changes in the fair value of Fortitude’s general account assets covered by the strategic advisory services agreement, and other changes in AUM.</w:t>
      </w:r>
    </w:p>
    <w:p>
      <w:pPr>
        <w:spacing w:after="0" w:line="2"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1" w:lineRule="exact"/>
        <w:rPr>
          <w:sz w:val="20"/>
          <w:szCs w:val="20"/>
          <w:color w:val="auto"/>
        </w:rPr>
      </w:pPr>
    </w:p>
    <w:p>
      <w:pPr>
        <w:ind w:right="1620"/>
        <w:spacing w:after="0" w:line="203" w:lineRule="auto"/>
        <w:rPr>
          <w:sz w:val="20"/>
          <w:szCs w:val="20"/>
          <w:color w:val="auto"/>
        </w:rPr>
      </w:pPr>
      <w:r>
        <w:rPr>
          <w:rFonts w:ascii="Times New Roman" w:cs="Times New Roman" w:eastAsia="Times New Roman" w:hAnsi="Times New Roman"/>
          <w:sz w:val="16"/>
          <w:szCs w:val="16"/>
          <w:color w:val="auto"/>
        </w:rPr>
        <w:t>Total AUM was $192.4 billion at December 31, 2024, an increase of 2% compared to $187.8 billion at December 31, 2023. Inflows of $17.3 billion for the period were driven by the closing of ten new CLOs and other fundraising across the platform, including the final closing in CCOF III and fundraising in CTAC. Outflows of $13.2 billion for the period were primarily in our liquid credit products with additional activity, including realizations, in our aviation and opportunistic credit funds.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Fund Performance Metrics</w:t>
      </w:r>
    </w:p>
    <w:p>
      <w:pPr>
        <w:ind w:right="1460"/>
        <w:spacing w:after="0" w:line="203" w:lineRule="auto"/>
        <w:rPr>
          <w:sz w:val="20"/>
          <w:szCs w:val="20"/>
          <w:color w:val="auto"/>
        </w:rPr>
      </w:pPr>
      <w:r>
        <w:rPr>
          <w:rFonts w:ascii="Times New Roman" w:cs="Times New Roman" w:eastAsia="Times New Roman" w:hAnsi="Times New Roman"/>
          <w:sz w:val="16"/>
          <w:szCs w:val="16"/>
          <w:color w:val="auto"/>
        </w:rPr>
        <w:t>Fund performance information for certain of our Global Credit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See Part I, Item 1A “Risk Factors—Risks Related to Our Business Operations—Risks Related to the Assets We Manage—The historical returns attributable to our funds, including those presented in this Annual Report on Form 10-K, should not be considered as indicative of the future results of our funds or of our future results or of any returns expected on an investment in our common stock.”</w:t>
      </w:r>
    </w:p>
    <w:p>
      <w:pPr>
        <w:spacing w:after="0" w:line="4" w:lineRule="exact"/>
        <w:rPr>
          <w:sz w:val="20"/>
          <w:szCs w:val="20"/>
          <w:color w:val="auto"/>
        </w:rPr>
      </w:pPr>
    </w:p>
    <w:p>
      <w:pPr>
        <w:ind w:right="2180"/>
        <w:spacing w:after="0" w:line="222" w:lineRule="auto"/>
        <w:rPr>
          <w:sz w:val="20"/>
          <w:szCs w:val="20"/>
          <w:color w:val="auto"/>
        </w:rPr>
      </w:pPr>
      <w:r>
        <w:rPr>
          <w:rFonts w:ascii="Times New Roman" w:cs="Times New Roman" w:eastAsia="Times New Roman" w:hAnsi="Times New Roman"/>
          <w:sz w:val="16"/>
          <w:szCs w:val="16"/>
          <w:color w:val="auto"/>
        </w:rPr>
        <w:t>The following table reflects the performance of our significant carry funds in our Global Credit business. See Part I, Item 1 “Business—Our Global Investment Offerings” for a legend of the fund acronyms listed below.</w:t>
      </w:r>
    </w:p>
    <w:p>
      <w:pPr>
        <w:sectPr>
          <w:pgSz w:w="11900" w:h="16840" w:orient="portrait"/>
          <w:cols w:equalWidth="0" w:num="1">
            <w:col w:w="9400"/>
          </w:cols>
          <w:pgMar w:left="1060" w:top="557" w:right="1440" w:bottom="144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134</w:t>
      </w:r>
    </w:p>
    <w:p>
      <w:pPr>
        <w:spacing w:after="0" w:line="197"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bl>
      <w:tblPr>
        <w:tblLayout w:type="fixed"/>
        <w:tblInd w:w="0" w:type="dxa"/>
        <w:tblCellMar>
          <w:top w:w="0" w:type="dxa"/>
          <w:left w:w="0" w:type="dxa"/>
          <w:bottom w:w="0" w:type="dxa"/>
          <w:right w:w="0" w:type="dxa"/>
        </w:tblCellMar>
      </w:tblPr>
      <w:tr>
        <w:trPr>
          <w:trHeight w:val="126"/>
        </w:trPr>
        <w:tc>
          <w:tcPr>
            <w:tcW w:w="11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40" w:type="dxa"/>
            <w:vAlign w:val="bottom"/>
            <w:tcBorders>
              <w:bottom w:val="single" w:sz="8" w:color="auto"/>
            </w:tcBorders>
            <w:gridSpan w:val="4"/>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As of December 31, 2024</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Fund (Fee Initiation Date/Stepdown Date) (11)</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Committed</w:t>
            </w: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540" w:type="dxa"/>
            <w:vAlign w:val="bottom"/>
            <w:tcBorders>
              <w:bottom w:val="single" w:sz="8" w:color="auto"/>
            </w:tcBorders>
            <w:gridSpan w:val="2"/>
          </w:tcPr>
          <w:p>
            <w:pPr>
              <w:spacing w:after="0"/>
              <w:rPr>
                <w:sz w:val="5"/>
                <w:szCs w:val="5"/>
                <w:color w:val="auto"/>
              </w:rPr>
            </w:pPr>
          </w:p>
        </w:tc>
        <w:tc>
          <w:tcPr>
            <w:tcW w:w="700" w:type="dxa"/>
            <w:vAlign w:val="bottom"/>
            <w:tcBorders>
              <w:bottom w:val="single" w:sz="8" w:color="auto"/>
            </w:tcBorders>
            <w:gridSpan w:val="2"/>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8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Realized</w:t>
            </w:r>
          </w:p>
        </w:tc>
        <w:tc>
          <w:tcPr>
            <w:tcW w:w="70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42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MOIC</w:t>
            </w:r>
          </w:p>
        </w:tc>
        <w:tc>
          <w:tcPr>
            <w:tcW w:w="640" w:type="dxa"/>
            <w:vAlign w:val="bottom"/>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Gross IRR</w:t>
            </w:r>
          </w:p>
        </w:tc>
        <w:tc>
          <w:tcPr>
            <w:tcW w:w="5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Net IRR</w:t>
            </w:r>
          </w:p>
        </w:tc>
        <w:tc>
          <w:tcPr>
            <w:tcW w:w="620" w:type="dxa"/>
            <w:vAlign w:val="bottom"/>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w w:val="96"/>
              </w:rPr>
              <w:t>Net Accrued</w:t>
            </w: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160"/>
              <w:spacing w:after="0" w:line="96" w:lineRule="exact"/>
              <w:rPr>
                <w:sz w:val="20"/>
                <w:szCs w:val="20"/>
                <w:color w:val="auto"/>
              </w:rPr>
            </w:pPr>
            <w:r>
              <w:rPr>
                <w:rFonts w:ascii="Times New Roman" w:cs="Times New Roman" w:eastAsia="Times New Roman" w:hAnsi="Times New Roman"/>
                <w:sz w:val="10"/>
                <w:szCs w:val="10"/>
                <w:b w:val="1"/>
                <w:bCs w:val="1"/>
                <w:color w:val="auto"/>
              </w:rPr>
              <w:t>Capital (12)</w:t>
            </w:r>
          </w:p>
        </w:tc>
        <w:tc>
          <w:tcPr>
            <w:tcW w:w="66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Invested</w:t>
            </w:r>
          </w:p>
        </w:tc>
        <w:tc>
          <w:tcPr>
            <w:tcW w:w="76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Invested</w:t>
            </w:r>
          </w:p>
        </w:tc>
        <w:tc>
          <w:tcPr>
            <w:tcW w:w="54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Value (2)</w:t>
            </w:r>
          </w:p>
        </w:tc>
        <w:tc>
          <w:tcPr>
            <w:tcW w:w="70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Fair Value (3)</w:t>
            </w:r>
          </w:p>
        </w:tc>
        <w:tc>
          <w:tcPr>
            <w:tcW w:w="420" w:type="dxa"/>
            <w:vAlign w:val="bottom"/>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(4)</w:t>
            </w:r>
          </w:p>
        </w:tc>
        <w:tc>
          <w:tcPr>
            <w:tcW w:w="640" w:type="dxa"/>
            <w:vAlign w:val="bottom"/>
          </w:tcPr>
          <w:p>
            <w:pPr>
              <w:ind w:left="120"/>
              <w:spacing w:after="0" w:line="96" w:lineRule="exact"/>
              <w:rPr>
                <w:sz w:val="20"/>
                <w:szCs w:val="20"/>
                <w:color w:val="auto"/>
              </w:rPr>
            </w:pPr>
            <w:r>
              <w:rPr>
                <w:rFonts w:ascii="Times New Roman" w:cs="Times New Roman" w:eastAsia="Times New Roman" w:hAnsi="Times New Roman"/>
                <w:sz w:val="10"/>
                <w:szCs w:val="10"/>
                <w:b w:val="1"/>
                <w:bCs w:val="1"/>
                <w:color w:val="auto"/>
              </w:rPr>
              <w:t>(5)(8)</w:t>
            </w:r>
          </w:p>
        </w:tc>
        <w:tc>
          <w:tcPr>
            <w:tcW w:w="500" w:type="dxa"/>
            <w:vAlign w:val="bottom"/>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(6)(8)</w:t>
            </w:r>
          </w:p>
        </w:tc>
        <w:tc>
          <w:tcPr>
            <w:tcW w:w="920" w:type="dxa"/>
            <w:vAlign w:val="bottom"/>
            <w:gridSpan w:val="2"/>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Carry/(Giveback)</w:t>
            </w: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Capital (1)</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(7)</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Global Credit Carry Funds</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28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20" w:type="dxa"/>
            <w:vAlign w:val="bottom"/>
            <w:gridSpan w:val="10"/>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CCOF III</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5,731</w:t>
            </w:r>
          </w:p>
        </w:tc>
        <w:tc>
          <w:tcPr>
            <w:tcW w:w="422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Refer to CCOF III - Levered, CCOF III - Unlevered, and CCOF III PSV performance below</w:t>
            </w: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CCOF III - Levered (Feb 2023 / Oct 2028)</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4,677</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1,890</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1,962</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1.2x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NM</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CCOF III - Unlevered (Feb 2023 / Oct 2028)</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204</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65</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1.2x</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NM</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CCOF III PSV (Nov 2023 / n/a) (14)</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850</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244</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29%</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238</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1.1x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NM</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NM</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CCOF II (Nov 2020 / Mar 2026)</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4,430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5,543</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2,539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4,856</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1.3x</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15%</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102</w:t>
            </w: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CCOF I (Nov 2017 / Sep 2022)</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2,373</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3,500</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147%</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3,518</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1,434</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1.4x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17%</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12%</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CSP IV (Apr 2016 / Dec 2020)</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2,500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2,500</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1,367</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1,977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1.3x</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9%</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4%</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CSP III (Dec 2011 / Aug 2015)</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703</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703</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932</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17%</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7%</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CEMOF II (Dec 2015 / Jun 2019)</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1,692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1,713</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101%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1,869</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342</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1.3x</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7%</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4%</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SASOF III (Nov 2014 / n/a)</w:t>
            </w: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833</w:t>
            </w: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991</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1,212</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74</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1.3x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18%</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10%</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64"/>
        </w:trPr>
        <w:tc>
          <w:tcPr>
            <w:tcW w:w="22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 Other Active Funds &amp; Vehicles (9)</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11,365</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3,481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9,500</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1.1x</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8%</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6%</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64"/>
        </w:trPr>
        <w:tc>
          <w:tcPr>
            <w:tcW w:w="2280" w:type="dxa"/>
            <w:vAlign w:val="bottom"/>
            <w:gridSpan w:val="2"/>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Fully Realized Funds &amp; Vehicles (10)(13)</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6,717</w:t>
            </w:r>
          </w:p>
        </w:tc>
        <w:tc>
          <w:tcPr>
            <w:tcW w:w="7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8,287</w:t>
            </w:r>
          </w:p>
        </w:tc>
        <w:tc>
          <w:tcPr>
            <w:tcW w:w="2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1.2x</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9%</w:t>
            </w: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w:t>
            </w:r>
          </w:p>
        </w:tc>
        <w:tc>
          <w:tcPr>
            <w:tcW w:w="6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64"/>
        </w:trPr>
        <w:tc>
          <w:tcPr>
            <w:tcW w:w="2280" w:type="dxa"/>
            <w:vAlign w:val="bottom"/>
            <w:tcBorders>
              <w:bottom w:val="single" w:sz="8" w:color="CCEEFF"/>
            </w:tcBorders>
            <w:gridSpan w:val="2"/>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28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GLOBAL CREDIT CARRY FUNDS</w:t>
            </w:r>
          </w:p>
        </w:tc>
        <w:tc>
          <w:tcPr>
            <w:tcW w:w="3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35,228</w:t>
            </w:r>
          </w:p>
        </w:tc>
        <w:tc>
          <w:tcPr>
            <w:tcW w:w="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n/a</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23,495</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20,457</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1.2x</w:t>
            </w:r>
          </w:p>
        </w:tc>
        <w:tc>
          <w:tcPr>
            <w:tcW w:w="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11%</w:t>
            </w:r>
          </w:p>
        </w:tc>
        <w:tc>
          <w:tcPr>
            <w:tcW w:w="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6%</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192</w:t>
            </w:r>
          </w:p>
        </w:tc>
        <w:tc>
          <w:tcPr>
            <w:tcW w:w="0" w:type="dxa"/>
            <w:vAlign w:val="bottom"/>
          </w:tcPr>
          <w:p>
            <w:pPr>
              <w:spacing w:after="0"/>
              <w:rPr>
                <w:sz w:val="1"/>
                <w:szCs w:val="1"/>
                <w:color w:val="auto"/>
              </w:rPr>
            </w:pPr>
          </w:p>
        </w:tc>
      </w:tr>
      <w:tr>
        <w:trPr>
          <w:trHeight w:val="24"/>
        </w:trPr>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1920"/>
        <w:spacing w:after="0" w:line="210" w:lineRule="auto"/>
        <w:rPr>
          <w:sz w:val="20"/>
          <w:szCs w:val="20"/>
          <w:color w:val="auto"/>
        </w:rPr>
      </w:pPr>
      <w:r>
        <w:rPr>
          <w:rFonts w:ascii="Times New Roman" w:cs="Times New Roman" w:eastAsia="Times New Roman" w:hAnsi="Times New Roman"/>
          <w:sz w:val="16"/>
          <w:szCs w:val="16"/>
          <w:color w:val="auto"/>
        </w:rPr>
        <w:t>(1)Represents the original cost of investments since the inception of the fund. For CSP III and CSP IV, reflects amounts net of investment level recallable proceeds which is adjusted to reflect recyclability of invested capital for the purpose of calculating the fund MOIC.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-298450</wp:posOffset>
            </wp:positionV>
            <wp:extent cx="325437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54375" cy="7620"/>
                    </a:xfrm>
                    <a:prstGeom prst="rect">
                      <a:avLst/>
                    </a:prstGeom>
                    <a:noFill/>
                  </pic:spPr>
                </pic:pic>
              </a:graphicData>
            </a:graphic>
          </wp:anchor>
        </w:drawing>
      </w:r>
    </w:p>
    <w:p>
      <w:pPr>
        <w:spacing w:after="0" w:line="206" w:lineRule="auto"/>
        <w:rPr>
          <w:sz w:val="20"/>
          <w:szCs w:val="20"/>
          <w:color w:val="auto"/>
        </w:rPr>
      </w:pPr>
      <w:r>
        <w:rPr>
          <w:rFonts w:ascii="Times New Roman" w:cs="Times New Roman" w:eastAsia="Times New Roman" w:hAnsi="Times New Roman"/>
          <w:sz w:val="16"/>
          <w:szCs w:val="16"/>
          <w:color w:val="auto"/>
        </w:rPr>
        <w:t>(2)Represents all realized proceeds since inception of the fund.</w:t>
      </w:r>
    </w:p>
    <w:p>
      <w:pPr>
        <w:ind w:right="1980"/>
        <w:spacing w:after="0" w:line="203" w:lineRule="auto"/>
        <w:rPr>
          <w:sz w:val="20"/>
          <w:szCs w:val="20"/>
          <w:color w:val="auto"/>
        </w:rPr>
      </w:pPr>
      <w:r>
        <w:rPr>
          <w:rFonts w:ascii="Times New Roman" w:cs="Times New Roman" w:eastAsia="Times New Roman" w:hAnsi="Times New Roman"/>
          <w:sz w:val="16"/>
          <w:szCs w:val="16"/>
          <w:color w:val="auto"/>
        </w:rPr>
        <w:t>(3)Represents remaining fair value, before management fees, expenses and carried interest, and may include remaining escrow values for realized investments.</w:t>
      </w:r>
    </w:p>
    <w:p>
      <w:pPr>
        <w:spacing w:after="0" w:line="1" w:lineRule="exact"/>
        <w:rPr>
          <w:sz w:val="20"/>
          <w:szCs w:val="20"/>
          <w:color w:val="auto"/>
        </w:rPr>
      </w:pPr>
    </w:p>
    <w:p>
      <w:pPr>
        <w:ind w:right="2220"/>
        <w:spacing w:after="0" w:line="203" w:lineRule="auto"/>
        <w:rPr>
          <w:sz w:val="20"/>
          <w:szCs w:val="20"/>
          <w:color w:val="auto"/>
        </w:rPr>
      </w:pPr>
      <w:r>
        <w:rPr>
          <w:rFonts w:ascii="Times New Roman" w:cs="Times New Roman" w:eastAsia="Times New Roman" w:hAnsi="Times New Roman"/>
          <w:sz w:val="16"/>
          <w:szCs w:val="16"/>
          <w:color w:val="auto"/>
        </w:rPr>
        <w:t>(4)Multiple of invested capital (“MOIC”) represents total fair value, before management fees, expenses and carried interest, divided by cumulative invested capital.</w:t>
      </w:r>
    </w:p>
    <w:p>
      <w:pPr>
        <w:spacing w:after="0" w:line="1" w:lineRule="exact"/>
        <w:rPr>
          <w:sz w:val="20"/>
          <w:szCs w:val="20"/>
          <w:color w:val="auto"/>
        </w:rPr>
      </w:pPr>
    </w:p>
    <w:p>
      <w:pPr>
        <w:ind w:right="1740"/>
        <w:spacing w:after="0" w:line="232" w:lineRule="auto"/>
        <w:rPr>
          <w:sz w:val="20"/>
          <w:szCs w:val="20"/>
          <w:color w:val="auto"/>
        </w:rPr>
      </w:pPr>
      <w:r>
        <w:rPr>
          <w:rFonts w:ascii="Times New Roman" w:cs="Times New Roman" w:eastAsia="Times New Roman" w:hAnsi="Times New Roman"/>
          <w:sz w:val="14"/>
          <w:szCs w:val="14"/>
          <w:color w:val="auto"/>
        </w:rPr>
        <w:t>(5)Gross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w:t>
      </w:r>
    </w:p>
    <w:p>
      <w:pPr>
        <w:spacing w:after="0" w:line="2" w:lineRule="exact"/>
        <w:rPr>
          <w:sz w:val="20"/>
          <w:szCs w:val="20"/>
          <w:color w:val="auto"/>
        </w:rPr>
      </w:pPr>
    </w:p>
    <w:p>
      <w:pPr>
        <w:ind w:right="2020"/>
        <w:spacing w:after="0" w:line="203" w:lineRule="auto"/>
        <w:rPr>
          <w:sz w:val="20"/>
          <w:szCs w:val="20"/>
          <w:color w:val="auto"/>
        </w:rPr>
      </w:pPr>
      <w:r>
        <w:rPr>
          <w:rFonts w:ascii="Times New Roman" w:cs="Times New Roman" w:eastAsia="Times New Roman" w:hAnsi="Times New Roman"/>
          <w:sz w:val="16"/>
          <w:szCs w:val="16"/>
          <w:color w:val="auto"/>
        </w:rPr>
        <w:t>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2" w:lineRule="exact"/>
        <w:rPr>
          <w:sz w:val="20"/>
          <w:szCs w:val="20"/>
          <w:color w:val="auto"/>
        </w:rPr>
      </w:pPr>
    </w:p>
    <w:p>
      <w:pPr>
        <w:ind w:right="1900"/>
        <w:spacing w:after="0" w:line="203" w:lineRule="auto"/>
        <w:rPr>
          <w:sz w:val="20"/>
          <w:szCs w:val="20"/>
          <w:color w:val="auto"/>
        </w:rPr>
      </w:pPr>
      <w:r>
        <w:rPr>
          <w:rFonts w:ascii="Times New Roman" w:cs="Times New Roman" w:eastAsia="Times New Roman" w:hAnsi="Times New Roman"/>
          <w:sz w:val="16"/>
          <w:szCs w:val="16"/>
          <w:color w:val="auto"/>
        </w:rPr>
        <w:t>(6)Net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208" w:lineRule="auto"/>
        <w:rPr>
          <w:sz w:val="20"/>
          <w:szCs w:val="20"/>
          <w:color w:val="auto"/>
        </w:rPr>
      </w:pPr>
      <w:r>
        <w:rPr>
          <w:rFonts w:ascii="Times New Roman" w:cs="Times New Roman" w:eastAsia="Times New Roman" w:hAnsi="Times New Roman"/>
          <w:sz w:val="16"/>
          <w:szCs w:val="16"/>
          <w:color w:val="auto"/>
        </w:rPr>
        <w:t>(7)Represents the net accrued performance revenue balance/(giveback obligation) as of the current quarter end.</w:t>
      </w:r>
    </w:p>
    <w:p>
      <w:pPr>
        <w:ind w:right="1740"/>
        <w:spacing w:after="0" w:line="203" w:lineRule="auto"/>
        <w:rPr>
          <w:sz w:val="20"/>
          <w:szCs w:val="20"/>
          <w:color w:val="auto"/>
        </w:rPr>
      </w:pPr>
      <w:r>
        <w:rPr>
          <w:rFonts w:ascii="Times New Roman" w:cs="Times New Roman" w:eastAsia="Times New Roman" w:hAnsi="Times New Roman"/>
          <w:sz w:val="16"/>
          <w:szCs w:val="16"/>
          <w:color w:val="auto"/>
        </w:rPr>
        <w:t>(8)For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sz w:val="20"/>
          <w:szCs w:val="20"/>
          <w:color w:val="auto"/>
        </w:rPr>
      </w:pPr>
    </w:p>
    <w:p>
      <w:pPr>
        <w:ind w:right="1740"/>
        <w:spacing w:after="0" w:line="203" w:lineRule="auto"/>
        <w:rPr>
          <w:sz w:val="20"/>
          <w:szCs w:val="20"/>
          <w:color w:val="auto"/>
        </w:rPr>
      </w:pPr>
      <w:r>
        <w:rPr>
          <w:rFonts w:ascii="Times New Roman" w:cs="Times New Roman" w:eastAsia="Times New Roman" w:hAnsi="Times New Roman"/>
          <w:sz w:val="16"/>
          <w:szCs w:val="16"/>
          <w:color w:val="auto"/>
        </w:rPr>
        <w:t>(9)Aggregate includes the following funds, as well as all active co-investments, separately managed accounts (SMAs), and stand-alone investments arranged by us: SASOF IV, SASOF V, CAPF VII, CICF, CICF II, CAF, and CALF.</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(10)Aggregate includes the following funds, as well as related co- investments, separately managed accounts (SMAs), and certain other stand-alone investments arranged by us: CSP I, CSP II, CEMOF I, CSC, CMP I, CMP II, SASOF II, and CASCOF.</w:t>
      </w:r>
    </w:p>
    <w:p>
      <w:pPr>
        <w:spacing w:after="0" w:line="1" w:lineRule="exact"/>
        <w:rPr>
          <w:sz w:val="20"/>
          <w:szCs w:val="20"/>
          <w:color w:val="auto"/>
        </w:rPr>
      </w:pPr>
    </w:p>
    <w:p>
      <w:pPr>
        <w:ind w:right="1900"/>
        <w:spacing w:after="0" w:line="216" w:lineRule="auto"/>
        <w:rPr>
          <w:sz w:val="20"/>
          <w:szCs w:val="20"/>
          <w:color w:val="auto"/>
        </w:rPr>
      </w:pPr>
      <w:r>
        <w:rPr>
          <w:rFonts w:ascii="Times New Roman" w:cs="Times New Roman" w:eastAsia="Times New Roman" w:hAnsi="Times New Roman"/>
          <w:sz w:val="16"/>
          <w:szCs w:val="16"/>
          <w:color w:val="auto"/>
        </w:rPr>
        <w:t>(11)The fund stepdown date represents the contractual stepdown date under the respective fund agreements for funds on which the fee basis stepdown has not yet occurred. Funds without a listed Fee Initiation Date and Stepdown Date have not yet initiated fees.</w:t>
      </w:r>
    </w:p>
    <w:p>
      <w:pPr>
        <w:sectPr>
          <w:pgSz w:w="11900" w:h="16840" w:orient="portrait"/>
          <w:cols w:equalWidth="0" w:num="1">
            <w:col w:w="9400"/>
          </w:cols>
          <w:pgMar w:left="1060" w:top="1440"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135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800"/>
        <w:spacing w:after="0" w:line="203" w:lineRule="auto"/>
        <w:rPr>
          <w:sz w:val="20"/>
          <w:szCs w:val="20"/>
          <w:color w:val="auto"/>
        </w:rPr>
      </w:pPr>
      <w:r>
        <w:rPr>
          <w:rFonts w:ascii="Times New Roman" w:cs="Times New Roman" w:eastAsia="Times New Roman" w:hAnsi="Times New Roman"/>
          <w:sz w:val="16"/>
          <w:szCs w:val="16"/>
          <w:color w:val="auto"/>
        </w:rPr>
        <w:t>(12)All amounts shown represent total capital commitments as of December 31, 2024. Certain of our recent vintage funds are currently in fundraising and total capital commitments are subject to change. Committed Capital for CEMOF II reflects original committed capital of $2.8 billion, less $1.1 billion in commitments that were extinguished following a Key Person Event. Committed capital for CCOF II excludes $150 million in capital committed by a CCOF II investor to a side vehicle.</w:t>
      </w:r>
    </w:p>
    <w:p>
      <w:pPr>
        <w:spacing w:after="0" w:line="2" w:lineRule="exact"/>
        <w:rPr>
          <w:sz w:val="20"/>
          <w:szCs w:val="20"/>
          <w:color w:val="auto"/>
        </w:rPr>
      </w:pPr>
    </w:p>
    <w:p>
      <w:pPr>
        <w:ind w:right="1780"/>
        <w:spacing w:after="0" w:line="203" w:lineRule="auto"/>
        <w:rPr>
          <w:sz w:val="20"/>
          <w:szCs w:val="20"/>
          <w:color w:val="auto"/>
        </w:rPr>
      </w:pPr>
      <w:r>
        <w:rPr>
          <w:rFonts w:ascii="Times New Roman" w:cs="Times New Roman" w:eastAsia="Times New Roman" w:hAnsi="Times New Roman"/>
          <w:sz w:val="16"/>
          <w:szCs w:val="16"/>
          <w:color w:val="auto"/>
        </w:rPr>
        <w:t>(13)Funds are included when all investments have been realized. There may be remaining fair value and net accrued carry where there are outstanding escrow balances or undistributed proceeds.</w:t>
      </w:r>
    </w:p>
    <w:p>
      <w:pPr>
        <w:spacing w:after="0" w:line="204" w:lineRule="auto"/>
        <w:rPr>
          <w:sz w:val="20"/>
          <w:szCs w:val="20"/>
          <w:color w:val="auto"/>
        </w:rPr>
      </w:pPr>
      <w:r>
        <w:rPr>
          <w:rFonts w:ascii="Times New Roman" w:cs="Times New Roman" w:eastAsia="Times New Roman" w:hAnsi="Times New Roman"/>
          <w:sz w:val="16"/>
          <w:szCs w:val="16"/>
          <w:color w:val="auto"/>
        </w:rPr>
        <w:t>(14)Gross IRR and Net IRR reflect the performance of equity commitments in CCOF III PSV.</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Global Investment Solutions</w:t>
      </w:r>
    </w:p>
    <w:p>
      <w:pPr>
        <w:ind w:left="560"/>
        <w:spacing w:after="0" w:line="217" w:lineRule="auto"/>
        <w:rPr>
          <w:sz w:val="20"/>
          <w:szCs w:val="20"/>
          <w:color w:val="auto"/>
        </w:rPr>
      </w:pPr>
      <w:r>
        <w:rPr>
          <w:rFonts w:ascii="Times New Roman" w:cs="Times New Roman" w:eastAsia="Times New Roman" w:hAnsi="Times New Roman"/>
          <w:sz w:val="16"/>
          <w:szCs w:val="16"/>
          <w:color w:val="auto"/>
        </w:rPr>
        <w:t>The following table presents our results of operations for our Global Investment Solutions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337.2</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242.4</w:t>
            </w: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39</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354.1</w:t>
            </w:r>
          </w:p>
        </w:tc>
        <w:tc>
          <w:tcPr>
            <w:tcW w:w="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246.0</w:t>
            </w: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108.1</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9"/>
              </w:rPr>
              <w:t>44</w:t>
            </w:r>
          </w:p>
        </w:tc>
        <w:tc>
          <w:tcPr>
            <w:tcW w:w="8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30</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29</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483.5</w:t>
            </w:r>
          </w:p>
        </w:tc>
        <w:tc>
          <w:tcPr>
            <w:tcW w:w="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348.0</w:t>
            </w:r>
          </w:p>
        </w:tc>
        <w:tc>
          <w:tcPr>
            <w:tcW w:w="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135.5</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9"/>
              </w:rPr>
              <w:t>39</w:t>
            </w:r>
          </w:p>
        </w:tc>
        <w:tc>
          <w:tcPr>
            <w:tcW w:w="8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118.8</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123.6</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27</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219.1</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8</w:t>
            </w:r>
          </w:p>
        </w:tc>
        <w:tc>
          <w:tcPr>
            <w:tcW w:w="82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General, administrative, and other indirect expenses</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47.8</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15</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55</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29</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
        </w:trPr>
        <w:tc>
          <w:tcPr>
            <w:tcW w:w="42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292.6</w:t>
            </w: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263.7</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11</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190.9</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84.3</w:t>
            </w:r>
          </w:p>
        </w:tc>
        <w:tc>
          <w:tcPr>
            <w:tcW w:w="20" w:type="dxa"/>
            <w:vAlign w:val="bottom"/>
          </w:tcPr>
          <w:p>
            <w:pPr>
              <w:spacing w:after="0"/>
              <w:rPr>
                <w:sz w:val="15"/>
                <w:szCs w:val="15"/>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106.6</w:t>
            </w: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126 %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52</w:t>
            </w:r>
          </w:p>
        </w:tc>
        <w:tc>
          <w:tcPr>
            <w:tcW w:w="82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29</w:t>
            </w:r>
          </w:p>
        </w:tc>
        <w:tc>
          <w:tcPr>
            <w:tcW w:w="82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173.4</w:t>
            </w:r>
          </w:p>
        </w:tc>
        <w:tc>
          <w:tcPr>
            <w:tcW w:w="60" w:type="dxa"/>
            <w:vAlign w:val="bottom"/>
          </w:tcPr>
          <w:p>
            <w:pPr>
              <w:spacing w:after="0"/>
              <w:rPr>
                <w:sz w:val="15"/>
                <w:szCs w:val="15"/>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70.2</w:t>
            </w:r>
          </w:p>
        </w:tc>
        <w:tc>
          <w:tcPr>
            <w:tcW w:w="20" w:type="dxa"/>
            <w:vAlign w:val="bottom"/>
          </w:tcPr>
          <w:p>
            <w:pPr>
              <w:spacing w:after="0"/>
              <w:rPr>
                <w:sz w:val="15"/>
                <w:szCs w:val="15"/>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103.2</w:t>
            </w: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147 %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400"/>
          </w:cols>
          <w:pgMar w:left="106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Distributable Earnings</w:t>
      </w:r>
    </w:p>
    <w:p>
      <w:pPr>
        <w:ind w:right="1740" w:firstLine="576"/>
        <w:spacing w:after="0" w:line="268" w:lineRule="auto"/>
        <w:rPr>
          <w:sz w:val="20"/>
          <w:szCs w:val="20"/>
          <w:color w:val="auto"/>
        </w:rPr>
      </w:pPr>
      <w:r>
        <w:rPr>
          <w:rFonts w:ascii="Times New Roman" w:cs="Times New Roman" w:eastAsia="Times New Roman" w:hAnsi="Times New Roman"/>
          <w:sz w:val="14"/>
          <w:szCs w:val="14"/>
          <w:color w:val="auto"/>
        </w:rPr>
        <w:t>Distributable Earnings increased $ 106.6 million for the year ended December 31, 2024 as compared to 2023. The following table provides the components of the changes in Distributable Earnings for the year ended December 31, 2024:</w:t>
      </w:r>
    </w:p>
    <w:p>
      <w:pPr>
        <w:sectPr>
          <w:pgSz w:w="11900" w:h="16840" w:orient="portrait"/>
          <w:cols w:equalWidth="0" w:num="1">
            <w:col w:w="9400"/>
          </w:cols>
          <w:pgMar w:left="1060" w:top="547" w:right="1440"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8"/>
        </w:trPr>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48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480" w:type="dxa"/>
            <w:vAlign w:val="bottom"/>
          </w:tcPr>
          <w:p>
            <w:pPr>
              <w:spacing w:after="0"/>
              <w:rPr>
                <w:sz w:val="15"/>
                <w:szCs w:val="15"/>
                <w:color w:val="auto"/>
              </w:rPr>
            </w:pPr>
          </w:p>
        </w:tc>
      </w:tr>
      <w:tr>
        <w:trPr>
          <w:trHeight w:val="26"/>
        </w:trPr>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48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r>
      <w:tr>
        <w:trPr>
          <w:trHeight w:val="26"/>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Distributable Earnings, December 31, 2023</w:t>
            </w: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84.3</w:t>
            </w: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Increases (decreases):</w:t>
            </w: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0"/>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fee related earnings</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103.2</w:t>
            </w: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Increase in realized net performance revenues</w:t>
            </w:r>
          </w:p>
        </w:tc>
        <w:tc>
          <w:tcPr>
            <w:tcW w:w="12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r>
      <w:tr>
        <w:trPr>
          <w:trHeight w:val="40"/>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realized principal investment income</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Increase in net interest</w:t>
            </w:r>
          </w:p>
        </w:tc>
        <w:tc>
          <w:tcPr>
            <w:tcW w:w="12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r>
      <w:tr>
        <w:trPr>
          <w:trHeight w:val="40"/>
        </w:trPr>
        <w:tc>
          <w:tcPr>
            <w:tcW w:w="48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increase</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106.6</w:t>
            </w:r>
          </w:p>
        </w:tc>
      </w:tr>
      <w:tr>
        <w:trPr>
          <w:trHeight w:val="180"/>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Earnings, December 31, 2024</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2540</wp:posOffset>
            </wp:positionV>
            <wp:extent cx="11201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Fee Related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-101600</wp:posOffset>
            </wp:positionV>
            <wp:extent cx="11201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ind w:right="1820" w:firstLine="576"/>
        <w:spacing w:after="0"/>
        <w:rPr>
          <w:sz w:val="20"/>
          <w:szCs w:val="20"/>
          <w:color w:val="auto"/>
        </w:rPr>
      </w:pPr>
      <w:r>
        <w:rPr>
          <w:rFonts w:ascii="Times New Roman" w:cs="Times New Roman" w:eastAsia="Times New Roman" w:hAnsi="Times New Roman"/>
          <w:sz w:val="14"/>
          <w:szCs w:val="14"/>
          <w:color w:val="auto"/>
        </w:rPr>
        <w:t>Fee Related Earnings increased $103.2 million for the year ended December 31, 2024 as compared to 2023. The following table provides the components of the changes in Fee Related Earnings for the year ended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4"/>
        </w:trPr>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48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v. 2023</w:t>
            </w:r>
          </w:p>
        </w:tc>
        <w:tc>
          <w:tcPr>
            <w:tcW w:w="480" w:type="dxa"/>
            <w:vAlign w:val="bottom"/>
          </w:tcPr>
          <w:p>
            <w:pPr>
              <w:spacing w:after="0"/>
              <w:rPr>
                <w:sz w:val="15"/>
                <w:szCs w:val="15"/>
                <w:color w:val="auto"/>
              </w:rPr>
            </w:pPr>
          </w:p>
        </w:tc>
      </w:tr>
      <w:tr>
        <w:trPr>
          <w:trHeight w:val="26"/>
        </w:trPr>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2"/>
        </w:trPr>
        <w:tc>
          <w:tcPr>
            <w:tcW w:w="482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r>
      <w:tr>
        <w:trPr>
          <w:trHeight w:val="26"/>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Earnings, December 31, 2023</w:t>
            </w: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w:t>
            </w: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Increases (decreases):</w:t>
            </w: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40"/>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fee revenues</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108.1</w:t>
            </w:r>
          </w:p>
        </w:tc>
      </w:tr>
      <w:tr>
        <w:trPr>
          <w:trHeight w:val="188"/>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Decrease in cash-based compensation and benefits</w:t>
            </w:r>
          </w:p>
        </w:tc>
        <w:tc>
          <w:tcPr>
            <w:tcW w:w="12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r>
      <w:tr>
        <w:trPr>
          <w:trHeight w:val="40"/>
        </w:trPr>
        <w:tc>
          <w:tcPr>
            <w:tcW w:w="4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general, administrative and other indirect expenses</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r>
      <w:tr>
        <w:trPr>
          <w:trHeight w:val="188"/>
        </w:trPr>
        <w:tc>
          <w:tcPr>
            <w:tcW w:w="4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All other changes</w:t>
            </w:r>
          </w:p>
        </w:tc>
        <w:tc>
          <w:tcPr>
            <w:tcW w:w="12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r>
      <w:tr>
        <w:trPr>
          <w:trHeight w:val="40"/>
        </w:trPr>
        <w:tc>
          <w:tcPr>
            <w:tcW w:w="48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increase</w:t>
            </w:r>
          </w:p>
        </w:tc>
        <w:tc>
          <w:tcPr>
            <w:tcW w:w="1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103.2</w:t>
            </w:r>
          </w:p>
        </w:tc>
      </w:tr>
      <w:tr>
        <w:trPr>
          <w:trHeight w:val="180"/>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Fee Related Earnings, December 31, 2024</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2540</wp:posOffset>
            </wp:positionV>
            <wp:extent cx="11201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5" w:lineRule="exact"/>
        <w:rPr>
          <w:sz w:val="20"/>
          <w:szCs w:val="20"/>
          <w:color w:val="auto"/>
        </w:rPr>
      </w:pPr>
    </w:p>
    <w:p>
      <w:pPr>
        <w:ind w:right="1500" w:firstLine="576"/>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Fee Revenues. </w:t>
      </w:r>
      <w:r>
        <w:rPr>
          <w:rFonts w:ascii="Times New Roman" w:cs="Times New Roman" w:eastAsia="Times New Roman" w:hAnsi="Times New Roman"/>
          <w:sz w:val="16"/>
          <w:szCs w:val="16"/>
          <w:color w:val="auto"/>
        </w:rPr>
        <w:t>Fee revenues increased $108.1 million for the year ended December 31, 2024 as compared to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due to an increase in Fund management fees of $ 94.8 million and an increase in Fee related performance revenues of $13.1 million. The increase in Fund management fees was primarily driven by the activation of management fees in ASF VIII and ACF IX in the second half of 2023, and the impact of ongoing fundraising in our secondaries &amp; portfolio finance and co-investment products as well as our CAPM funds throughout 2024. The increase in Fund management fees for the year ended December 31, 2024 included an increase in catch-up management fees of $13.2 million. The increase in Fee related performance revenues was primarily driven by growth in our CAPM retail strategy due to its growing capital base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-791845</wp:posOffset>
            </wp:positionV>
            <wp:extent cx="112014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16"/>
          <w:szCs w:val="16"/>
          <w:b w:val="1"/>
          <w:bCs w:val="1"/>
          <w:i w:val="1"/>
          <w:iCs w:val="1"/>
          <w:color w:val="auto"/>
        </w:rPr>
        <w:t>Fee-earning AUM</w:t>
      </w:r>
    </w:p>
    <w:p>
      <w:pPr>
        <w:ind w:right="2100"/>
        <w:spacing w:after="0" w:line="203" w:lineRule="auto"/>
        <w:rPr>
          <w:sz w:val="20"/>
          <w:szCs w:val="20"/>
          <w:color w:val="auto"/>
        </w:rPr>
      </w:pPr>
      <w:r>
        <w:rPr>
          <w:rFonts w:ascii="Times New Roman" w:cs="Times New Roman" w:eastAsia="Times New Roman" w:hAnsi="Times New Roman"/>
          <w:sz w:val="16"/>
          <w:szCs w:val="16"/>
          <w:color w:val="auto"/>
        </w:rPr>
        <w:t>Fee-earning AUM is presented below for each period together with the components of change during each respective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breaks out Fee-earning AUM by its respective components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137</w:t>
      </w:r>
    </w:p>
    <w:p>
      <w:pPr>
        <w:spacing w:after="0" w:line="197"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bl>
      <w:tblPr>
        <w:tblLayout w:type="fixed"/>
        <w:tblInd w:w="0" w:type="dxa"/>
        <w:tblCellMar>
          <w:top w:w="0" w:type="dxa"/>
          <w:left w:w="0" w:type="dxa"/>
          <w:bottom w:w="0" w:type="dxa"/>
          <w:right w:w="0" w:type="dxa"/>
        </w:tblCellMar>
      </w:tblPr>
      <w:tr>
        <w:trPr>
          <w:trHeight w:val="210"/>
        </w:trPr>
        <w:tc>
          <w:tcPr>
            <w:tcW w:w="1120" w:type="dxa"/>
            <w:vAlign w:val="bottom"/>
            <w:tcBorders>
              <w:top w:val="single" w:sz="8" w:color="0000FF"/>
            </w:tcBorders>
          </w:tcPr>
          <w:p>
            <w:pPr>
              <w:spacing w:after="0"/>
              <w:rPr>
                <w:sz w:val="18"/>
                <w:szCs w:val="18"/>
                <w:color w:val="auto"/>
              </w:rPr>
            </w:pPr>
          </w:p>
        </w:tc>
        <w:tc>
          <w:tcPr>
            <w:tcW w:w="484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
        </w:trPr>
        <w:tc>
          <w:tcPr>
            <w:tcW w:w="1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r>
      <w:tr>
        <w:trPr>
          <w:trHeight w:val="38"/>
        </w:trPr>
        <w:tc>
          <w:tcPr>
            <w:tcW w:w="1120" w:type="dxa"/>
            <w:vAlign w:val="bottom"/>
          </w:tcPr>
          <w:p>
            <w:pPr>
              <w:spacing w:after="0"/>
              <w:rPr>
                <w:sz w:val="3"/>
                <w:szCs w:val="3"/>
                <w:color w:val="auto"/>
              </w:rPr>
            </w:pPr>
          </w:p>
        </w:tc>
        <w:tc>
          <w:tcPr>
            <w:tcW w:w="484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2"/>
        </w:trPr>
        <w:tc>
          <w:tcPr>
            <w:tcW w:w="1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Pr>
          <w:p>
            <w:pPr>
              <w:spacing w:after="0"/>
              <w:rPr>
                <w:sz w:val="15"/>
                <w:szCs w:val="15"/>
                <w:color w:val="auto"/>
              </w:rPr>
            </w:pPr>
          </w:p>
        </w:tc>
      </w:tr>
      <w:tr>
        <w:trPr>
          <w:trHeight w:val="38"/>
        </w:trPr>
        <w:tc>
          <w:tcPr>
            <w:tcW w:w="596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08"/>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Investment Solutions</w:t>
            </w:r>
          </w:p>
        </w:tc>
        <w:tc>
          <w:tcPr>
            <w:tcW w:w="4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34"/>
        </w:trPr>
        <w:tc>
          <w:tcPr>
            <w:tcW w:w="59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Components of Fee-earning AUM</w:t>
            </w: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26"/>
        </w:trPr>
        <w:tc>
          <w:tcPr>
            <w:tcW w:w="5960" w:type="dxa"/>
            <w:vAlign w:val="bottom"/>
            <w:gridSpan w:val="2"/>
          </w:tcPr>
          <w:p>
            <w:pPr>
              <w:ind w:left="2080"/>
              <w:spacing w:after="0"/>
              <w:rPr>
                <w:sz w:val="20"/>
                <w:szCs w:val="20"/>
                <w:color w:val="auto"/>
              </w:rPr>
            </w:pP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68"/>
        </w:trPr>
        <w:tc>
          <w:tcPr>
            <w:tcW w:w="596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20"/>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capital commitments</w:t>
            </w:r>
          </w:p>
        </w:tc>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21,934</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17,488</w:t>
            </w:r>
          </w:p>
        </w:tc>
      </w:tr>
      <w:tr>
        <w:trPr>
          <w:trHeight w:val="34"/>
        </w:trPr>
        <w:tc>
          <w:tcPr>
            <w:tcW w:w="596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Fee-earning AUM based on invested capital</w:t>
            </w:r>
          </w:p>
        </w:tc>
        <w:tc>
          <w:tcPr>
            <w:tcW w:w="460" w:type="dxa"/>
            <w:vAlign w:val="bottom"/>
          </w:tcPr>
          <w:p>
            <w:pPr>
              <w:spacing w:after="0"/>
              <w:rPr>
                <w:sz w:val="2"/>
                <w:szCs w:val="2"/>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3"/>
                <w:szCs w:val="3"/>
                <w:color w:val="auto"/>
              </w:rPr>
              <w:t>9,224</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3"/>
                <w:szCs w:val="3"/>
                <w:color w:val="auto"/>
              </w:rPr>
              <w:t>8,459</w:t>
            </w:r>
          </w:p>
        </w:tc>
      </w:tr>
      <w:tr>
        <w:trPr>
          <w:trHeight w:val="124"/>
        </w:trPr>
        <w:tc>
          <w:tcPr>
            <w:tcW w:w="5960" w:type="dxa"/>
            <w:vAlign w:val="bottom"/>
            <w:gridSpan w:val="2"/>
          </w:tcPr>
          <w:p>
            <w:pPr>
              <w:ind w:left="2540"/>
              <w:spacing w:after="0"/>
              <w:rPr>
                <w:sz w:val="20"/>
                <w:szCs w:val="20"/>
                <w:color w:val="auto"/>
              </w:rPr>
            </w:pPr>
            <w:r>
              <w:rPr>
                <w:rFonts w:ascii="Times New Roman" w:cs="Times New Roman" w:eastAsia="Times New Roman" w:hAnsi="Times New Roman"/>
                <w:sz w:val="10"/>
                <w:szCs w:val="10"/>
                <w:color w:val="auto"/>
              </w:rPr>
              <w:t>(2)</w:t>
            </w: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82"/>
        </w:trPr>
        <w:tc>
          <w:tcPr>
            <w:tcW w:w="5960" w:type="dxa"/>
            <w:vAlign w:val="bottom"/>
            <w:gridSpan w:val="2"/>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220"/>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Fee-earning AUM based on net asset value</w:t>
            </w:r>
          </w:p>
        </w:tc>
        <w:tc>
          <w:tcPr>
            <w:tcW w:w="4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12,930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10,530</w:t>
            </w:r>
          </w:p>
        </w:tc>
      </w:tr>
      <w:tr>
        <w:trPr>
          <w:trHeight w:val="188"/>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Fee-earning AUM based on lower of cost or fair market value</w:t>
            </w:r>
          </w:p>
        </w:tc>
        <w:tc>
          <w:tcPr>
            <w:tcW w:w="46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8,051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9,052</w:t>
            </w:r>
          </w:p>
        </w:tc>
      </w:tr>
      <w:tr>
        <w:trPr>
          <w:trHeight w:val="52"/>
        </w:trPr>
        <w:tc>
          <w:tcPr>
            <w:tcW w:w="5960" w:type="dxa"/>
            <w:vAlign w:val="bottom"/>
            <w:tcBorders>
              <w:bottom w:val="single" w:sz="8" w:color="CCEEFF"/>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08"/>
        </w:trPr>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Fee-earning AUM</w:t>
            </w: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52,139</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45,529</w:t>
            </w:r>
          </w:p>
        </w:tc>
      </w:tr>
      <w:tr>
        <w:trPr>
          <w:trHeight w:val="20"/>
        </w:trPr>
        <w:tc>
          <w:tcPr>
            <w:tcW w:w="59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Annualized Management Fee Rate</w:t>
            </w:r>
          </w:p>
        </w:tc>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0.66 %</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0.60 %</w:t>
            </w:r>
          </w:p>
        </w:tc>
        <w:tc>
          <w:tcPr>
            <w:tcW w:w="680" w:type="dxa"/>
            <w:vAlign w:val="bottom"/>
          </w:tcPr>
          <w:p>
            <w:pPr>
              <w:spacing w:after="0"/>
              <w:rPr>
                <w:sz w:val="18"/>
                <w:szCs w:val="18"/>
                <w:color w:val="auto"/>
              </w:rPr>
            </w:pPr>
          </w:p>
        </w:tc>
      </w:tr>
      <w:tr>
        <w:trPr>
          <w:trHeight w:val="124"/>
        </w:trPr>
        <w:tc>
          <w:tcPr>
            <w:tcW w:w="5960" w:type="dxa"/>
            <w:vAlign w:val="bottom"/>
            <w:gridSpan w:val="2"/>
          </w:tcPr>
          <w:p>
            <w:pPr>
              <w:ind w:left="2000"/>
              <w:spacing w:after="0"/>
              <w:rPr>
                <w:sz w:val="20"/>
                <w:szCs w:val="20"/>
                <w:color w:val="auto"/>
              </w:rPr>
            </w:pPr>
            <w:r>
              <w:rPr>
                <w:rFonts w:ascii="Times New Roman" w:cs="Times New Roman" w:eastAsia="Times New Roman" w:hAnsi="Times New Roman"/>
                <w:sz w:val="10"/>
                <w:szCs w:val="10"/>
                <w:color w:val="auto"/>
              </w:rPr>
              <w:t>(3)</w:t>
            </w: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5259070"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(1)For additional information concerning the components of Fee-earning AUM, see “—Key Financial Measures—Operating Metrics.”</w:t>
      </w:r>
    </w:p>
    <w:p>
      <w:pPr>
        <w:spacing w:after="0" w:line="214" w:lineRule="auto"/>
        <w:rPr>
          <w:sz w:val="20"/>
          <w:szCs w:val="20"/>
          <w:color w:val="auto"/>
        </w:rPr>
      </w:pPr>
      <w:r>
        <w:rPr>
          <w:rFonts w:ascii="Times New Roman" w:cs="Times New Roman" w:eastAsia="Times New Roman" w:hAnsi="Times New Roman"/>
          <w:sz w:val="14"/>
          <w:szCs w:val="14"/>
          <w:color w:val="auto"/>
        </w:rPr>
        <w:t>(2)Includes amounts committed to or reserved for certain AlpInvest funds.</w:t>
      </w:r>
    </w:p>
    <w:p>
      <w:pPr>
        <w:ind w:right="1420"/>
        <w:spacing w:after="0" w:line="215" w:lineRule="auto"/>
        <w:rPr>
          <w:sz w:val="20"/>
          <w:szCs w:val="20"/>
          <w:color w:val="auto"/>
        </w:rPr>
      </w:pPr>
      <w:r>
        <w:rPr>
          <w:rFonts w:ascii="Times New Roman" w:cs="Times New Roman" w:eastAsia="Times New Roman" w:hAnsi="Times New Roman"/>
          <w:sz w:val="14"/>
          <w:szCs w:val="14"/>
          <w:color w:val="auto"/>
        </w:rPr>
        <w:t>(3)Represents annualized fund management fees divided by the average of the beginning of year and each quarter end’s Fee-earning AUM in the reporting period. Catch-up management fees were excluded in the calculation of the annualized fund management fees.</w:t>
      </w:r>
    </w:p>
    <w:p>
      <w:pPr>
        <w:sectPr>
          <w:pgSz w:w="11900" w:h="16840" w:orient="portrait"/>
          <w:cols w:equalWidth="0" w:num="1">
            <w:col w:w="9400"/>
          </w:cols>
          <w:pgMar w:left="1060" w:top="555" w:right="1440"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the period to period rollforward of Fee-earning AUM.</w:t>
      </w:r>
    </w:p>
    <w:p>
      <w:pPr>
        <w:sectPr>
          <w:pgSz w:w="11900" w:h="16840" w:orient="portrait"/>
          <w:cols w:equalWidth="0" w:num="1">
            <w:col w:w="9400"/>
          </w:cols>
          <w:pgMar w:left="1060" w:top="555" w:right="1440"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Ended December 31,</w:t>
            </w:r>
          </w:p>
        </w:tc>
        <w:tc>
          <w:tcPr>
            <w:tcW w:w="0" w:type="dxa"/>
            <w:vAlign w:val="bottom"/>
          </w:tcPr>
          <w:p>
            <w:pPr>
              <w:spacing w:after="0"/>
              <w:rPr>
                <w:sz w:val="1"/>
                <w:szCs w:val="1"/>
                <w:color w:val="auto"/>
              </w:rPr>
            </w:pPr>
          </w:p>
        </w:tc>
      </w:tr>
      <w:tr>
        <w:trPr>
          <w:trHeight w:val="64"/>
        </w:trPr>
        <w:tc>
          <w:tcPr>
            <w:tcW w:w="1920" w:type="dxa"/>
            <w:vAlign w:val="bottom"/>
          </w:tcPr>
          <w:p>
            <w:pPr>
              <w:spacing w:after="0"/>
              <w:rPr>
                <w:sz w:val="5"/>
                <w:szCs w:val="5"/>
                <w:color w:val="auto"/>
              </w:rPr>
            </w:pPr>
          </w:p>
        </w:tc>
        <w:tc>
          <w:tcPr>
            <w:tcW w:w="3840" w:type="dxa"/>
            <w:vAlign w:val="bottom"/>
            <w:vMerge w:val="restart"/>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Investment Solutions</w:t>
            </w:r>
          </w:p>
        </w:tc>
        <w:tc>
          <w:tcPr>
            <w:tcW w:w="3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Fee-earning AUM Rollforward</w:t>
            </w:r>
          </w:p>
        </w:tc>
        <w:tc>
          <w:tcPr>
            <w:tcW w:w="3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4340" w:type="dxa"/>
            <w:vAlign w:val="bottom"/>
            <w:tcBorders>
              <w:bottom w:val="single" w:sz="8" w:color="CCEEFF"/>
            </w:tcBorders>
            <w:gridSpan w:val="2"/>
            <w:shd w:val="clear" w:color="auto" w:fill="CCEEFF"/>
          </w:tcPr>
          <w:p>
            <w:pPr>
              <w:ind w:left="38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45,529</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37,547</w:t>
            </w:r>
          </w:p>
        </w:tc>
        <w:tc>
          <w:tcPr>
            <w:tcW w:w="0" w:type="dxa"/>
            <w:vAlign w:val="bottom"/>
          </w:tcPr>
          <w:p>
            <w:pPr>
              <w:spacing w:after="0"/>
              <w:rPr>
                <w:sz w:val="1"/>
                <w:szCs w:val="1"/>
                <w:color w:val="auto"/>
              </w:rPr>
            </w:pPr>
          </w:p>
        </w:tc>
      </w:tr>
      <w:tr>
        <w:trPr>
          <w:trHeight w:val="18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tc>
        <w:tc>
          <w:tcPr>
            <w:tcW w:w="3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9,886</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13,100</w:t>
            </w:r>
          </w:p>
        </w:tc>
        <w:tc>
          <w:tcPr>
            <w:tcW w:w="0" w:type="dxa"/>
            <w:vAlign w:val="bottom"/>
          </w:tcPr>
          <w:p>
            <w:pPr>
              <w:spacing w:after="0"/>
              <w:rPr>
                <w:sz w:val="1"/>
                <w:szCs w:val="1"/>
                <w:color w:val="auto"/>
              </w:rPr>
            </w:pPr>
          </w:p>
        </w:tc>
      </w:tr>
      <w:tr>
        <w:trPr>
          <w:trHeight w:val="40"/>
        </w:trPr>
        <w:tc>
          <w:tcPr>
            <w:tcW w:w="19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9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Outflows (including realizations)</w:t>
            </w:r>
          </w:p>
        </w:tc>
        <w:tc>
          <w:tcPr>
            <w:tcW w:w="3840" w:type="dxa"/>
            <w:vAlign w:val="bottom"/>
            <w:vMerge w:val="restart"/>
            <w:shd w:val="clear" w:color="auto" w:fill="CCEEFF"/>
          </w:tcPr>
          <w:p>
            <w:pPr>
              <w:jc w:val="right"/>
              <w:ind w:right="3683"/>
              <w:spacing w:after="0"/>
              <w:rPr>
                <w:sz w:val="20"/>
                <w:szCs w:val="20"/>
                <w:color w:val="auto"/>
              </w:rPr>
            </w:pPr>
            <w:r>
              <w:rPr>
                <w:rFonts w:ascii="Times New Roman" w:cs="Times New Roman" w:eastAsia="Times New Roman" w:hAnsi="Times New Roman"/>
                <w:sz w:val="8"/>
                <w:szCs w:val="8"/>
                <w:color w:val="auto"/>
                <w:w w:val="85"/>
              </w:rPr>
              <w:t>(2)</w:t>
            </w: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3"/>
                <w:szCs w:val="13"/>
                <w:color w:val="auto"/>
              </w:rPr>
              <w:t>(3,859)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8"/>
              <w:spacing w:after="0" w:line="120" w:lineRule="exact"/>
              <w:rPr>
                <w:sz w:val="20"/>
                <w:szCs w:val="20"/>
                <w:color w:val="auto"/>
              </w:rPr>
            </w:pPr>
            <w:r>
              <w:rPr>
                <w:rFonts w:ascii="Times New Roman" w:cs="Times New Roman" w:eastAsia="Times New Roman" w:hAnsi="Times New Roman"/>
                <w:sz w:val="13"/>
                <w:szCs w:val="13"/>
                <w:color w:val="auto"/>
              </w:rPr>
              <w:t>(5,707)</w:t>
            </w:r>
          </w:p>
        </w:tc>
        <w:tc>
          <w:tcPr>
            <w:tcW w:w="0" w:type="dxa"/>
            <w:vAlign w:val="bottom"/>
          </w:tcPr>
          <w:p>
            <w:pPr>
              <w:spacing w:after="0"/>
              <w:rPr>
                <w:sz w:val="1"/>
                <w:szCs w:val="1"/>
                <w:color w:val="auto"/>
              </w:rPr>
            </w:pPr>
          </w:p>
        </w:tc>
      </w:tr>
      <w:tr>
        <w:trPr>
          <w:trHeight w:val="28"/>
        </w:trPr>
        <w:tc>
          <w:tcPr>
            <w:tcW w:w="1920" w:type="dxa"/>
            <w:vAlign w:val="bottom"/>
            <w:shd w:val="clear" w:color="auto" w:fill="CCEEFF"/>
          </w:tcPr>
          <w:p>
            <w:pPr>
              <w:spacing w:after="0"/>
              <w:rPr>
                <w:sz w:val="2"/>
                <w:szCs w:val="2"/>
                <w:color w:val="auto"/>
              </w:rPr>
            </w:pPr>
          </w:p>
        </w:tc>
        <w:tc>
          <w:tcPr>
            <w:tcW w:w="3840" w:type="dxa"/>
            <w:vAlign w:val="bottom"/>
            <w:vMerge w:val="continue"/>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1920" w:type="dxa"/>
            <w:vAlign w:val="bottom"/>
            <w:shd w:val="clear" w:color="auto" w:fill="CCEEFF"/>
          </w:tcPr>
          <w:p>
            <w:pPr>
              <w:spacing w:after="0"/>
              <w:rPr>
                <w:sz w:val="6"/>
                <w:szCs w:val="6"/>
                <w:color w:val="auto"/>
              </w:rPr>
            </w:pPr>
          </w:p>
        </w:tc>
        <w:tc>
          <w:tcPr>
            <w:tcW w:w="38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0"/>
                <w:szCs w:val="20"/>
                <w:color w:val="auto"/>
              </w:rPr>
            </w:pPr>
            <w:r>
              <w:rPr>
                <w:rFonts w:ascii="Times New Roman" w:cs="Times New Roman" w:eastAsia="Times New Roman" w:hAnsi="Times New Roman"/>
                <w:sz w:val="3"/>
                <w:szCs w:val="3"/>
                <w:color w:val="auto"/>
              </w:rPr>
              <w:t>Market Activity &amp; Other</w:t>
            </w:r>
          </w:p>
        </w:tc>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1,674</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3"/>
                <w:szCs w:val="3"/>
                <w:color w:val="auto"/>
              </w:rPr>
              <w:t>493</w:t>
            </w:r>
          </w:p>
        </w:tc>
        <w:tc>
          <w:tcPr>
            <w:tcW w:w="0" w:type="dxa"/>
            <w:vAlign w:val="bottom"/>
          </w:tcPr>
          <w:p>
            <w:pPr>
              <w:spacing w:after="0" w:line="20" w:lineRule="exact"/>
              <w:rPr>
                <w:sz w:val="1"/>
                <w:szCs w:val="1"/>
                <w:color w:val="auto"/>
              </w:rPr>
            </w:pPr>
          </w:p>
        </w:tc>
      </w:tr>
      <w:tr>
        <w:trPr>
          <w:trHeight w:val="124"/>
        </w:trPr>
        <w:tc>
          <w:tcPr>
            <w:tcW w:w="1920" w:type="dxa"/>
            <w:vAlign w:val="bottom"/>
          </w:tcPr>
          <w:p>
            <w:pPr>
              <w:ind w:left="1440"/>
              <w:spacing w:after="0"/>
              <w:rPr>
                <w:sz w:val="20"/>
                <w:szCs w:val="20"/>
                <w:color w:val="auto"/>
              </w:rPr>
            </w:pPr>
            <w:r>
              <w:rPr>
                <w:rFonts w:ascii="Times New Roman" w:cs="Times New Roman" w:eastAsia="Times New Roman" w:hAnsi="Times New Roman"/>
                <w:sz w:val="10"/>
                <w:szCs w:val="10"/>
                <w:color w:val="auto"/>
              </w:rPr>
              <w:t>(3)</w:t>
            </w:r>
          </w:p>
        </w:tc>
        <w:tc>
          <w:tcPr>
            <w:tcW w:w="3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20" w:type="dxa"/>
            <w:vAlign w:val="bottom"/>
          </w:tcPr>
          <w:p>
            <w:pPr>
              <w:spacing w:after="0"/>
              <w:rPr>
                <w:sz w:val="6"/>
                <w:szCs w:val="6"/>
                <w:color w:val="auto"/>
              </w:rPr>
            </w:pPr>
          </w:p>
        </w:tc>
        <w:tc>
          <w:tcPr>
            <w:tcW w:w="3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tc>
        <w:tc>
          <w:tcPr>
            <w:tcW w:w="38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84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52,139</w:t>
            </w:r>
          </w:p>
        </w:tc>
        <w:tc>
          <w:tcPr>
            <w:tcW w:w="6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45,529</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right="1360"/>
        <w:spacing w:after="0" w:line="220" w:lineRule="auto"/>
        <w:rPr>
          <w:sz w:val="20"/>
          <w:szCs w:val="20"/>
          <w:color w:val="auto"/>
        </w:rPr>
      </w:pPr>
      <w:r>
        <w:rPr>
          <w:rFonts w:ascii="Times New Roman" w:cs="Times New Roman" w:eastAsia="Times New Roman" w:hAnsi="Times New Roman"/>
          <w:sz w:val="14"/>
          <w:szCs w:val="14"/>
          <w:color w:val="auto"/>
        </w:rPr>
        <w:t>(1)Inflows represents limited partner capital raised by our carry funds or separately managed accounts for which management fees based on commitments were activated during the period and the fee -earning commitments invested in vehicles for which management fees are based on invested capital. Inflows exclude fundraising amounts during the period for which fees have not yet been activated, which are referenced as Pending Fee -earning 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3660140</wp:posOffset>
            </wp:positionH>
            <wp:positionV relativeFrom="paragraph">
              <wp:posOffset>-366395</wp:posOffset>
            </wp:positionV>
            <wp:extent cx="15932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ind w:right="1540"/>
        <w:spacing w:after="0" w:line="214" w:lineRule="auto"/>
        <w:rPr>
          <w:sz w:val="20"/>
          <w:szCs w:val="20"/>
          <w:color w:val="auto"/>
        </w:rPr>
      </w:pPr>
      <w:r>
        <w:rPr>
          <w:rFonts w:ascii="Times New Roman" w:cs="Times New Roman" w:eastAsia="Times New Roman" w:hAnsi="Times New Roman"/>
          <w:sz w:val="14"/>
          <w:szCs w:val="14"/>
          <w:color w:val="auto"/>
        </w:rPr>
        <w:t>(2)Outflows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Distributions for funds earning management fees based on commitments during the period do not affect Fee- earning AUM.</w:t>
      </w:r>
    </w:p>
    <w:p>
      <w:pPr>
        <w:spacing w:after="0" w:line="2" w:lineRule="exact"/>
        <w:rPr>
          <w:sz w:val="20"/>
          <w:szCs w:val="20"/>
          <w:color w:val="auto"/>
        </w:rPr>
      </w:pPr>
    </w:p>
    <w:p>
      <w:pPr>
        <w:ind w:right="1380"/>
        <w:spacing w:after="0" w:line="214" w:lineRule="auto"/>
        <w:rPr>
          <w:sz w:val="20"/>
          <w:szCs w:val="20"/>
          <w:color w:val="auto"/>
        </w:rPr>
      </w:pPr>
      <w:r>
        <w:rPr>
          <w:rFonts w:ascii="Times New Roman" w:cs="Times New Roman" w:eastAsia="Times New Roman" w:hAnsi="Times New Roman"/>
          <w:sz w:val="14"/>
          <w:szCs w:val="14"/>
          <w:color w:val="auto"/>
        </w:rPr>
        <w:t>(3)Market Activity &amp; Other represents realized and unrealized gains (losses) on portfolio investments in our carry funds based on the lower of cost or fair value and net asset value.</w:t>
      </w:r>
    </w:p>
    <w:p>
      <w:pPr>
        <w:spacing w:after="0" w:line="1"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204" w:lineRule="auto"/>
        <w:rPr>
          <w:sz w:val="20"/>
          <w:szCs w:val="20"/>
          <w:color w:val="auto"/>
        </w:rPr>
      </w:pPr>
      <w:r>
        <w:rPr>
          <w:rFonts w:ascii="Times New Roman" w:cs="Times New Roman" w:eastAsia="Times New Roman" w:hAnsi="Times New Roman"/>
          <w:sz w:val="16"/>
          <w:szCs w:val="16"/>
          <w:color w:val="auto"/>
        </w:rPr>
        <w:t>Fee-earning AUM was $52.1 billion at December 31, 2024, an increase of 14% compared to $45.5 billion at</w:t>
      </w:r>
    </w:p>
    <w:p>
      <w:pPr>
        <w:ind w:right="1420"/>
        <w:spacing w:after="0" w:line="239" w:lineRule="auto"/>
        <w:rPr>
          <w:sz w:val="20"/>
          <w:szCs w:val="20"/>
          <w:color w:val="auto"/>
        </w:rPr>
      </w:pPr>
      <w:r>
        <w:rPr>
          <w:rFonts w:ascii="Times New Roman" w:cs="Times New Roman" w:eastAsia="Times New Roman" w:hAnsi="Times New Roman"/>
          <w:sz w:val="14"/>
          <w:szCs w:val="14"/>
          <w:color w:val="auto"/>
        </w:rPr>
        <w:t>December 31, 2023, as inflows and market appreciation exceeded outflows and foreign exchange activity for the period. Inflows of $9.9 billion were driven by fundraising, notably in ASF VIII and ACF IX, and capital deployed in our funds which charge fees based on invested capital. Outflows of $3.9 billion were attributable to distributions and basis step-downs, particularly in our primary funds. Negative foreign exchange activity of $1.1 billion reflected the impact of a strengthening U.S. Dollar on the translation of our EUR-denominated funds to USD. Distributions from funds still in the commitment or weighted-average investment period do not impact Fee-earning AUM as these funds are based on commitments and not invested capital.</w:t>
      </w:r>
    </w:p>
    <w:p>
      <w:pPr>
        <w:sectPr>
          <w:pgSz w:w="11900" w:h="16840" w:orient="portrait"/>
          <w:cols w:equalWidth="0" w:num="1">
            <w:col w:w="9400"/>
          </w:cols>
          <w:pgMar w:left="106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Total AUM</w:t>
      </w:r>
    </w:p>
    <w:p>
      <w:pPr>
        <w:spacing w:after="0"/>
        <w:rPr>
          <w:sz w:val="20"/>
          <w:szCs w:val="20"/>
          <w:color w:val="auto"/>
        </w:rPr>
      </w:pPr>
      <w:r>
        <w:rPr>
          <w:rFonts w:ascii="Times New Roman" w:cs="Times New Roman" w:eastAsia="Times New Roman" w:hAnsi="Times New Roman"/>
          <w:sz w:val="14"/>
          <w:szCs w:val="14"/>
          <w:color w:val="auto"/>
        </w:rPr>
        <w:t>The table below provides the period to period rollforward of Total AUM.</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Investment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5259070"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25907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AUM Rollforward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Inflows</w:t>
      </w:r>
      <w:r>
        <w:rPr>
          <w:rFonts w:ascii="Times New Roman" w:cs="Times New Roman" w:eastAsia="Times New Roman" w:hAnsi="Times New Roman"/>
          <w:sz w:val="9"/>
          <w:szCs w:val="9"/>
          <w:color w:val="auto"/>
        </w:rPr>
        <w:t>(1)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Outflows (including realizations)</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Activity &amp; Other</w:t>
      </w:r>
      <w:r>
        <w:rPr>
          <w:rFonts w:ascii="Times New Roman" w:cs="Times New Roman" w:eastAsia="Times New Roman" w:hAnsi="Times New Roman"/>
          <w:sz w:val="9"/>
          <w:szCs w:val="9"/>
          <w:color w:val="auto"/>
        </w:rPr>
        <w:t>(3)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Exchange</w:t>
      </w:r>
      <w:r>
        <w:rPr>
          <w:rFonts w:ascii="Times New Roman" w:cs="Times New Roman" w:eastAsia="Times New Roman" w:hAnsi="Times New Roman"/>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9070" cy="152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259070" cy="15240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Ended December 31,</w:t>
      </w:r>
    </w:p>
    <w:p>
      <w:pPr>
        <w:spacing w:after="0" w:line="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5855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15855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76,860</w:t>
            </w:r>
          </w:p>
        </w:tc>
        <w:tc>
          <w:tcPr>
            <w:tcW w:w="4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63,291</w:t>
            </w: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10,812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12,732</w:t>
            </w: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(5,892)</w:t>
            </w: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6,577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0" w:type="dxa"/>
            <w:vAlign w:val="bottom"/>
          </w:tcPr>
          <w:p>
            <w:pPr>
              <w:spacing w:after="0"/>
              <w:rPr>
                <w:sz w:val="1"/>
                <w:szCs w:val="1"/>
                <w:color w:val="auto"/>
              </w:rPr>
            </w:pPr>
          </w:p>
        </w:tc>
      </w:tr>
      <w:tr>
        <w:trPr>
          <w:trHeight w:val="240"/>
        </w:trPr>
        <w:tc>
          <w:tcPr>
            <w:tcW w:w="40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64"/>
        </w:trPr>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85,113</w:t>
            </w:r>
          </w:p>
        </w:tc>
        <w:tc>
          <w:tcPr>
            <w:tcW w:w="60" w:type="dxa"/>
            <w:vAlign w:val="bottom"/>
            <w:vMerge w:val="continue"/>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15855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spacing w:after="0" w:line="25" w:lineRule="exact"/>
        <w:rPr>
          <w:sz w:val="20"/>
          <w:szCs w:val="20"/>
          <w:color w:val="auto"/>
        </w:rPr>
      </w:pPr>
    </w:p>
    <w:p>
      <w:pPr>
        <w:sectPr>
          <w:pgSz w:w="11900" w:h="16840" w:orient="portrait"/>
          <w:cols w:equalWidth="0" w:num="2">
            <w:col w:w="5060" w:space="720"/>
            <w:col w:w="3620"/>
          </w:cols>
          <w:pgMar w:left="1060" w:top="555" w:right="1440" w:bottom="1440" w:gutter="0" w:footer="0" w:header="0"/>
          <w:type w:val="continuous"/>
        </w:sectPr>
      </w:pPr>
    </w:p>
    <w:p>
      <w:pPr>
        <w:ind w:right="1460"/>
        <w:spacing w:after="0" w:line="222" w:lineRule="auto"/>
        <w:rPr>
          <w:sz w:val="20"/>
          <w:szCs w:val="20"/>
          <w:color w:val="auto"/>
        </w:rPr>
      </w:pPr>
      <w:r>
        <w:rPr>
          <w:rFonts w:ascii="Times New Roman" w:cs="Times New Roman" w:eastAsia="Times New Roman" w:hAnsi="Times New Roman"/>
          <w:sz w:val="14"/>
          <w:szCs w:val="14"/>
          <w:color w:val="auto"/>
        </w:rPr>
        <w:t>(1)Inflows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-274955</wp:posOffset>
            </wp:positionV>
            <wp:extent cx="15855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85595" cy="7620"/>
                    </a:xfrm>
                    <a:prstGeom prst="rect">
                      <a:avLst/>
                    </a:prstGeom>
                    <a:noFill/>
                  </pic:spPr>
                </pic:pic>
              </a:graphicData>
            </a:graphic>
          </wp:anchor>
        </w:drawing>
      </w:r>
    </w:p>
    <w:p>
      <w:pPr>
        <w:ind w:right="1760"/>
        <w:spacing w:after="0" w:line="214" w:lineRule="auto"/>
        <w:rPr>
          <w:sz w:val="20"/>
          <w:szCs w:val="20"/>
          <w:color w:val="auto"/>
        </w:rPr>
      </w:pPr>
      <w:r>
        <w:rPr>
          <w:rFonts w:ascii="Times New Roman" w:cs="Times New Roman" w:eastAsia="Times New Roman" w:hAnsi="Times New Roman"/>
          <w:sz w:val="14"/>
          <w:szCs w:val="14"/>
          <w:color w:val="auto"/>
        </w:rPr>
        <w:t>(2)Outflows includes distributions in our carry funds, related co-investment vehicles and separately managed accounts, as well as the expiration of available capital.</w:t>
      </w:r>
    </w:p>
    <w:p>
      <w:pPr>
        <w:spacing w:after="0" w:line="1" w:lineRule="exact"/>
        <w:rPr>
          <w:sz w:val="20"/>
          <w:szCs w:val="20"/>
          <w:color w:val="auto"/>
        </w:rPr>
      </w:pPr>
    </w:p>
    <w:p>
      <w:pPr>
        <w:ind w:right="1460"/>
        <w:spacing w:after="0" w:line="214" w:lineRule="auto"/>
        <w:rPr>
          <w:sz w:val="20"/>
          <w:szCs w:val="20"/>
          <w:color w:val="auto"/>
        </w:rPr>
      </w:pPr>
      <w:r>
        <w:rPr>
          <w:rFonts w:ascii="Times New Roman" w:cs="Times New Roman" w:eastAsia="Times New Roman" w:hAnsi="Times New Roman"/>
          <w:sz w:val="14"/>
          <w:szCs w:val="14"/>
          <w:color w:val="auto"/>
        </w:rPr>
        <w:t>(3)Market Activity &amp; Other generally represents realized and unrealized gains (losses) on portfolio investments in our carry funds, related co-investment vehicles and separately managed accounts, the net impact of fees, expenses and non- investment income, as well as other changes in AUM.</w:t>
      </w:r>
    </w:p>
    <w:p>
      <w:pPr>
        <w:spacing w:after="0" w:line="1" w:lineRule="exact"/>
        <w:rPr>
          <w:sz w:val="20"/>
          <w:szCs w:val="20"/>
          <w:color w:val="auto"/>
        </w:rPr>
      </w:pPr>
    </w:p>
    <w:p>
      <w:pPr>
        <w:jc w:val="both"/>
        <w:ind w:right="1660"/>
        <w:spacing w:after="0" w:line="215" w:lineRule="auto"/>
        <w:rPr>
          <w:sz w:val="20"/>
          <w:szCs w:val="20"/>
          <w:color w:val="auto"/>
        </w:rPr>
      </w:pPr>
      <w:r>
        <w:rPr>
          <w:rFonts w:ascii="Times New Roman" w:cs="Times New Roman" w:eastAsia="Times New Roman" w:hAnsi="Times New Roman"/>
          <w:sz w:val="14"/>
          <w:szCs w:val="14"/>
          <w:color w:val="auto"/>
        </w:rPr>
        <w:t>(4)Foreign Exchange represents the impact of foreign exchange rate fluctuations on the translation of our non- U.S. dollar denominated funds. Activity during the period is translated at the average rate for the period. Ending balances are translated at the spot rate as of the period end.</w:t>
      </w:r>
    </w:p>
    <w:p>
      <w:pPr>
        <w:spacing w:after="0" w:line="204" w:lineRule="auto"/>
        <w:rPr>
          <w:sz w:val="20"/>
          <w:szCs w:val="20"/>
          <w:color w:val="auto"/>
        </w:rPr>
      </w:pPr>
      <w:r>
        <w:rPr>
          <w:rFonts w:ascii="Times New Roman" w:cs="Times New Roman" w:eastAsia="Times New Roman" w:hAnsi="Times New Roman"/>
          <w:sz w:val="16"/>
          <w:szCs w:val="16"/>
          <w:color w:val="auto"/>
        </w:rPr>
        <w:t>Total AUM was $85.1 billion as of December 31, 2024, an increase of 11% compared to $76.9 billion as of</w:t>
      </w:r>
    </w:p>
    <w:p>
      <w:pPr>
        <w:ind w:right="1440"/>
        <w:spacing w:after="0" w:line="203" w:lineRule="auto"/>
        <w:rPr>
          <w:sz w:val="20"/>
          <w:szCs w:val="20"/>
          <w:color w:val="auto"/>
        </w:rPr>
      </w:pPr>
      <w:r>
        <w:rPr>
          <w:rFonts w:ascii="Times New Roman" w:cs="Times New Roman" w:eastAsia="Times New Roman" w:hAnsi="Times New Roman"/>
          <w:sz w:val="16"/>
          <w:szCs w:val="16"/>
          <w:color w:val="auto"/>
        </w:rPr>
        <w:t>December 31, 2023, as inflows and market appreciation exceeded outflows and the negative impact of foreign exchange for the period. Inflows of $10.8 billion were driven by commitments raised across the platform, notably in ASF VIII and ACF IX, with market appreciation of $ 6.6 billion reflecting performance across the segment. Outflows of $ 7.1 billion were driven by realizations and the expiration of dry powder, predominantly in our primary and secondaries &amp; portfolio finance funds. Negative foreign exchange activity of $2.0 billion reflected the impact of a strengthening U.S. Dollar on the translation of our EUR-denominated funds to USD.</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Fund Performance Metrics</w:t>
      </w:r>
    </w:p>
    <w:p>
      <w:pPr>
        <w:spacing w:after="0" w:line="204" w:lineRule="auto"/>
        <w:rPr>
          <w:sz w:val="20"/>
          <w:szCs w:val="20"/>
          <w:color w:val="auto"/>
        </w:rPr>
      </w:pPr>
      <w:r>
        <w:rPr>
          <w:rFonts w:ascii="Times New Roman" w:cs="Times New Roman" w:eastAsia="Times New Roman" w:hAnsi="Times New Roman"/>
          <w:sz w:val="16"/>
          <w:szCs w:val="16"/>
          <w:color w:val="auto"/>
        </w:rPr>
        <w:t>The fund return information reflected in this discussion and analysis is not indicative of the performance of The</w:t>
      </w:r>
    </w:p>
    <w:p>
      <w:pPr>
        <w:ind w:right="1440"/>
        <w:spacing w:after="0" w:line="209" w:lineRule="auto"/>
        <w:rPr>
          <w:sz w:val="20"/>
          <w:szCs w:val="20"/>
          <w:color w:val="auto"/>
        </w:rPr>
      </w:pPr>
      <w:r>
        <w:rPr>
          <w:rFonts w:ascii="Times New Roman" w:cs="Times New Roman" w:eastAsia="Times New Roman" w:hAnsi="Times New Roman"/>
          <w:sz w:val="16"/>
          <w:szCs w:val="16"/>
          <w:color w:val="auto"/>
        </w:rPr>
        <w:t>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 See Part I, Item 1A “Risk Factors—Risks Related to Our Business Operations—Risks Related to the Assets We Manage—The historical returns attributable to our funds, including those presented in this Annual Report on Form 10 - K, should not be considered as indicative of the future results of our funds or of our future results or of any returns expected on an investment in our common stock.”</w:t>
      </w:r>
    </w:p>
    <w:p>
      <w:pPr>
        <w:sectPr>
          <w:pgSz w:w="11900" w:h="16840" w:orient="portrait"/>
          <w:cols w:equalWidth="0" w:num="1">
            <w:col w:w="9400"/>
          </w:cols>
          <w:pgMar w:left="1060" w:top="555" w:right="1440" w:bottom="144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00"/>
        <w:spacing w:after="0" w:line="211" w:lineRule="auto"/>
        <w:rPr>
          <w:sz w:val="20"/>
          <w:szCs w:val="20"/>
          <w:color w:val="auto"/>
        </w:rPr>
      </w:pPr>
      <w:r>
        <w:rPr>
          <w:rFonts w:ascii="Times New Roman" w:cs="Times New Roman" w:eastAsia="Times New Roman" w:hAnsi="Times New Roman"/>
          <w:sz w:val="16"/>
          <w:szCs w:val="16"/>
          <w:color w:val="auto"/>
        </w:rPr>
        <w:t>The following tables reflect the performance of our significant funds in our Global Investment Solutions business. We also present fund performance information for portfolios of investments held by separately managed accounts, generally aggregated either as invested alongside the relevant commingled fund or over a specified time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(Amounts in millions)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Global Investment Solutions (1)(8)</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Vintage</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Fund Size</w:t>
            </w:r>
          </w:p>
        </w:tc>
        <w:tc>
          <w:tcPr>
            <w:tcW w:w="60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70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Cumulative</w:t>
            </w:r>
          </w:p>
        </w:tc>
        <w:tc>
          <w:tcPr>
            <w:tcW w:w="62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60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640" w:type="dxa"/>
            <w:vAlign w:val="bottom"/>
            <w:gridSpan w:val="2"/>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Total Fair</w:t>
            </w:r>
          </w:p>
        </w:tc>
        <w:tc>
          <w:tcPr>
            <w:tcW w:w="46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MOIC</w:t>
            </w:r>
          </w:p>
        </w:tc>
        <w:tc>
          <w:tcPr>
            <w:tcW w:w="480" w:type="dxa"/>
            <w:vAlign w:val="bottom"/>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Gross</w:t>
            </w:r>
          </w:p>
        </w:tc>
        <w:tc>
          <w:tcPr>
            <w:tcW w:w="460" w:type="dxa"/>
            <w:vAlign w:val="bottom"/>
          </w:tcPr>
          <w:p>
            <w:pPr>
              <w:ind w:left="100"/>
              <w:spacing w:after="0" w:line="100" w:lineRule="exact"/>
              <w:rPr>
                <w:sz w:val="20"/>
                <w:szCs w:val="20"/>
                <w:color w:val="auto"/>
              </w:rPr>
            </w:pPr>
            <w:r>
              <w:rPr>
                <w:rFonts w:ascii="Times New Roman" w:cs="Times New Roman" w:eastAsia="Times New Roman" w:hAnsi="Times New Roman"/>
                <w:sz w:val="11"/>
                <w:szCs w:val="11"/>
                <w:b w:val="1"/>
                <w:bCs w:val="1"/>
                <w:color w:val="auto"/>
              </w:rPr>
              <w:t>Net</w:t>
            </w:r>
          </w:p>
        </w:tc>
        <w:tc>
          <w:tcPr>
            <w:tcW w:w="740" w:type="dxa"/>
            <w:vAlign w:val="bottom"/>
            <w:gridSpan w:val="2"/>
          </w:tcPr>
          <w:p>
            <w:pPr>
              <w:ind w:left="40"/>
              <w:spacing w:after="0" w:line="100" w:lineRule="exact"/>
              <w:rPr>
                <w:sz w:val="20"/>
                <w:szCs w:val="20"/>
                <w:color w:val="auto"/>
              </w:rPr>
            </w:pPr>
            <w:r>
              <w:rPr>
                <w:rFonts w:ascii="Times New Roman" w:cs="Times New Roman" w:eastAsia="Times New Roman" w:hAnsi="Times New Roman"/>
                <w:sz w:val="11"/>
                <w:szCs w:val="11"/>
                <w:b w:val="1"/>
                <w:bCs w:val="1"/>
                <w:color w:val="auto"/>
              </w:rPr>
              <w:t>Net Accrued</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20" w:type="dxa"/>
            <w:vAlign w:val="bottom"/>
          </w:tcPr>
          <w:p>
            <w:pP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Year</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Invested</w:t>
            </w:r>
          </w:p>
        </w:tc>
        <w:tc>
          <w:tcPr>
            <w:tcW w:w="62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Value (3)</w:t>
            </w:r>
          </w:p>
        </w:tc>
        <w:tc>
          <w:tcPr>
            <w:tcW w:w="60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64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Value</w:t>
            </w:r>
          </w:p>
        </w:tc>
        <w:tc>
          <w:tcPr>
            <w:tcW w:w="460" w:type="dxa"/>
            <w:vAlign w:val="bottom"/>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(5)</w:t>
            </w:r>
          </w:p>
        </w:tc>
        <w:tc>
          <w:tcPr>
            <w:tcW w:w="480" w:type="dxa"/>
            <w:vAlign w:val="bottom"/>
          </w:tcPr>
          <w:p>
            <w:pP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IRR</w:t>
            </w:r>
          </w:p>
        </w:tc>
        <w:tc>
          <w:tcPr>
            <w:tcW w:w="46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b w:val="1"/>
                <w:bCs w:val="1"/>
                <w:color w:val="auto"/>
              </w:rPr>
              <w:t>IRR</w:t>
            </w:r>
          </w:p>
        </w:tc>
        <w:tc>
          <w:tcPr>
            <w:tcW w:w="420" w:type="dxa"/>
            <w:vAlign w:val="bottom"/>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Carry/</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(3)</w:t>
            </w:r>
          </w:p>
        </w:tc>
        <w:tc>
          <w:tcPr>
            <w:tcW w:w="400" w:type="dxa"/>
            <w:vAlign w:val="bottom"/>
          </w:tcPr>
          <w:p>
            <w:pPr>
              <w:spacing w:after="0"/>
              <w:rPr>
                <w:sz w:val="8"/>
                <w:szCs w:val="8"/>
                <w:color w:val="auto"/>
              </w:rPr>
            </w:pPr>
          </w:p>
        </w:tc>
        <w:tc>
          <w:tcPr>
            <w:tcW w:w="64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(3)(4)</w:t>
            </w:r>
          </w:p>
        </w:tc>
        <w:tc>
          <w:tcPr>
            <w:tcW w:w="460" w:type="dxa"/>
            <w:vAlign w:val="bottom"/>
          </w:tcPr>
          <w:p>
            <w:pPr>
              <w:spacing w:after="0"/>
              <w:rPr>
                <w:sz w:val="8"/>
                <w:szCs w:val="8"/>
                <w:color w:val="auto"/>
              </w:rPr>
            </w:pPr>
          </w:p>
        </w:tc>
        <w:tc>
          <w:tcPr>
            <w:tcW w:w="480" w:type="dxa"/>
            <w:vAlign w:val="bottom"/>
          </w:tcPr>
          <w:p>
            <w:pP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(6)(10)</w:t>
            </w:r>
          </w:p>
        </w:tc>
        <w:tc>
          <w:tcPr>
            <w:tcW w:w="46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b w:val="1"/>
                <w:bCs w:val="1"/>
                <w:color w:val="auto"/>
              </w:rPr>
              <w:t>(7)(10)</w:t>
            </w:r>
          </w:p>
        </w:tc>
        <w:tc>
          <w:tcPr>
            <w:tcW w:w="740" w:type="dxa"/>
            <w:vAlign w:val="bottom"/>
            <w:gridSpan w:val="2"/>
          </w:tcPr>
          <w:p>
            <w:pPr>
              <w:ind w:left="40"/>
              <w:spacing w:after="0" w:line="96" w:lineRule="exact"/>
              <w:rPr>
                <w:sz w:val="20"/>
                <w:szCs w:val="20"/>
                <w:color w:val="auto"/>
              </w:rPr>
            </w:pPr>
            <w:r>
              <w:rPr>
                <w:rFonts w:ascii="Times New Roman" w:cs="Times New Roman" w:eastAsia="Times New Roman" w:hAnsi="Times New Roman"/>
                <w:sz w:val="11"/>
                <w:szCs w:val="11"/>
                <w:b w:val="1"/>
                <w:bCs w:val="1"/>
                <w:color w:val="auto"/>
              </w:rPr>
              <w:t>(Giveback)</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(2)(3)</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7"/>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w w:val="99"/>
              </w:rPr>
              <w:t>(Reported in Local Currency, in Millions)</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920" w:type="dxa"/>
            <w:vAlign w:val="bottom"/>
            <w:shd w:val="clear" w:color="auto" w:fill="08335E"/>
          </w:tcPr>
          <w:p>
            <w:pPr>
              <w:spacing w:after="0" w:line="108" w:lineRule="exact"/>
              <w:rPr>
                <w:sz w:val="20"/>
                <w:szCs w:val="20"/>
                <w:color w:val="auto"/>
              </w:rPr>
            </w:pPr>
            <w:r>
              <w:rPr>
                <w:rFonts w:ascii="Times New Roman" w:cs="Times New Roman" w:eastAsia="Times New Roman" w:hAnsi="Times New Roman"/>
                <w:sz w:val="11"/>
                <w:szCs w:val="11"/>
                <w:b w:val="1"/>
                <w:bCs w:val="1"/>
                <w:color w:val="FFFFFF"/>
              </w:rPr>
              <w:t>Secondaries &amp;</w:t>
            </w:r>
          </w:p>
        </w:tc>
        <w:tc>
          <w:tcPr>
            <w:tcW w:w="17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ASF VIII</w:t>
            </w:r>
          </w:p>
        </w:tc>
        <w:tc>
          <w:tcPr>
            <w:tcW w:w="5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2024</w:t>
            </w:r>
          </w:p>
        </w:tc>
        <w:tc>
          <w:tcPr>
            <w:tcW w:w="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9,359</w:t>
            </w:r>
          </w:p>
        </w:tc>
        <w:tc>
          <w:tcPr>
            <w:tcW w:w="1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3,472</w:t>
            </w:r>
          </w:p>
        </w:tc>
        <w:tc>
          <w:tcPr>
            <w:tcW w:w="14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47</w:t>
            </w:r>
          </w:p>
        </w:tc>
        <w:tc>
          <w:tcPr>
            <w:tcW w:w="2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4,323</w:t>
            </w:r>
          </w:p>
        </w:tc>
        <w:tc>
          <w:tcPr>
            <w:tcW w:w="1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4,369</w:t>
            </w:r>
          </w:p>
        </w:tc>
        <w:tc>
          <w:tcPr>
            <w:tcW w:w="4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1.3x</w:t>
            </w:r>
          </w:p>
        </w:tc>
        <w:tc>
          <w:tcPr>
            <w:tcW w:w="48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NM</w:t>
            </w:r>
          </w:p>
        </w:tc>
        <w:tc>
          <w:tcPr>
            <w:tcW w:w="4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NM</w:t>
            </w:r>
          </w:p>
        </w:tc>
        <w:tc>
          <w:tcPr>
            <w:tcW w:w="42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72"/>
        </w:trPr>
        <w:tc>
          <w:tcPr>
            <w:tcW w:w="920" w:type="dxa"/>
            <w:vAlign w:val="bottom"/>
            <w:vMerge w:val="restart"/>
            <w:shd w:val="clear" w:color="auto" w:fill="08335E"/>
          </w:tcPr>
          <w:p>
            <w:pPr>
              <w:spacing w:after="0" w:line="108" w:lineRule="exact"/>
              <w:rPr>
                <w:sz w:val="20"/>
                <w:szCs w:val="20"/>
                <w:color w:val="auto"/>
              </w:rPr>
            </w:pPr>
            <w:r>
              <w:rPr>
                <w:rFonts w:ascii="Times New Roman" w:cs="Times New Roman" w:eastAsia="Times New Roman" w:hAnsi="Times New Roman"/>
                <w:sz w:val="11"/>
                <w:szCs w:val="11"/>
                <w:b w:val="1"/>
                <w:bCs w:val="1"/>
                <w:color w:val="FFFFFF"/>
              </w:rPr>
              <w:t>Portfolio</w:t>
            </w:r>
          </w:p>
        </w:tc>
        <w:tc>
          <w:tcPr>
            <w:tcW w:w="17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920" w:type="dxa"/>
            <w:vAlign w:val="bottom"/>
            <w:vMerge w:val="continue"/>
            <w:shd w:val="clear" w:color="auto" w:fill="08335E"/>
          </w:tcPr>
          <w:p>
            <w:pPr>
              <w:spacing w:after="0"/>
              <w:rPr>
                <w:sz w:val="3"/>
                <w:szCs w:val="3"/>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ASF VII</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2020</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6,769</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4,583</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1,473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5,594</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7,067</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1.5x</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20%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15%</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line="20" w:lineRule="exact"/>
              <w:rPr>
                <w:sz w:val="1"/>
                <w:szCs w:val="1"/>
                <w:color w:val="auto"/>
              </w:rPr>
            </w:pPr>
          </w:p>
        </w:tc>
      </w:tr>
      <w:tr>
        <w:trPr>
          <w:trHeight w:val="143"/>
        </w:trPr>
        <w:tc>
          <w:tcPr>
            <w:tcW w:w="920" w:type="dxa"/>
            <w:vAlign w:val="bottom"/>
            <w:shd w:val="clear" w:color="auto" w:fill="08335E"/>
          </w:tcPr>
          <w:p>
            <w:pPr>
              <w:spacing w:after="0"/>
              <w:rPr>
                <w:sz w:val="20"/>
                <w:szCs w:val="20"/>
                <w:color w:val="auto"/>
              </w:rPr>
            </w:pPr>
            <w:r>
              <w:rPr>
                <w:rFonts w:ascii="Times New Roman" w:cs="Times New Roman" w:eastAsia="Times New Roman" w:hAnsi="Times New Roman"/>
                <w:sz w:val="11"/>
                <w:szCs w:val="11"/>
                <w:b w:val="1"/>
                <w:bCs w:val="1"/>
                <w:color w:val="FFFFFF"/>
              </w:rPr>
              <w:t>Finance</w:t>
            </w:r>
          </w:p>
        </w:tc>
        <w:tc>
          <w:tcPr>
            <w:tcW w:w="17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08335E"/>
            </w:tcBorders>
            <w:shd w:val="clear" w:color="auto" w:fill="08335E"/>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ASF VII - SMAs</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2,016</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1,806</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483</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2,157</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2,641</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1.5x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19%</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16%</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40"/>
        </w:trPr>
        <w:tc>
          <w:tcPr>
            <w:tcW w:w="920" w:type="dxa"/>
            <w:vAlign w:val="bottom"/>
            <w:shd w:val="clear" w:color="auto" w:fill="08335E"/>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ASF VI</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2017</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3,333</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2,711</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2,590</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1,930</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4,520</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16%</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w:t>
            </w:r>
          </w:p>
        </w:tc>
        <w:tc>
          <w:tcPr>
            <w:tcW w:w="0" w:type="dxa"/>
            <w:vAlign w:val="bottom"/>
          </w:tcPr>
          <w:p>
            <w:pPr>
              <w:spacing w:after="0"/>
              <w:rPr>
                <w:sz w:val="1"/>
                <w:szCs w:val="1"/>
                <w:color w:val="auto"/>
              </w:rPr>
            </w:pPr>
          </w:p>
        </w:tc>
      </w:tr>
      <w:tr>
        <w:trPr>
          <w:trHeight w:val="40"/>
        </w:trPr>
        <w:tc>
          <w:tcPr>
            <w:tcW w:w="920" w:type="dxa"/>
            <w:vAlign w:val="bottom"/>
            <w:shd w:val="clear" w:color="auto" w:fill="08335E"/>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08335E"/>
            </w:tcBorders>
            <w:shd w:val="clear" w:color="auto" w:fill="08335E"/>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ASF VI - SMAs</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2017</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2,817</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2,863</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2,479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2,130</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4,610</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0"/>
        </w:trPr>
        <w:tc>
          <w:tcPr>
            <w:tcW w:w="920" w:type="dxa"/>
            <w:vAlign w:val="bottom"/>
            <w:shd w:val="clear" w:color="auto" w:fill="08335E"/>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ASF V</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2012</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756</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652</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1,043</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127</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1,170</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1.8x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14%</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40"/>
        </w:trPr>
        <w:tc>
          <w:tcPr>
            <w:tcW w:w="920" w:type="dxa"/>
            <w:vAlign w:val="bottom"/>
            <w:shd w:val="clear" w:color="auto" w:fill="08335E"/>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08335E"/>
            </w:tcBorders>
            <w:shd w:val="clear" w:color="auto" w:fill="08335E"/>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ASF V - SMAs</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2012</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3,916</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4,278</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7,417</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563</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7,980</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1.9x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21%</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20%</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0"/>
        </w:trPr>
        <w:tc>
          <w:tcPr>
            <w:tcW w:w="920" w:type="dxa"/>
            <w:vAlign w:val="bottom"/>
            <w:shd w:val="clear" w:color="auto" w:fill="08335E"/>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SMAs 2009-2011</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2010</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1,859</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2,080</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3,566</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3,630</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19%</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0"/>
        </w:trPr>
        <w:tc>
          <w:tcPr>
            <w:tcW w:w="920" w:type="dxa"/>
            <w:vAlign w:val="bottom"/>
            <w:shd w:val="clear" w:color="auto" w:fill="08335E"/>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08335E"/>
            </w:tcBorders>
            <w:shd w:val="clear" w:color="auto" w:fill="08335E"/>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ASPF II</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2023</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1,467</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393</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415</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489</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1.2x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0"/>
        </w:trPr>
        <w:tc>
          <w:tcPr>
            <w:tcW w:w="920" w:type="dxa"/>
            <w:vAlign w:val="bottom"/>
            <w:shd w:val="clear" w:color="auto" w:fill="08335E"/>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All Other Active Funds &amp; Vehicles (9)</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1,305</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612</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1,221</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1,833</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1.4x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21%</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40"/>
        </w:trPr>
        <w:tc>
          <w:tcPr>
            <w:tcW w:w="920" w:type="dxa"/>
            <w:vAlign w:val="bottom"/>
            <w:shd w:val="clear" w:color="auto" w:fill="08335E"/>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08335E"/>
            </w:tcBorders>
            <w:shd w:val="clear" w:color="auto" w:fill="08335E"/>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Fully Realized Funds &amp; Vehicles</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4,442</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7,298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7,315</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19%</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18%</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920" w:type="dxa"/>
            <w:vAlign w:val="bottom"/>
            <w:shd w:val="clear" w:color="auto" w:fill="EAEAEA"/>
          </w:tcPr>
          <w:p>
            <w:pPr>
              <w:spacing w:after="0"/>
              <w:rPr>
                <w:sz w:val="20"/>
                <w:szCs w:val="20"/>
                <w:color w:val="auto"/>
              </w:rPr>
            </w:pPr>
            <w:r>
              <w:rPr>
                <w:rFonts w:ascii="Times New Roman" w:cs="Times New Roman" w:eastAsia="Times New Roman" w:hAnsi="Times New Roman"/>
                <w:sz w:val="11"/>
                <w:szCs w:val="11"/>
                <w:b w:val="1"/>
                <w:bCs w:val="1"/>
                <w:color w:val="auto"/>
              </w:rPr>
              <w:t>Co-Investments</w:t>
            </w: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ACF IX</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2023</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3,494</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962</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1,048</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1,049</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1.1x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8"/>
        </w:trPr>
        <w:tc>
          <w:tcPr>
            <w:tcW w:w="920" w:type="dxa"/>
            <w:vAlign w:val="bottom"/>
            <w:shd w:val="clear" w:color="auto" w:fill="EAEAEA"/>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ACF VIII</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2021</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3,614</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3,278</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128</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4,070</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4,199</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1.3x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11%</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40"/>
        </w:trPr>
        <w:tc>
          <w:tcPr>
            <w:tcW w:w="920" w:type="dxa"/>
            <w:vAlign w:val="bottom"/>
            <w:shd w:val="clear" w:color="auto" w:fill="EAEAEA"/>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ACF VIII - SMAs</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2021</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1,069</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914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1,138</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1,182</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1.3x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40"/>
        </w:trPr>
        <w:tc>
          <w:tcPr>
            <w:tcW w:w="920" w:type="dxa"/>
            <w:vAlign w:val="bottom"/>
            <w:shd w:val="clear" w:color="auto" w:fill="EAEAEA"/>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ACF VII</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2017</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1,688</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1,605</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964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2,192</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3,156</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2.0x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16%</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40"/>
        </w:trPr>
        <w:tc>
          <w:tcPr>
            <w:tcW w:w="920" w:type="dxa"/>
            <w:vAlign w:val="bottom"/>
            <w:shd w:val="clear" w:color="auto" w:fill="EAEAEA"/>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ACF VII - SMAs</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2017</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1,452</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724</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2,013</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2,737</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1.8x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15%</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40"/>
        </w:trPr>
        <w:tc>
          <w:tcPr>
            <w:tcW w:w="920" w:type="dxa"/>
            <w:vAlign w:val="bottom"/>
            <w:shd w:val="clear" w:color="auto" w:fill="EAEAEA"/>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SMAs 2014-2016</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2014</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1,274</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1,151</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2,374</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626</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3,000</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2.6x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24%</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23%</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0"/>
        </w:trPr>
        <w:tc>
          <w:tcPr>
            <w:tcW w:w="920" w:type="dxa"/>
            <w:vAlign w:val="bottom"/>
            <w:shd w:val="clear" w:color="auto" w:fill="EAEAEA"/>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SMAs 2012-2013</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2012</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1,124</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1,102</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2,975</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151</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3,127</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2.8x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27%</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26%</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40"/>
        </w:trPr>
        <w:tc>
          <w:tcPr>
            <w:tcW w:w="920" w:type="dxa"/>
            <w:vAlign w:val="bottom"/>
            <w:shd w:val="clear" w:color="auto" w:fill="EAEAEA"/>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SMAs 2009-2010</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2010</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1,475</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1,439</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3,719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611</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4,330</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3.0x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23%</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22%</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920" w:type="dxa"/>
            <w:vAlign w:val="bottom"/>
            <w:shd w:val="clear" w:color="auto" w:fill="EAEAEA"/>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Strategic SMAs</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3,979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1,366</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5,349</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6,715</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16%</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40"/>
        </w:trPr>
        <w:tc>
          <w:tcPr>
            <w:tcW w:w="920" w:type="dxa"/>
            <w:vAlign w:val="bottom"/>
            <w:shd w:val="clear" w:color="auto" w:fill="EAEAEA"/>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All Other Active Funds &amp; Vehicles (9)</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558</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651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176</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1.5x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15%</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14%</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0"/>
        </w:trPr>
        <w:tc>
          <w:tcPr>
            <w:tcW w:w="920" w:type="dxa"/>
            <w:vAlign w:val="bottom"/>
            <w:tcBorders>
              <w:bottom w:val="single" w:sz="8" w:color="EAEAEA"/>
            </w:tcBorders>
            <w:shd w:val="clear" w:color="auto" w:fill="EAEAEA"/>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Fully Realized Funds &amp; Vehicles</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6,000</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10,281</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10,282</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920" w:type="dxa"/>
            <w:vAlign w:val="bottom"/>
            <w:shd w:val="clear" w:color="auto" w:fill="61A1E0"/>
          </w:tcPr>
          <w:p>
            <w:pPr>
              <w:spacing w:after="0" w:line="108" w:lineRule="exact"/>
              <w:rPr>
                <w:sz w:val="20"/>
                <w:szCs w:val="20"/>
                <w:color w:val="auto"/>
              </w:rPr>
            </w:pPr>
            <w:r>
              <w:rPr>
                <w:rFonts w:ascii="Times New Roman" w:cs="Times New Roman" w:eastAsia="Times New Roman" w:hAnsi="Times New Roman"/>
                <w:sz w:val="11"/>
                <w:szCs w:val="11"/>
                <w:b w:val="1"/>
                <w:bCs w:val="1"/>
                <w:color w:val="FFFFFF"/>
              </w:rPr>
              <w:t>Primary</w:t>
            </w:r>
          </w:p>
        </w:tc>
        <w:tc>
          <w:tcPr>
            <w:tcW w:w="17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SMAs 2024-2026</w:t>
            </w:r>
          </w:p>
        </w:tc>
        <w:tc>
          <w:tcPr>
            <w:tcW w:w="5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2024</w:t>
            </w:r>
          </w:p>
        </w:tc>
        <w:tc>
          <w:tcPr>
            <w:tcW w:w="20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2,125</w:t>
            </w:r>
          </w:p>
        </w:tc>
        <w:tc>
          <w:tcPr>
            <w:tcW w:w="1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45</w:t>
            </w:r>
          </w:p>
        </w:tc>
        <w:tc>
          <w:tcPr>
            <w:tcW w:w="14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1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40</w:t>
            </w:r>
          </w:p>
        </w:tc>
        <w:tc>
          <w:tcPr>
            <w:tcW w:w="4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color w:val="auto"/>
              </w:rPr>
              <w:t>0.9x</w:t>
            </w:r>
          </w:p>
        </w:tc>
        <w:tc>
          <w:tcPr>
            <w:tcW w:w="48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NM</w:t>
            </w:r>
          </w:p>
        </w:tc>
        <w:tc>
          <w:tcPr>
            <w:tcW w:w="46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1"/>
                <w:szCs w:val="11"/>
                <w:color w:val="auto"/>
              </w:rPr>
              <w:t>NM</w:t>
            </w:r>
          </w:p>
        </w:tc>
        <w:tc>
          <w:tcPr>
            <w:tcW w:w="42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920" w:type="dxa"/>
            <w:vAlign w:val="bottom"/>
            <w:vMerge w:val="restart"/>
            <w:shd w:val="clear" w:color="auto" w:fill="61A1E0"/>
          </w:tcPr>
          <w:p>
            <w:pPr>
              <w:spacing w:after="0"/>
              <w:rPr>
                <w:sz w:val="20"/>
                <w:szCs w:val="20"/>
                <w:color w:val="auto"/>
              </w:rPr>
            </w:pPr>
            <w:r>
              <w:rPr>
                <w:rFonts w:ascii="Times New Roman" w:cs="Times New Roman" w:eastAsia="Times New Roman" w:hAnsi="Times New Roman"/>
                <w:sz w:val="11"/>
                <w:szCs w:val="11"/>
                <w:b w:val="1"/>
                <w:bCs w:val="1"/>
                <w:color w:val="FFFFFF"/>
              </w:rPr>
              <w:t>Investments</w:t>
            </w:r>
          </w:p>
        </w:tc>
        <w:tc>
          <w:tcPr>
            <w:tcW w:w="17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920" w:type="dxa"/>
            <w:vAlign w:val="bottom"/>
            <w:vMerge w:val="continue"/>
            <w:shd w:val="clear" w:color="auto" w:fill="61A1E0"/>
          </w:tcPr>
          <w:p>
            <w:pPr>
              <w:spacing w:after="0"/>
              <w:rPr>
                <w:sz w:val="6"/>
                <w:szCs w:val="6"/>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SMAs 2021-2023</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2021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4,505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1,310</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48</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1,418</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1,466</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1.1x</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NM</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NM</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0"/>
        </w:trPr>
        <w:tc>
          <w:tcPr>
            <w:tcW w:w="920" w:type="dxa"/>
            <w:vAlign w:val="bottom"/>
            <w:shd w:val="clear" w:color="auto" w:fill="61A1E0"/>
          </w:tcPr>
          <w:p>
            <w:pPr>
              <w:spacing w:after="0"/>
              <w:rPr>
                <w:sz w:val="6"/>
                <w:szCs w:val="6"/>
                <w:color w:val="auto"/>
              </w:rPr>
            </w:pPr>
          </w:p>
        </w:tc>
        <w:tc>
          <w:tcPr>
            <w:tcW w:w="1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920" w:type="dxa"/>
            <w:vAlign w:val="bottom"/>
            <w:shd w:val="clear" w:color="auto" w:fill="61A1E0"/>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61A1E0"/>
            </w:tcBorders>
            <w:shd w:val="clear" w:color="auto" w:fill="61A1E0"/>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SMAs 2018-2020</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2018</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3,116</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2,309</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472</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2,775</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3,247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1.4x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13%</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920" w:type="dxa"/>
            <w:vAlign w:val="bottom"/>
            <w:shd w:val="clear" w:color="auto" w:fill="61A1E0"/>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SMAs 2015-2017</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2015</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2,501</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2,614</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2,567</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2,572</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5,138</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2.0x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19%</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40"/>
        </w:trPr>
        <w:tc>
          <w:tcPr>
            <w:tcW w:w="920" w:type="dxa"/>
            <w:vAlign w:val="bottom"/>
            <w:shd w:val="clear" w:color="auto" w:fill="61A1E0"/>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61A1E0"/>
            </w:tcBorders>
            <w:shd w:val="clear" w:color="auto" w:fill="61A1E0"/>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SMAs 2012-2014</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2012</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5,080</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6,240</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9,875</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3,839</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13,714</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2.2x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18%</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17%</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40"/>
        </w:trPr>
        <w:tc>
          <w:tcPr>
            <w:tcW w:w="920" w:type="dxa"/>
            <w:vAlign w:val="bottom"/>
            <w:shd w:val="clear" w:color="auto" w:fill="61A1E0"/>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SMAs 2009-2011</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2009</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4,877</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5,959</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11,068</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1,923</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12,991</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2.2x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17%</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17%</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40"/>
        </w:trPr>
        <w:tc>
          <w:tcPr>
            <w:tcW w:w="920" w:type="dxa"/>
            <w:vAlign w:val="bottom"/>
            <w:shd w:val="clear" w:color="auto" w:fill="61A1E0"/>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61A1E0"/>
            </w:tcBorders>
            <w:shd w:val="clear" w:color="auto" w:fill="61A1E0"/>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SMAs 2006-2008</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2005</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11,500</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14,043</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23,136</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1,323</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24,459</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1.7x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10%</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920" w:type="dxa"/>
            <w:vAlign w:val="bottom"/>
            <w:shd w:val="clear" w:color="auto" w:fill="61A1E0"/>
          </w:tcPr>
          <w:p>
            <w:pPr>
              <w:spacing w:after="0"/>
              <w:rPr>
                <w:sz w:val="12"/>
                <w:szCs w:val="1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SMAs 2003-2005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2003</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4,628</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5,286</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8,389</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157</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8,546</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0"/>
        </w:trPr>
        <w:tc>
          <w:tcPr>
            <w:tcW w:w="920" w:type="dxa"/>
            <w:vAlign w:val="bottom"/>
            <w:shd w:val="clear" w:color="auto" w:fill="61A1E0"/>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61A1E0"/>
            </w:tcBorders>
            <w:shd w:val="clear" w:color="auto" w:fill="61A1E0"/>
          </w:tcPr>
          <w:p>
            <w:pPr>
              <w:spacing w:after="0"/>
              <w:rPr>
                <w:sz w:val="13"/>
                <w:szCs w:val="13"/>
                <w:color w:val="auto"/>
              </w:rPr>
            </w:pPr>
          </w:p>
        </w:tc>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All Other Active Funds &amp; Vehicles (9)</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1,932</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1,896</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284</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2,181</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1.1x</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920" w:type="dxa"/>
            <w:vAlign w:val="bottom"/>
            <w:tcBorders>
              <w:bottom w:val="single" w:sz="8" w:color="61A1E0"/>
            </w:tcBorders>
            <w:shd w:val="clear" w:color="auto" w:fill="61A1E0"/>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Fully Realized Funds &amp; Vehicles</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Various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5,173</w:t>
            </w: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8,423</w:t>
            </w:r>
          </w:p>
        </w:tc>
        <w:tc>
          <w:tcPr>
            <w:tcW w:w="2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8,458</w:t>
            </w:r>
          </w:p>
        </w:tc>
        <w:tc>
          <w:tcPr>
            <w:tcW w:w="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1.6x</w:t>
            </w:r>
          </w:p>
        </w:tc>
        <w:tc>
          <w:tcPr>
            <w:tcW w:w="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12%</w:t>
            </w:r>
          </w:p>
        </w:tc>
        <w:tc>
          <w:tcPr>
            <w:tcW w:w="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11%</w:t>
            </w:r>
          </w:p>
        </w:tc>
        <w:tc>
          <w:tcPr>
            <w:tcW w:w="4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GLOBAL</w:t>
            </w: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SOLUTIONS (USD) (11)</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98,404</w:t>
            </w:r>
          </w:p>
        </w:tc>
        <w:tc>
          <w:tcPr>
            <w:tcW w:w="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119,930</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50,983</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170,914</w:t>
            </w:r>
          </w:p>
        </w:tc>
        <w:tc>
          <w:tcPr>
            <w:tcW w:w="4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1.7x</w:t>
            </w:r>
          </w:p>
        </w:tc>
        <w:tc>
          <w:tcPr>
            <w:tcW w:w="4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14%</w:t>
            </w:r>
          </w:p>
        </w:tc>
        <w:tc>
          <w:tcPr>
            <w:tcW w:w="4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13%</w:t>
            </w: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541</w:t>
            </w:r>
          </w:p>
        </w:tc>
        <w:tc>
          <w:tcPr>
            <w:tcW w:w="0" w:type="dxa"/>
            <w:vAlign w:val="bottom"/>
          </w:tcPr>
          <w:p>
            <w:pPr>
              <w:spacing w:after="0"/>
              <w:rPr>
                <w:sz w:val="1"/>
                <w:szCs w:val="1"/>
                <w:color w:val="auto"/>
              </w:rPr>
            </w:pPr>
          </w:p>
        </w:tc>
      </w:tr>
    </w:tbl>
    <w:p>
      <w:pPr>
        <w:ind w:right="2060"/>
        <w:spacing w:after="0" w:line="207" w:lineRule="auto"/>
        <w:rPr>
          <w:sz w:val="20"/>
          <w:szCs w:val="20"/>
          <w:color w:val="auto"/>
        </w:rPr>
      </w:pPr>
      <w:r>
        <w:rPr>
          <w:rFonts w:ascii="Times New Roman" w:cs="Times New Roman" w:eastAsia="Times New Roman" w:hAnsi="Times New Roman"/>
          <w:sz w:val="16"/>
          <w:szCs w:val="16"/>
          <w:color w:val="auto"/>
        </w:rPr>
        <w:t>(1)Includes private equity and mezzanine primary fund investments, secondary fund investments and co-investments originated by AlpInvest. Excluded from the performance information shown are: (a) investments that were not originated by AlpInvest (i.e., AlpInvest did not make the original investment decision or recommendation); (b) Direct Investments, which was spun off from AlpInvest in 2005; (c) Carlyle AlpInvest Private Markets (CAPM); and (d) LP co-investment vehicles managed by AlpInvest. As of December 31, 2024, these excluded portfolios amounted to approximately $8.7 billion of AUM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-596265</wp:posOffset>
            </wp:positionV>
            <wp:extent cx="292671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926715" cy="762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6"/>
          <w:szCs w:val="16"/>
          <w:color w:val="auto"/>
        </w:rPr>
        <w:t>(2)Represents the original cost of investments since inception of the fund.</w:t>
      </w:r>
    </w:p>
    <w:p>
      <w:pPr>
        <w:ind w:right="2200"/>
        <w:spacing w:after="0" w:line="203" w:lineRule="auto"/>
        <w:rPr>
          <w:sz w:val="20"/>
          <w:szCs w:val="20"/>
          <w:color w:val="auto"/>
        </w:rPr>
      </w:pPr>
      <w:r>
        <w:rPr>
          <w:rFonts w:ascii="Times New Roman" w:cs="Times New Roman" w:eastAsia="Times New Roman" w:hAnsi="Times New Roman"/>
          <w:sz w:val="16"/>
          <w:szCs w:val="16"/>
          <w:color w:val="auto"/>
        </w:rPr>
        <w:t>(3)To exclude the impact of FX, all foreign currency cash flows have been converted to the currency representing a majority of the capital committed to the relevant fund at the reporting period spot rate.</w:t>
      </w:r>
    </w:p>
    <w:p>
      <w:pPr>
        <w:spacing w:after="0" w:line="1" w:lineRule="exact"/>
        <w:rPr>
          <w:sz w:val="20"/>
          <w:szCs w:val="20"/>
          <w:color w:val="auto"/>
        </w:rPr>
      </w:pPr>
    </w:p>
    <w:p>
      <w:pPr>
        <w:ind w:right="1980"/>
        <w:spacing w:after="0" w:line="203" w:lineRule="auto"/>
        <w:rPr>
          <w:sz w:val="20"/>
          <w:szCs w:val="20"/>
          <w:color w:val="auto"/>
        </w:rPr>
      </w:pPr>
      <w:r>
        <w:rPr>
          <w:rFonts w:ascii="Times New Roman" w:cs="Times New Roman" w:eastAsia="Times New Roman" w:hAnsi="Times New Roman"/>
          <w:sz w:val="16"/>
          <w:szCs w:val="16"/>
          <w:color w:val="auto"/>
        </w:rPr>
        <w:t>(4)Represents all realized proceeds combined with remaining fair value, before management fees, expenses and carried interest.</w:t>
      </w:r>
    </w:p>
    <w:p>
      <w:pPr>
        <w:spacing w:after="0" w:line="1" w:lineRule="exact"/>
        <w:rPr>
          <w:sz w:val="20"/>
          <w:szCs w:val="20"/>
          <w:color w:val="auto"/>
        </w:rPr>
      </w:pPr>
    </w:p>
    <w:p>
      <w:pPr>
        <w:ind w:right="2220"/>
        <w:spacing w:after="0" w:line="203" w:lineRule="auto"/>
        <w:rPr>
          <w:sz w:val="20"/>
          <w:szCs w:val="20"/>
          <w:color w:val="auto"/>
        </w:rPr>
      </w:pPr>
      <w:r>
        <w:rPr>
          <w:rFonts w:ascii="Times New Roman" w:cs="Times New Roman" w:eastAsia="Times New Roman" w:hAnsi="Times New Roman"/>
          <w:sz w:val="16"/>
          <w:szCs w:val="16"/>
          <w:color w:val="auto"/>
        </w:rPr>
        <w:t>(5)Multiple of invested capital (“MOIC”) represents total fair value, before management fees, expenses and carried interest, divided by cumulative invested capital.</w:t>
      </w:r>
    </w:p>
    <w:p>
      <w:pPr>
        <w:spacing w:after="0" w:line="1" w:lineRule="exact"/>
        <w:rPr>
          <w:sz w:val="20"/>
          <w:szCs w:val="20"/>
          <w:color w:val="auto"/>
        </w:rPr>
      </w:pPr>
    </w:p>
    <w:p>
      <w:pPr>
        <w:ind w:right="1820"/>
        <w:spacing w:after="0" w:line="216" w:lineRule="auto"/>
        <w:rPr>
          <w:sz w:val="20"/>
          <w:szCs w:val="20"/>
          <w:color w:val="auto"/>
        </w:rPr>
      </w:pPr>
      <w:r>
        <w:rPr>
          <w:rFonts w:ascii="Times New Roman" w:cs="Times New Roman" w:eastAsia="Times New Roman" w:hAnsi="Times New Roman"/>
          <w:sz w:val="16"/>
          <w:szCs w:val="16"/>
          <w:color w:val="auto"/>
        </w:rPr>
        <w:t>(6)Gross Internal Rate of Return (“Gross IRR”) represents the annualized IRR for the period indicated on Limited Partner invested capital based on investment contributions, distributions and unrealized value of the underlying investments, before management fees, expenses and carried interest at the AlpInvest level.</w:t>
      </w:r>
    </w:p>
    <w:p>
      <w:pPr>
        <w:sectPr>
          <w:pgSz w:w="11900" w:h="16840" w:orient="portrait"/>
          <w:cols w:equalWidth="0" w:num="1">
            <w:col w:w="9400"/>
          </w:cols>
          <w:pgMar w:left="1060" w:top="1440" w:right="1440" w:bottom="1440" w:gutter="0" w:footer="0" w:header="0"/>
        </w:sectPr>
      </w:pPr>
    </w:p>
    <w:bookmarkStart w:id="114" w:name="page115"/>
    <w:bookmarkEnd w:id="114"/>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040"/>
        <w:spacing w:after="0" w:line="232" w:lineRule="auto"/>
        <w:rPr>
          <w:sz w:val="20"/>
          <w:szCs w:val="20"/>
          <w:color w:val="auto"/>
        </w:rPr>
      </w:pPr>
      <w:r>
        <w:rPr>
          <w:rFonts w:ascii="Times New Roman" w:cs="Times New Roman" w:eastAsia="Times New Roman" w:hAnsi="Times New Roman"/>
          <w:sz w:val="14"/>
          <w:szCs w:val="14"/>
          <w:color w:val="auto"/>
        </w:rPr>
        <w:t>(7)Net Internal Rate of Return (“Net IRR”) represents the annualized IRR for the period indicated on Limited Partner invested capital based on investment contributions, distributions and unrealized value of the underlying investments, after management fees, expenses and carried interest.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w:t>
      </w:r>
    </w:p>
    <w:p>
      <w:pPr>
        <w:spacing w:after="0" w:line="2" w:lineRule="exact"/>
        <w:rPr>
          <w:sz w:val="20"/>
          <w:szCs w:val="20"/>
          <w:color w:val="auto"/>
        </w:rPr>
      </w:pPr>
    </w:p>
    <w:p>
      <w:pPr>
        <w:ind w:right="2040"/>
        <w:spacing w:after="0" w:line="203" w:lineRule="auto"/>
        <w:rPr>
          <w:sz w:val="20"/>
          <w:szCs w:val="20"/>
          <w:color w:val="auto"/>
        </w:rPr>
      </w:pPr>
      <w:r>
        <w:rPr>
          <w:rFonts w:ascii="Times New Roman" w:cs="Times New Roman" w:eastAsia="Times New Roman" w:hAnsi="Times New Roman"/>
          <w:sz w:val="16"/>
          <w:szCs w:val="16"/>
          <w:color w:val="auto"/>
        </w:rPr>
        <w:t>(8)“ASF” stands for AlpInvest Secondaries Fund, “ACF” stands forAlpInvest Co-Investment Fund, and “SMAs” are Separately Managed Accounts. “ASF - SMAs” and “ACF - SMAs” reflect the aggregated portfolios of investments held by SMAs within the relevant strategy, which invest alongside the relevant ASF or ACF (as applicable). Strategic SMAs reflect the aggregated portfolios of co-investments made by SMAs sourced from the SMA investor’s own private equity fund investment portfolio. Other SMAs reflect the aggregated portfolios of investments within the relevant strategy that began making investments in the corresponding time periods. Co -Investments SMAs 2014-2016 does not include two SMAs that started in 2016 but invested a substantial majority alongside ACF VII. These two SMAs have instead been grouped with ACF VII - SMAs. An SMA may pursue multiple investment strategies and make commitments over multiple years.</w:t>
      </w:r>
    </w:p>
    <w:p>
      <w:pPr>
        <w:spacing w:after="0" w:line="4" w:lineRule="exact"/>
        <w:rPr>
          <w:sz w:val="20"/>
          <w:szCs w:val="20"/>
          <w:color w:val="auto"/>
        </w:rPr>
      </w:pPr>
    </w:p>
    <w:p>
      <w:pPr>
        <w:ind w:right="2380"/>
        <w:spacing w:after="0" w:line="232" w:lineRule="auto"/>
        <w:rPr>
          <w:sz w:val="20"/>
          <w:szCs w:val="20"/>
          <w:color w:val="auto"/>
        </w:rPr>
      </w:pPr>
      <w:r>
        <w:rPr>
          <w:rFonts w:ascii="Times New Roman" w:cs="Times New Roman" w:eastAsia="Times New Roman" w:hAnsi="Times New Roman"/>
          <w:sz w:val="14"/>
          <w:szCs w:val="14"/>
          <w:color w:val="auto"/>
        </w:rPr>
        <w:t>(9)Includes ASF VIII - SMAs, ACF IX - SMAs, AlpInvest Strategic Portfolio Finance II, AlpInvest Atom Fund, AlpInvest Atom Fund II, all mezzanine investment portfolios, all ‘clean technology’ private equity investment portfolios, all strategic portfolio finance SMAs, and any state- focused investment mandate portfolios.</w:t>
      </w:r>
    </w:p>
    <w:p>
      <w:pPr>
        <w:spacing w:after="0" w:line="1" w:lineRule="exact"/>
        <w:rPr>
          <w:sz w:val="20"/>
          <w:szCs w:val="20"/>
          <w:color w:val="auto"/>
        </w:rPr>
      </w:pPr>
    </w:p>
    <w:p>
      <w:pPr>
        <w:ind w:right="1980"/>
        <w:spacing w:after="0" w:line="203" w:lineRule="auto"/>
        <w:rPr>
          <w:sz w:val="20"/>
          <w:szCs w:val="20"/>
          <w:color w:val="auto"/>
        </w:rPr>
      </w:pPr>
      <w:r>
        <w:rPr>
          <w:rFonts w:ascii="Times New Roman" w:cs="Times New Roman" w:eastAsia="Times New Roman" w:hAnsi="Times New Roman"/>
          <w:sz w:val="16"/>
          <w:szCs w:val="16"/>
          <w:color w:val="auto"/>
        </w:rPr>
        <w:t>(10)For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(11)For purposes of aggregation, funds that report in foreign currency have been converted to U.S. dollars at the reporting period spot rate.</w:t>
      </w:r>
    </w:p>
    <w:p>
      <w:pPr>
        <w:spacing w:after="0" w:line="1"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(12)Represents the net accrued performance revenue balance/(giveback obligation) as of the current quarter end. Total Net Accrued Carry excludes net accrued carry which was retained as part of the sale of MRE on April 1, 2021. There was no net accrued carry balance for MRE as of December 31, 2024.</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Historical Liquidity and Capital Resources</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We have historically required limited capital resources to support the working capital and operating needs of our business. Our management fees have largely covered our operating costs and all realized performance allocations, after covering the related compensation, are available for distribution to stockholders. Approximately 95% – 97% of all capital commitments to our funds are provided by our fund investors, with the remaining amount typically funded by Carlyle, our senior Carlyle professionals, advisors, and other professionals. We may elect to invest additional amounts in funds focused on new investment areas.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Our Sources of Liquidity</w:t>
      </w:r>
    </w:p>
    <w:p>
      <w:pPr>
        <w:spacing w:after="0" w:line="204" w:lineRule="auto"/>
        <w:rPr>
          <w:sz w:val="20"/>
          <w:szCs w:val="20"/>
          <w:color w:val="auto"/>
        </w:rPr>
      </w:pPr>
      <w:r>
        <w:rPr>
          <w:rFonts w:ascii="Times New Roman" w:cs="Times New Roman" w:eastAsia="Times New Roman" w:hAnsi="Times New Roman"/>
          <w:sz w:val="16"/>
          <w:szCs w:val="16"/>
          <w:color w:val="auto"/>
        </w:rPr>
        <w:t>We have multiple sources of liquidity to meet our capital needs, including cash on hand, annual cash flows,</w:t>
      </w:r>
    </w:p>
    <w:p>
      <w:pPr>
        <w:ind w:right="1400"/>
        <w:spacing w:after="0" w:line="203" w:lineRule="auto"/>
        <w:rPr>
          <w:sz w:val="20"/>
          <w:szCs w:val="20"/>
          <w:color w:val="auto"/>
        </w:rPr>
      </w:pPr>
      <w:r>
        <w:rPr>
          <w:rFonts w:ascii="Times New Roman" w:cs="Times New Roman" w:eastAsia="Times New Roman" w:hAnsi="Times New Roman"/>
          <w:sz w:val="16"/>
          <w:szCs w:val="16"/>
          <w:color w:val="auto"/>
        </w:rPr>
        <w:t>accumulated earnings, cash we receive from our notes offerings, and funds from our senior revolving credit facility, which had $1.0 billion of available capacity as of December 31, 2024. Although we may consider other financings to invest in growing our business, we believe these sources will be sufficient to fund our capital needs for at least the next twelve months. We believe we will meet longer- term expected future cash requirements and obligations through a combination of existing cash and cash equivalent balances, cash flow from operations, accumulated earnings, and amounts available for borrowing from our senior revolving credit facility or other financings.</w:t>
      </w:r>
    </w:p>
    <w:p>
      <w:pPr>
        <w:spacing w:after="0" w:line="3"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Cash and cash equivalents were approximately $1.3 billion at December 31,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However, a portion of this cash is allocated for specific business purposes, including, but not limited to: (i) performance allocations and incentive fee related cash that has been received but not yet distributed as performance allocations and incentive fee related compensation and amounts owed to non-controlling interests, (ii) proceeds received from realized investments that are allocable to non-controlling interests, and (iii) regulatory capital.</w:t>
      </w:r>
    </w:p>
    <w:p>
      <w:pPr>
        <w:spacing w:after="0" w:line="2" w:lineRule="exact"/>
        <w:rPr>
          <w:sz w:val="20"/>
          <w:szCs w:val="20"/>
          <w:color w:val="auto"/>
        </w:rPr>
      </w:pPr>
    </w:p>
    <w:p>
      <w:pPr>
        <w:ind w:right="1480"/>
        <w:spacing w:after="0" w:line="213" w:lineRule="auto"/>
        <w:rPr>
          <w:sz w:val="20"/>
          <w:szCs w:val="20"/>
          <w:color w:val="auto"/>
        </w:rPr>
      </w:pPr>
      <w:r>
        <w:rPr>
          <w:rFonts w:ascii="Times New Roman" w:cs="Times New Roman" w:eastAsia="Times New Roman" w:hAnsi="Times New Roman"/>
          <w:sz w:val="16"/>
          <w:szCs w:val="16"/>
          <w:color w:val="auto"/>
        </w:rPr>
        <w:t>After deducting cash amounts allocated to the specific requirements mentioned above, the remaining cash and cash equivalents was approximately $1.2 billion as of December 31, 2024. This remaining amount will be used towards our primary liquidity needs, as outlined in the next section. This amount does not take into consideration ordinary course of business payables and reserves for specific business purposes.</w:t>
      </w:r>
    </w:p>
    <w:p>
      <w:pPr>
        <w:sectPr>
          <w:pgSz w:w="11900" w:h="16840" w:orient="portrait"/>
          <w:cols w:equalWidth="0" w:num="1">
            <w:col w:w="9400"/>
          </w:cols>
          <w:pgMar w:left="1060" w:top="1440" w:right="1440" w:bottom="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Senior Revolving Credit Facility. </w:t>
      </w:r>
      <w:r>
        <w:rPr>
          <w:rFonts w:ascii="Times New Roman" w:cs="Times New Roman" w:eastAsia="Times New Roman" w:hAnsi="Times New Roman"/>
          <w:sz w:val="16"/>
          <w:szCs w:val="16"/>
          <w:color w:val="auto"/>
        </w:rPr>
        <w:t>The capacity under the amended and restated revolving credit facility is $1.0 billion</w:t>
      </w:r>
    </w:p>
    <w:p>
      <w:pPr>
        <w:ind w:right="1520"/>
        <w:spacing w:after="0" w:line="208" w:lineRule="auto"/>
        <w:rPr>
          <w:sz w:val="20"/>
          <w:szCs w:val="20"/>
          <w:color w:val="auto"/>
        </w:rPr>
      </w:pPr>
      <w:r>
        <w:rPr>
          <w:rFonts w:ascii="Times New Roman" w:cs="Times New Roman" w:eastAsia="Times New Roman" w:hAnsi="Times New Roman"/>
          <w:sz w:val="16"/>
          <w:szCs w:val="16"/>
          <w:color w:val="auto"/>
        </w:rPr>
        <w:t>and the facility is scheduled to mature on April 29, 2027. The Company’s borrowing capacity is subject to the ability of the financial institutions in the banking syndicate to fulfill their respective obligations under the revolving credit facility. Principal amounts outstanding under the amended and restated revolving credit facility accrue interest, at the option of the borrowers, either (a) at an alternate base rate plus an applicable margin not to exceed 0.50% per annum, or (b) at SOFR (or similar benchmark rate for non- U.S. dollar borrowings) plus a 0.10% adjustment and an applicable margin not to exceed 1.50% per annum (5.43% at December 31, 2024). As of December 31, 2024, there were no amounts outstanding under the senior revolving credit facility.</w:t>
      </w:r>
    </w:p>
    <w:p>
      <w:pPr>
        <w:sectPr>
          <w:pgSz w:w="11900" w:h="16840" w:orient="portrait"/>
          <w:cols w:equalWidth="0" w:num="1">
            <w:col w:w="9400"/>
          </w:cols>
          <w:pgMar w:left="1060" w:top="1440" w:right="1440" w:bottom="144" w:gutter="0" w:footer="0" w:header="0"/>
          <w:type w:val="continuous"/>
        </w:sectPr>
      </w:pPr>
    </w:p>
    <w:bookmarkStart w:id="115" w:name="page116"/>
    <w:bookmarkEnd w:id="115"/>
    <w:p>
      <w:pPr>
        <w:ind w:right="1420" w:firstLine="576"/>
        <w:spacing w:after="0" w:line="206" w:lineRule="auto"/>
        <w:rPr>
          <w:sz w:val="20"/>
          <w:szCs w:val="20"/>
          <w:color w:val="auto"/>
        </w:rPr>
      </w:pPr>
      <w:r>
        <w:rPr>
          <w:rFonts w:ascii="Times New Roman" w:cs="Times New Roman" w:eastAsia="Times New Roman" w:hAnsi="Times New Roman"/>
          <w:sz w:val="16"/>
          <w:szCs w:val="16"/>
          <w:color w:val="auto"/>
        </w:rPr>
        <w:t>The senior revolving credit facility is unsecured. We are required to maintain management fee earning assets (as defined in the amended and restated senior revolving credit facility) of at least $126.6 billion and a total leverage ratio of less than 4.0 to 1.0, in each case, tested on a quarterly basis. Non-compliance with any of the financial or non -financial covenants without cure or waiver would constitute an event of default under the senior revolving credit facility. An event of default resulting from a breach of certain financial or non-financial covenants may result, at the option of the lenders, in an acceleration of the principal and interest outstanding, and a termination of the senior revolving credit facility. The senior credit facility also contains other customary events of default, including defaults based on events of bankruptcy and insolvency, nonpayment of principal, interest or fees when due, breach of specified covenants, change in control, and material inaccuracy of representations and warranties.</w:t>
      </w:r>
    </w:p>
    <w:p>
      <w:pPr>
        <w:spacing w:after="0" w:line="1" w:lineRule="exact"/>
        <w:rPr>
          <w:sz w:val="20"/>
          <w:szCs w:val="20"/>
          <w:color w:val="auto"/>
        </w:rPr>
      </w:pPr>
    </w:p>
    <w:p>
      <w:pPr>
        <w:ind w:right="1520" w:firstLine="576"/>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Global Credit Revolving Credit Facility. </w:t>
      </w:r>
      <w:r>
        <w:rPr>
          <w:rFonts w:ascii="Times New Roman" w:cs="Times New Roman" w:eastAsia="Times New Roman" w:hAnsi="Times New Roman"/>
          <w:sz w:val="14"/>
          <w:szCs w:val="14"/>
          <w:color w:val="auto"/>
        </w:rPr>
        <w:t>Certain subsidiaries of the Company are parties to a revolving line of credit,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intended to support certain lending activities within the Global Credit segment. As currently amended, the Global Credit Revolving Credit Facility provides for a revolving line of credit with a capacity of $300 million, which matures in September 2027, and a second revolving line of credit with a capacity of $200 million, which matures in August 2025. The Company’s borrowing capacity is subject to the ability of the financial institutions in the banking syndicate to</w:t>
      </w:r>
    </w:p>
    <w:p>
      <w:pPr>
        <w:spacing w:after="0" w:line="2" w:lineRule="exact"/>
        <w:rPr>
          <w:sz w:val="20"/>
          <w:szCs w:val="20"/>
          <w:color w:val="auto"/>
        </w:rPr>
      </w:pPr>
    </w:p>
    <w:p>
      <w:pPr>
        <w:ind w:right="1740"/>
        <w:spacing w:after="0" w:line="203" w:lineRule="auto"/>
        <w:rPr>
          <w:sz w:val="20"/>
          <w:szCs w:val="20"/>
          <w:color w:val="auto"/>
        </w:rPr>
      </w:pPr>
      <w:r>
        <w:rPr>
          <w:rFonts w:ascii="Times New Roman" w:cs="Times New Roman" w:eastAsia="Times New Roman" w:hAnsi="Times New Roman"/>
          <w:sz w:val="16"/>
          <w:szCs w:val="16"/>
          <w:color w:val="auto"/>
        </w:rPr>
        <w:t>fulfill their respective obligations under the Global Credit Revolving Credit Facility. Principal amounts outstanding accrue interest at applicable SOFR or Eurocurrency rates plus an applicable margin of 2.00% or an alternate base rate plus an applicable margin of 1.00%. For the year ended December 31, 2024, under the Global Credit Revolving Credit Facility the Company made borrowings of $5.0 million and €5.0 million, which were subsequently repaid, and there was no balance outstanding as of December 31, 2024.</w:t>
      </w:r>
    </w:p>
    <w:p>
      <w:pPr>
        <w:spacing w:after="0" w:line="2"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CLO Borrowings. </w:t>
      </w:r>
      <w:r>
        <w:rPr>
          <w:rFonts w:ascii="Times New Roman" w:cs="Times New Roman" w:eastAsia="Times New Roman" w:hAnsi="Times New Roman"/>
          <w:sz w:val="16"/>
          <w:szCs w:val="16"/>
          <w:color w:val="auto"/>
        </w:rPr>
        <w:t>For certain of our CLOs, the Company finances a portion of its investment in the CLOs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proceeds received from term loans and other financing arrangements with financial institutions or other financing arrangements. The Company’s CLO borrowings outstanding were $ 289.4 million and $431.7 million at December 31, 2024 and 2023, respectively. The decrease in borrowings outstanding at December 31, 2024 compared to 2023 was primarily attributable to net repayments of CLO term loans during the year ended December 31, 2024. The CLO borrowings are secured by the Company’s investments in the respective CLO, have a general unsecured interest in the Carlyle entity that manages the CLO, and generally do not have recourse to any other Carlyle entity. As of December 31, 2024, $271.6 million of these borrowings are secured by investments attributable to The Carlyle Group Inc. See Note 6, Borrowings, to the consolidated financial statements for more information on our CLO borrowings.</w:t>
      </w:r>
    </w:p>
    <w:p>
      <w:pPr>
        <w:spacing w:after="0" w:line="208" w:lineRule="auto"/>
        <w:rPr>
          <w:sz w:val="20"/>
          <w:szCs w:val="20"/>
          <w:color w:val="auto"/>
        </w:rPr>
      </w:pPr>
      <w:r>
        <w:rPr>
          <w:rFonts w:ascii="Times New Roman" w:cs="Times New Roman" w:eastAsia="Times New Roman" w:hAnsi="Times New Roman"/>
          <w:sz w:val="16"/>
          <w:szCs w:val="16"/>
          <w:i w:val="1"/>
          <w:iCs w:val="1"/>
          <w:color w:val="auto"/>
        </w:rPr>
        <w:t>Senior Notes</w:t>
      </w:r>
      <w:r>
        <w:rPr>
          <w:rFonts w:ascii="Times New Roman" w:cs="Times New Roman" w:eastAsia="Times New Roman" w:hAnsi="Times New Roman"/>
          <w:sz w:val="16"/>
          <w:szCs w:val="16"/>
          <w:color w:val="auto"/>
        </w:rPr>
        <w:t>. Certain indirect finance subsidiaries of the Company have issued senior notes, on which interest is</w:t>
      </w:r>
    </w:p>
    <w:p>
      <w:pPr>
        <w:ind w:right="1480"/>
        <w:spacing w:after="0" w:line="203" w:lineRule="auto"/>
        <w:rPr>
          <w:sz w:val="20"/>
          <w:szCs w:val="20"/>
          <w:color w:val="auto"/>
        </w:rPr>
      </w:pPr>
      <w:r>
        <w:rPr>
          <w:rFonts w:ascii="Times New Roman" w:cs="Times New Roman" w:eastAsia="Times New Roman" w:hAnsi="Times New Roman"/>
          <w:sz w:val="16"/>
          <w:szCs w:val="16"/>
          <w:color w:val="auto"/>
        </w:rPr>
        <w:t>payable semi-annually, as discussed below. The senior notes are unsecured and unsubordinated obligations of the respective subsidiary and are fully and unconditionally guaranteed, jointly and severally, by the Company and each of the Carlyle Holdings partnerships. The indentures governing each of the senior notes contain customary covenants that, among other things, limit the issuers’ and the guarantors’ ability, subject to certain exceptions, to incur indebtedness secured by liens on voting stock or profit participating equity interests of their subsidiaries or merge, consolidate or sell, transfer or lease assets. The notes also contain customary events of default. All or a portion of the notes may be redeemed at our option, in whole or in part, at any time and from time to time, prior to their stated maturity, at the make-whole redemption price set forth in the notes. If a change of control repurchase event occurs, the notes are subject to repurchase at the repurchase price as set forth in the notes.</w:t>
      </w:r>
    </w:p>
    <w:p>
      <w:pPr>
        <w:spacing w:after="0" w:line="4" w:lineRule="exact"/>
        <w:rPr>
          <w:sz w:val="20"/>
          <w:szCs w:val="20"/>
          <w:color w:val="auto"/>
        </w:rPr>
      </w:pPr>
    </w:p>
    <w:p>
      <w:pPr>
        <w:ind w:right="1520" w:firstLine="576"/>
        <w:spacing w:after="0" w:line="203" w:lineRule="auto"/>
        <w:rPr>
          <w:sz w:val="20"/>
          <w:szCs w:val="20"/>
          <w:color w:val="auto"/>
        </w:rPr>
      </w:pPr>
      <w:r>
        <w:rPr>
          <w:rFonts w:ascii="Times New Roman" w:cs="Times New Roman" w:eastAsia="Times New Roman" w:hAnsi="Times New Roman"/>
          <w:sz w:val="16"/>
          <w:szCs w:val="16"/>
          <w:u w:val="single" w:color="auto"/>
          <w:color w:val="auto"/>
        </w:rPr>
        <w:t>3.500% Senior Notes</w:t>
      </w:r>
      <w:r>
        <w:rPr>
          <w:rFonts w:ascii="Times New Roman" w:cs="Times New Roman" w:eastAsia="Times New Roman" w:hAnsi="Times New Roman"/>
          <w:sz w:val="16"/>
          <w:szCs w:val="16"/>
          <w:color w:val="auto"/>
        </w:rPr>
        <w:t xml:space="preserve"> . In September 2019, Carlyle Finance Subsidiary L.L.C. issued $425.0 million of 3.500% senior notes due September 19, 2029 at 99.841% of par.</w:t>
      </w:r>
    </w:p>
    <w:p>
      <w:pPr>
        <w:spacing w:after="0" w:line="1" w:lineRule="exact"/>
        <w:rPr>
          <w:sz w:val="20"/>
          <w:szCs w:val="20"/>
          <w:color w:val="auto"/>
        </w:rPr>
      </w:pPr>
    </w:p>
    <w:p>
      <w:pPr>
        <w:ind w:right="1700"/>
        <w:spacing w:after="0" w:line="213" w:lineRule="auto"/>
        <w:rPr>
          <w:sz w:val="20"/>
          <w:szCs w:val="20"/>
          <w:color w:val="auto"/>
        </w:rPr>
      </w:pPr>
      <w:r>
        <w:rPr>
          <w:rFonts w:ascii="Times New Roman" w:cs="Times New Roman" w:eastAsia="Times New Roman" w:hAnsi="Times New Roman"/>
          <w:sz w:val="16"/>
          <w:szCs w:val="16"/>
          <w:u w:val="single" w:color="auto"/>
          <w:color w:val="auto"/>
        </w:rPr>
        <w:t>5.625% Senior Notes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March 2013, Carlyle Holdings II Finance L.L.C. issued $ 400.0 million of 5.625% senior notes due March 30, 2043 at 99.583% of par. In March 2014, an additional $200.0 million of these notes were issued at 104.315% of par and are treated as a single class with the already outstanding $400.0 million aggregate principal amount of these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160"/>
        <w:spacing w:after="0" w:line="203" w:lineRule="auto"/>
        <w:rPr>
          <w:sz w:val="20"/>
          <w:szCs w:val="20"/>
          <w:color w:val="auto"/>
        </w:rPr>
      </w:pPr>
      <w:r>
        <w:rPr>
          <w:rFonts w:ascii="Times New Roman" w:cs="Times New Roman" w:eastAsia="Times New Roman" w:hAnsi="Times New Roman"/>
          <w:sz w:val="16"/>
          <w:szCs w:val="16"/>
          <w:u w:val="single" w:color="auto"/>
          <w:color w:val="auto"/>
        </w:rPr>
        <w:t>5.650% Senior Notes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September 2018, Carlyle Finance L.L.C. issued $350.0 million of 5.650% senior notes due September 15, 2048 at 99.914% of par.</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 xml:space="preserve">Subordinated Notes. </w:t>
      </w:r>
      <w:r>
        <w:rPr>
          <w:rFonts w:ascii="Times New Roman" w:cs="Times New Roman" w:eastAsia="Times New Roman" w:hAnsi="Times New Roman"/>
          <w:sz w:val="16"/>
          <w:szCs w:val="16"/>
          <w:color w:val="auto"/>
        </w:rPr>
        <w:t>In May and June 2021, Carlyle Finance L.L.C. issued $500.0 million aggregate principal amount</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of 4.625% subordinated notes due May 15, 2061. The subordinated notes are unsecured and subordinated obligations of the issuer and are fully and unconditionally guaranteed, jointly and severally, on a subordinated basis, by the Company, each of the Carlyle Holdings partnerships, and CG Subsidiary Holdings L.L.C., an indirect subsidiary of the Company. The indentures governing the subordinated notes contain customary covenants that, among other things, limit the issuers’ and the guarantors’ ability, subject to certain exceptions, to incur indebtedness ranking on a parity with the subordinated notes or indebtedness ranking junior to the subordinated notes secured by liens on voting stock or profit participating equity interests of their subsidiaries or merge, consolidate or sell, transfer or lease all or substantially all of their assets. The subordinated notes also contain customary events of default. All or a portion of the notes may be redeemed at our option, in whole or in part, at any time and from time to time on or after June 15, 2026, prior to their stated maturity, at a redemption price equal to their principal 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7" w:lineRule="exact"/>
        <w:rPr>
          <w:sz w:val="20"/>
          <w:szCs w:val="20"/>
          <w:color w:val="auto"/>
        </w:rPr>
      </w:pPr>
    </w:p>
    <w:p>
      <w:pPr>
        <w:ind w:right="170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Obligations of CLOs. </w:t>
      </w:r>
      <w:r>
        <w:rPr>
          <w:rFonts w:ascii="Times New Roman" w:cs="Times New Roman" w:eastAsia="Times New Roman" w:hAnsi="Times New Roman"/>
          <w:sz w:val="16"/>
          <w:szCs w:val="16"/>
          <w:color w:val="auto"/>
        </w:rPr>
        <w:t>Loans payable of the Consolidated Funds primarily comprise amounts due to holders of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issued by the CLOs. We are not liable for any loans payable of the CLOs. Loans payable of the CLOs are collateralized by the assets held by the CLOs and the assets of one CLO may not be used to satisfy the liabilities of another. This collateral consists of cash and cash equivalents, corporate loans, corporate bonds and other securities.</w:t>
      </w:r>
    </w:p>
    <w:p>
      <w:pPr>
        <w:spacing w:after="0" w:line="2" w:lineRule="exact"/>
        <w:rPr>
          <w:sz w:val="20"/>
          <w:szCs w:val="20"/>
          <w:color w:val="auto"/>
        </w:rPr>
      </w:pPr>
    </w:p>
    <w:p>
      <w:pPr>
        <w:ind w:right="1460"/>
        <w:spacing w:after="0" w:line="250" w:lineRule="auto"/>
        <w:rPr>
          <w:sz w:val="20"/>
          <w:szCs w:val="20"/>
          <w:color w:val="auto"/>
        </w:rPr>
      </w:pPr>
      <w:r>
        <w:rPr>
          <w:rFonts w:ascii="Times New Roman" w:cs="Times New Roman" w:eastAsia="Times New Roman" w:hAnsi="Times New Roman"/>
          <w:sz w:val="14"/>
          <w:szCs w:val="14"/>
          <w:i w:val="1"/>
          <w:iCs w:val="1"/>
          <w:color w:val="auto"/>
        </w:rPr>
        <w:t>Realized Performance Allocation Revenues</w:t>
      </w:r>
      <w:r>
        <w:rPr>
          <w:rFonts w:ascii="Times New Roman" w:cs="Times New Roman" w:eastAsia="Times New Roman" w:hAnsi="Times New Roman"/>
          <w:sz w:val="14"/>
          <w:szCs w:val="14"/>
          <w:color w:val="auto"/>
        </w:rPr>
        <w:t>. Another source of liquidity we may use to meet our capital needs is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realized performance allocation revenues generated by our investment funds. Performance allocations are generally realized when an underlying investment is profitably disposed of and the fund’s cumulative returns are in excess of the preferred return.</w:t>
      </w:r>
    </w:p>
    <w:p>
      <w:pPr>
        <w:sectPr>
          <w:pgSz w:w="11900" w:h="16840" w:orient="portrait"/>
          <w:cols w:equalWidth="0" w:num="1">
            <w:col w:w="9400"/>
          </w:cols>
          <w:pgMar w:left="1060" w:top="557" w:right="1440" w:bottom="73" w:gutter="0" w:footer="0" w:header="0"/>
        </w:sectPr>
      </w:pPr>
    </w:p>
    <w:bookmarkStart w:id="116" w:name="page117"/>
    <w:bookmarkEnd w:id="116"/>
    <w:p>
      <w:pPr>
        <w:ind w:right="1540"/>
        <w:spacing w:after="0" w:line="211" w:lineRule="auto"/>
        <w:rPr>
          <w:sz w:val="20"/>
          <w:szCs w:val="20"/>
          <w:color w:val="auto"/>
        </w:rPr>
      </w:pPr>
      <w:r>
        <w:rPr>
          <w:rFonts w:ascii="Times New Roman" w:cs="Times New Roman" w:eastAsia="Times New Roman" w:hAnsi="Times New Roman"/>
          <w:sz w:val="16"/>
          <w:szCs w:val="16"/>
          <w:color w:val="auto"/>
        </w:rPr>
        <w:t>For certain funds, performance allocations are realized once all invested capital and expenses have been returned to the fund’s investors and the fund’s cumulative returns are in excess of the preferred return. Incentive fees earned on our CLO vehicles generally are paid upon the dissolution of such vehicles.</w:t>
      </w:r>
    </w:p>
    <w:p>
      <w:pPr>
        <w:spacing w:after="0" w:line="1" w:lineRule="exact"/>
        <w:rPr>
          <w:sz w:val="20"/>
          <w:szCs w:val="20"/>
          <w:color w:val="auto"/>
        </w:rPr>
      </w:pPr>
    </w:p>
    <w:p>
      <w:pPr>
        <w:ind w:right="2560"/>
        <w:spacing w:after="0" w:line="210" w:lineRule="auto"/>
        <w:rPr>
          <w:sz w:val="20"/>
          <w:szCs w:val="20"/>
          <w:color w:val="auto"/>
        </w:rPr>
      </w:pPr>
      <w:r>
        <w:rPr>
          <w:rFonts w:ascii="Times New Roman" w:cs="Times New Roman" w:eastAsia="Times New Roman" w:hAnsi="Times New Roman"/>
          <w:sz w:val="16"/>
          <w:szCs w:val="16"/>
          <w:color w:val="auto"/>
        </w:rPr>
        <w:t>Our accrued performance allocations by segment as of December 31, 2024, gross and net of accrued giveback obligations, are set forth below:</w:t>
      </w:r>
    </w:p>
    <w:tbl>
      <w:tblPr>
        <w:tblLayout w:type="fixed"/>
        <w:tblInd w:w="0" w:type="dxa"/>
        <w:tblCellMar>
          <w:top w:w="0" w:type="dxa"/>
          <w:left w:w="0" w:type="dxa"/>
          <w:bottom w:w="0" w:type="dxa"/>
          <w:right w:w="0" w:type="dxa"/>
        </w:tblCellMar>
      </w:tblPr>
      <w:tr>
        <w:trPr>
          <w:trHeight w:val="129"/>
        </w:trPr>
        <w:tc>
          <w:tcPr>
            <w:tcW w:w="43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Net Accrued</w:t>
            </w:r>
          </w:p>
        </w:tc>
      </w:tr>
      <w:tr>
        <w:trPr>
          <w:trHeight w:val="144"/>
        </w:trPr>
        <w:tc>
          <w:tcPr>
            <w:tcW w:w="4380" w:type="dxa"/>
            <w:vAlign w:val="bottom"/>
          </w:tcPr>
          <w:p>
            <w:pPr>
              <w:spacing w:after="0"/>
              <w:rPr>
                <w:sz w:val="12"/>
                <w:szCs w:val="12"/>
                <w:color w:val="auto"/>
              </w:rPr>
            </w:pPr>
          </w:p>
        </w:tc>
        <w:tc>
          <w:tcPr>
            <w:tcW w:w="12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6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Giveback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Performance</w:t>
            </w:r>
          </w:p>
        </w:tc>
      </w:tr>
      <w:tr>
        <w:trPr>
          <w:trHeight w:val="46"/>
        </w:trPr>
        <w:tc>
          <w:tcPr>
            <w:tcW w:w="4380" w:type="dxa"/>
            <w:vAlign w:val="bottom"/>
          </w:tcPr>
          <w:p>
            <w:pPr>
              <w:spacing w:after="0"/>
              <w:rPr>
                <w:sz w:val="4"/>
                <w:szCs w:val="4"/>
                <w:color w:val="auto"/>
              </w:rPr>
            </w:pPr>
          </w:p>
        </w:tc>
        <w:tc>
          <w:tcPr>
            <w:tcW w:w="1260" w:type="dxa"/>
            <w:vAlign w:val="bottom"/>
            <w:gridSpan w:val="2"/>
          </w:tcPr>
          <w:p>
            <w:pPr>
              <w:ind w:left="20"/>
              <w:spacing w:after="0" w:line="47" w:lineRule="exact"/>
              <w:rPr>
                <w:sz w:val="20"/>
                <w:szCs w:val="20"/>
                <w:color w:val="auto"/>
              </w:rPr>
            </w:pPr>
            <w:r>
              <w:rPr>
                <w:rFonts w:ascii="Times New Roman" w:cs="Times New Roman" w:eastAsia="Times New Roman" w:hAnsi="Times New Roman"/>
                <w:sz w:val="5"/>
                <w:szCs w:val="5"/>
                <w:b w:val="1"/>
                <w:bCs w:val="1"/>
                <w:color w:val="auto"/>
              </w:rPr>
              <w:t>Allocations</w:t>
            </w:r>
          </w:p>
        </w:tc>
        <w:tc>
          <w:tcPr>
            <w:tcW w:w="60" w:type="dxa"/>
            <w:vAlign w:val="bottom"/>
          </w:tcPr>
          <w:p>
            <w:pPr>
              <w:spacing w:after="0"/>
              <w:rPr>
                <w:sz w:val="4"/>
                <w:szCs w:val="4"/>
                <w:color w:val="auto"/>
              </w:rPr>
            </w:pPr>
          </w:p>
        </w:tc>
        <w:tc>
          <w:tcPr>
            <w:tcW w:w="780" w:type="dxa"/>
            <w:vAlign w:val="bottom"/>
          </w:tcPr>
          <w:p>
            <w:pPr>
              <w:ind w:left="20"/>
              <w:spacing w:after="0" w:line="47" w:lineRule="exact"/>
              <w:rPr>
                <w:sz w:val="20"/>
                <w:szCs w:val="20"/>
                <w:color w:val="auto"/>
              </w:rPr>
            </w:pPr>
            <w:r>
              <w:rPr>
                <w:rFonts w:ascii="Times New Roman" w:cs="Times New Roman" w:eastAsia="Times New Roman" w:hAnsi="Times New Roman"/>
                <w:sz w:val="5"/>
                <w:szCs w:val="5"/>
                <w:b w:val="1"/>
                <w:bCs w:val="1"/>
                <w:color w:val="auto"/>
              </w:rPr>
              <w:t>Obligation</w:t>
            </w: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ind w:left="20"/>
              <w:spacing w:after="0" w:line="47" w:lineRule="exact"/>
              <w:rPr>
                <w:sz w:val="20"/>
                <w:szCs w:val="20"/>
                <w:color w:val="auto"/>
              </w:rPr>
            </w:pPr>
            <w:r>
              <w:rPr>
                <w:rFonts w:ascii="Times New Roman" w:cs="Times New Roman" w:eastAsia="Times New Roman" w:hAnsi="Times New Roman"/>
                <w:sz w:val="5"/>
                <w:szCs w:val="5"/>
                <w:b w:val="1"/>
                <w:bCs w:val="1"/>
                <w:color w:val="auto"/>
              </w:rPr>
              <w:t>Revenues</w:t>
            </w:r>
          </w:p>
        </w:tc>
        <w:tc>
          <w:tcPr>
            <w:tcW w:w="620" w:type="dxa"/>
            <w:vAlign w:val="bottom"/>
          </w:tcPr>
          <w:p>
            <w:pPr>
              <w:spacing w:after="0"/>
              <w:rPr>
                <w:sz w:val="4"/>
                <w:szCs w:val="4"/>
                <w:color w:val="auto"/>
              </w:rPr>
            </w:pPr>
          </w:p>
        </w:tc>
      </w:tr>
      <w:tr>
        <w:trPr>
          <w:trHeight w:val="126"/>
        </w:trPr>
        <w:tc>
          <w:tcPr>
            <w:tcW w:w="4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jc w:val="right"/>
              <w:ind w:right="373"/>
              <w:spacing w:after="0"/>
              <w:rPr>
                <w:sz w:val="20"/>
                <w:szCs w:val="20"/>
                <w:color w:val="auto"/>
              </w:rPr>
            </w:pP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80"/>
        </w:trPr>
        <w:tc>
          <w:tcPr>
            <w:tcW w:w="43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172"/>
        </w:trPr>
        <w:tc>
          <w:tcPr>
            <w:tcW w:w="43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4,910.2</w:t>
            </w:r>
          </w:p>
        </w:tc>
        <w:tc>
          <w:tcPr>
            <w:tcW w:w="8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7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4,891.7</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620" w:type="dxa"/>
            <w:vAlign w:val="bottom"/>
          </w:tcPr>
          <w:p>
            <w:pPr>
              <w:spacing w:after="0"/>
              <w:rPr>
                <w:sz w:val="16"/>
                <w:szCs w:val="16"/>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527.1</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501.6</w:t>
            </w:r>
          </w:p>
        </w:tc>
      </w:tr>
      <w:tr>
        <w:trPr>
          <w:trHeight w:val="40"/>
        </w:trPr>
        <w:tc>
          <w:tcPr>
            <w:tcW w:w="4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6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1,616.2</w:t>
            </w: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1,616.2</w:t>
            </w:r>
          </w:p>
        </w:tc>
      </w:tr>
      <w:tr>
        <w:trPr>
          <w:trHeight w:val="18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7,053.5</w:t>
            </w:r>
          </w:p>
        </w:tc>
        <w:tc>
          <w:tcPr>
            <w:tcW w:w="60" w:type="dxa"/>
            <w:vAlign w:val="bottom"/>
          </w:tcPr>
          <w:p>
            <w:pPr>
              <w:spacing w:after="0"/>
              <w:rPr>
                <w:sz w:val="15"/>
                <w:szCs w:val="15"/>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60" w:type="dxa"/>
            <w:vAlign w:val="bottom"/>
          </w:tcPr>
          <w:p>
            <w:pPr>
              <w:spacing w:after="0"/>
              <w:rPr>
                <w:sz w:val="15"/>
                <w:szCs w:val="15"/>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7,009.5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Accrued performance allocations from NGP Carry Funds</w:t>
            </w:r>
            <w:r>
              <w:rPr>
                <w:rFonts w:ascii="Times New Roman" w:cs="Times New Roman" w:eastAsia="Times New Roman" w:hAnsi="Times New Roman"/>
                <w:sz w:val="9"/>
                <w:szCs w:val="9"/>
                <w:color w:val="auto"/>
              </w:rPr>
              <w:t>(2)</w:t>
            </w: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489.4</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Less: Accrued performance allocation-related compensation</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(4,788.5)</w:t>
            </w:r>
          </w:p>
        </w:tc>
      </w:tr>
      <w:tr>
        <w:trPr>
          <w:trHeight w:val="40"/>
        </w:trPr>
        <w:tc>
          <w:tcPr>
            <w:tcW w:w="500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8"/>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Receivable for giveback obligations from current and former employees</w:t>
            </w: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Less: Deferred taxes on certain foreign accrued performance allocations</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40"/>
        </w:trPr>
        <w:tc>
          <w:tcPr>
            <w:tcW w:w="5700" w:type="dxa"/>
            <w:vAlign w:val="bottom"/>
            <w:gridSpan w:val="4"/>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132"/>
        </w:trPr>
        <w:tc>
          <w:tcPr>
            <w:tcW w:w="6480" w:type="dxa"/>
            <w:vAlign w:val="bottom"/>
            <w:gridSpan w:val="5"/>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Less/Plus: Net accrued performance allocations/giveback obligations attributable to non-controlling interests in</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0.2</w:t>
            </w:r>
          </w:p>
        </w:tc>
      </w:tr>
      <w:tr>
        <w:trPr>
          <w:trHeight w:val="22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entities</w:t>
            </w:r>
          </w:p>
        </w:tc>
        <w:tc>
          <w:tcPr>
            <w:tcW w:w="6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r>
      <w:tr>
        <w:trPr>
          <w:trHeight w:val="188"/>
        </w:trPr>
        <w:tc>
          <w:tcPr>
            <w:tcW w:w="6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Plus: Net accrued performance allocations attributable to Consolidated Funds, eliminated in consolidation</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r>
      <w:tr>
        <w:trPr>
          <w:trHeight w:val="40"/>
        </w:trPr>
        <w:tc>
          <w:tcPr>
            <w:tcW w:w="43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accrued performance revenues before timing differences</w:t>
            </w:r>
          </w:p>
        </w:tc>
        <w:tc>
          <w:tcPr>
            <w:tcW w:w="6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2,713.2</w:t>
            </w:r>
          </w:p>
        </w:tc>
      </w:tr>
      <w:tr>
        <w:trPr>
          <w:trHeight w:val="132"/>
        </w:trPr>
        <w:tc>
          <w:tcPr>
            <w:tcW w:w="6960" w:type="dxa"/>
            <w:vAlign w:val="bottom"/>
            <w:gridSpan w:val="6"/>
          </w:tcPr>
          <w:p>
            <w:pPr>
              <w:spacing w:after="0" w:line="132" w:lineRule="exact"/>
              <w:rPr>
                <w:sz w:val="20"/>
                <w:szCs w:val="20"/>
                <w:color w:val="auto"/>
              </w:rPr>
            </w:pPr>
            <w:r>
              <w:rPr>
                <w:rFonts w:ascii="Times New Roman" w:cs="Times New Roman" w:eastAsia="Times New Roman" w:hAnsi="Times New Roman"/>
                <w:sz w:val="14"/>
                <w:szCs w:val="14"/>
                <w:color w:val="auto"/>
              </w:rPr>
              <w:t>Less/Plus: Timing differences between the period when accrued performance allocations/giveback obligations are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24.7</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realized and the period they are collected/distributed</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4"/>
        </w:trPr>
        <w:tc>
          <w:tcPr>
            <w:tcW w:w="43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18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accrued performance revenues attributable to The Carlyle Group Inc.</w:t>
            </w:r>
          </w:p>
        </w:tc>
        <w:tc>
          <w:tcPr>
            <w:tcW w:w="6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2,737.9</w:t>
            </w:r>
          </w:p>
        </w:tc>
      </w:tr>
    </w:tbl>
    <w:p>
      <w:pPr>
        <w:spacing w:after="0" w:line="215" w:lineRule="auto"/>
        <w:rPr>
          <w:sz w:val="20"/>
          <w:szCs w:val="20"/>
          <w:color w:val="auto"/>
        </w:rPr>
      </w:pPr>
      <w:r>
        <w:rPr>
          <w:rFonts w:ascii="Times New Roman" w:cs="Times New Roman" w:eastAsia="Times New Roman" w:hAnsi="Times New Roman"/>
          <w:sz w:val="13"/>
          <w:szCs w:val="13"/>
          <w:color w:val="auto"/>
        </w:rPr>
        <w:t>(1)Accrued incentive fees are excluded from net accrued performance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-76835</wp:posOffset>
            </wp:positionV>
            <wp:extent cx="8001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80010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(2)Accrued performance allocations from NGP funds are presented as investments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color w:val="auto"/>
        </w:rPr>
        <w:t>The net accrued performance revenues attributable to The Carlyle Group Inc., excluding realized amounts, related to</w:t>
      </w:r>
    </w:p>
    <w:p>
      <w:pPr>
        <w:ind w:right="1720"/>
        <w:spacing w:after="0" w:line="210" w:lineRule="auto"/>
        <w:rPr>
          <w:sz w:val="20"/>
          <w:szCs w:val="20"/>
          <w:color w:val="auto"/>
        </w:rPr>
      </w:pPr>
      <w:r>
        <w:rPr>
          <w:rFonts w:ascii="Times New Roman" w:cs="Times New Roman" w:eastAsia="Times New Roman" w:hAnsi="Times New Roman"/>
          <w:sz w:val="16"/>
          <w:szCs w:val="16"/>
          <w:color w:val="auto"/>
        </w:rPr>
        <w:t>our carry funds and our other vehicles as of December 31, 2024, as well as the carry fund appreciation (depreciation), is set forth below by segment (Dollars in millions):</w:t>
      </w:r>
    </w:p>
    <w:tbl>
      <w:tblPr>
        <w:tblLayout w:type="fixed"/>
        <w:tblInd w:w="0" w:type="dxa"/>
        <w:tblCellMar>
          <w:top w:w="0" w:type="dxa"/>
          <w:left w:w="0" w:type="dxa"/>
          <w:bottom w:w="0" w:type="dxa"/>
          <w:right w:w="0" w:type="dxa"/>
        </w:tblCellMar>
      </w:tblPr>
      <w:tr>
        <w:trPr>
          <w:trHeight w:val="117"/>
        </w:trPr>
        <w:tc>
          <w:tcPr>
            <w:tcW w:w="3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Carry Fund Appreciation/(Depreciation)</w:t>
            </w:r>
          </w:p>
        </w:tc>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 w:type="dxa"/>
            <w:vAlign w:val="bottom"/>
          </w:tcPr>
          <w:p>
            <w:pPr>
              <w:spacing w:after="0"/>
              <w:rPr>
                <w:sz w:val="10"/>
                <w:szCs w:val="10"/>
                <w:color w:val="auto"/>
              </w:rPr>
            </w:pPr>
          </w:p>
        </w:tc>
        <w:tc>
          <w:tcPr>
            <w:tcW w:w="12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Accrued</w:t>
            </w: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line="20" w:lineRule="exact"/>
              <w:rPr>
                <w:sz w:val="1"/>
                <w:szCs w:val="1"/>
                <w:color w:val="auto"/>
              </w:rPr>
            </w:pPr>
          </w:p>
        </w:tc>
      </w:tr>
      <w:tr>
        <w:trPr>
          <w:trHeight w:val="128"/>
        </w:trPr>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96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80" w:type="dxa"/>
            <w:vAlign w:val="bottom"/>
          </w:tcPr>
          <w:p>
            <w:pPr>
              <w:spacing w:after="0"/>
              <w:rPr>
                <w:sz w:val="6"/>
                <w:szCs w:val="6"/>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FY 2023</w:t>
            </w:r>
          </w:p>
        </w:tc>
        <w:tc>
          <w:tcPr>
            <w:tcW w:w="6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FY 2024</w:t>
            </w:r>
          </w:p>
        </w:tc>
        <w:tc>
          <w:tcPr>
            <w:tcW w:w="40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Overall Carry Fund Appreciation/(Depreciation)</w:t>
            </w:r>
          </w:p>
        </w:tc>
        <w:tc>
          <w:tcPr>
            <w:tcW w:w="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8%</w:t>
            </w: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Global Private Equity:</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7%</w:t>
            </w:r>
          </w:p>
        </w:tc>
        <w:tc>
          <w:tcPr>
            <w:tcW w:w="4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2,005.0</w:t>
            </w:r>
          </w:p>
        </w:tc>
        <w:tc>
          <w:tcPr>
            <w:tcW w:w="0" w:type="dxa"/>
            <w:vAlign w:val="bottom"/>
          </w:tcPr>
          <w:p>
            <w:pPr>
              <w:spacing w:after="0"/>
              <w:rPr>
                <w:sz w:val="1"/>
                <w:szCs w:val="1"/>
                <w:color w:val="auto"/>
              </w:rPr>
            </w:pPr>
          </w:p>
        </w:tc>
      </w:tr>
      <w:tr>
        <w:trPr>
          <w:trHeight w:val="38"/>
        </w:trPr>
        <w:tc>
          <w:tcPr>
            <w:tcW w:w="39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Private Equity</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w:t>
            </w: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188"/>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130.9</w:t>
            </w:r>
          </w:p>
        </w:tc>
        <w:tc>
          <w:tcPr>
            <w:tcW w:w="0" w:type="dxa"/>
            <w:vAlign w:val="bottom"/>
          </w:tcPr>
          <w:p>
            <w:pPr>
              <w:spacing w:after="0"/>
              <w:rPr>
                <w:sz w:val="1"/>
                <w:szCs w:val="1"/>
                <w:color w:val="auto"/>
              </w:rPr>
            </w:pPr>
          </w:p>
        </w:tc>
      </w:tr>
      <w:tr>
        <w:trPr>
          <w:trHeight w:val="40"/>
        </w:trPr>
        <w:tc>
          <w:tcPr>
            <w:tcW w:w="39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Infrastructure &amp; Natural Resources</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8%</w:t>
            </w: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431.8</w:t>
            </w:r>
          </w:p>
        </w:tc>
        <w:tc>
          <w:tcPr>
            <w:tcW w:w="0" w:type="dxa"/>
            <w:vAlign w:val="bottom"/>
          </w:tcPr>
          <w:p>
            <w:pPr>
              <w:spacing w:after="0"/>
              <w:rPr>
                <w:sz w:val="1"/>
                <w:szCs w:val="1"/>
                <w:color w:val="auto"/>
              </w:rPr>
            </w:pPr>
          </w:p>
        </w:tc>
      </w:tr>
      <w:tr>
        <w:trPr>
          <w:trHeight w:val="190"/>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Global Credit Carry Funds</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12%</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191.5</w:t>
            </w:r>
          </w:p>
        </w:tc>
        <w:tc>
          <w:tcPr>
            <w:tcW w:w="0" w:type="dxa"/>
            <w:vAlign w:val="bottom"/>
          </w:tcPr>
          <w:p>
            <w:pPr>
              <w:spacing w:after="0"/>
              <w:rPr>
                <w:sz w:val="1"/>
                <w:szCs w:val="1"/>
                <w:color w:val="auto"/>
              </w:rPr>
            </w:pPr>
          </w:p>
        </w:tc>
      </w:tr>
      <w:tr>
        <w:trPr>
          <w:trHeight w:val="38"/>
        </w:trPr>
        <w:tc>
          <w:tcPr>
            <w:tcW w:w="396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Global Investment Solutions Carry Funds</w:t>
            </w:r>
          </w:p>
        </w:tc>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9%</w:t>
            </w: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541.4</w:t>
            </w:r>
          </w:p>
        </w:tc>
        <w:tc>
          <w:tcPr>
            <w:tcW w:w="0" w:type="dxa"/>
            <w:vAlign w:val="bottom"/>
          </w:tcPr>
          <w:p>
            <w:pPr>
              <w:spacing w:after="0"/>
              <w:rPr>
                <w:sz w:val="1"/>
                <w:szCs w:val="1"/>
                <w:color w:val="auto"/>
              </w:rPr>
            </w:pPr>
          </w:p>
        </w:tc>
      </w:tr>
      <w:tr>
        <w:trPr>
          <w:trHeight w:val="182"/>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Accrued Performance Revenues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1270</wp:posOffset>
            </wp:positionV>
            <wp:extent cx="8001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00100" cy="7620"/>
                    </a:xfrm>
                    <a:prstGeom prst="rect">
                      <a:avLst/>
                    </a:prstGeom>
                    <a:noFill/>
                  </pic:spPr>
                </pic:pic>
              </a:graphicData>
            </a:graphic>
          </wp:anchor>
        </w:drawing>
      </w:r>
    </w:p>
    <w:p>
      <w:pPr>
        <w:spacing w:after="0" w:line="6" w:lineRule="exact"/>
        <w:rPr>
          <w:sz w:val="20"/>
          <w:szCs w:val="20"/>
          <w:color w:val="auto"/>
        </w:rPr>
      </w:pPr>
    </w:p>
    <w:p>
      <w:pPr>
        <w:ind w:right="1380"/>
        <w:spacing w:after="0" w:line="199" w:lineRule="auto"/>
        <w:rPr>
          <w:sz w:val="20"/>
          <w:szCs w:val="20"/>
          <w:color w:val="auto"/>
        </w:rPr>
      </w:pPr>
      <w:r>
        <w:rPr>
          <w:rFonts w:ascii="Times New Roman" w:cs="Times New Roman" w:eastAsia="Times New Roman" w:hAnsi="Times New Roman"/>
          <w:sz w:val="13"/>
          <w:szCs w:val="13"/>
          <w:color w:val="auto"/>
        </w:rPr>
        <w:t>(1)Appreciation/(Depreciation) represents unrealized gain/(loss) for the period on a total return basis before fees and expenses. The percentage of return is calculated as: ending remaining investment fair market value plus net investment outflow (sales proceeds minus net purchases) minus beginning remaining investment fair market value divided by beginning remaining investment fair market value. Amounts are fund only, and do not include coinvestments.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-306705</wp:posOffset>
            </wp:positionV>
            <wp:extent cx="8001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00100" cy="7620"/>
                    </a:xfrm>
                    <a:prstGeom prst="rect">
                      <a:avLst/>
                    </a:prstGeom>
                    <a:noFill/>
                  </pic:spPr>
                </pic:pic>
              </a:graphicData>
            </a:graphic>
          </wp:anchor>
        </w:drawing>
      </w:r>
    </w:p>
    <w:p>
      <w:pPr>
        <w:ind w:right="1420" w:firstLine="576"/>
        <w:spacing w:after="0" w:line="205" w:lineRule="auto"/>
        <w:rPr>
          <w:sz w:val="20"/>
          <w:szCs w:val="20"/>
          <w:color w:val="auto"/>
        </w:rPr>
      </w:pPr>
      <w:r>
        <w:rPr>
          <w:rFonts w:ascii="Times New Roman" w:cs="Times New Roman" w:eastAsia="Times New Roman" w:hAnsi="Times New Roman"/>
          <w:sz w:val="16"/>
          <w:szCs w:val="16"/>
          <w:i w:val="1"/>
          <w:iCs w:val="1"/>
          <w:color w:val="auto"/>
        </w:rPr>
        <w:t xml:space="preserve">Realized Principal Investment Income. </w:t>
      </w:r>
      <w:r>
        <w:rPr>
          <w:rFonts w:ascii="Times New Roman" w:cs="Times New Roman" w:eastAsia="Times New Roman" w:hAnsi="Times New Roman"/>
          <w:sz w:val="16"/>
          <w:szCs w:val="16"/>
          <w:color w:val="auto"/>
        </w:rPr>
        <w:t>Another source of liquidity we may use to meet our capital needs is the realized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principal investment income generated by our equity method investments and other principal investments. Principal investment income is realized when we redeem all or a portion of our investment or when we receive or are due cash income, such as dividends or distributions. Certain of the investments attributable to The Carlyle Group Inc. (excluding certain general partner interests, certain strategic investments, and investments in certain CLOs) may be sold at our discretion as a source of liquidity. Investments as of December 31, 2024 consist of the following:</w:t>
      </w:r>
    </w:p>
    <w:tbl>
      <w:tblPr>
        <w:tblLayout w:type="fixed"/>
        <w:tblInd w:w="0" w:type="dxa"/>
        <w:tblCellMar>
          <w:top w:w="0" w:type="dxa"/>
          <w:left w:w="0" w:type="dxa"/>
          <w:bottom w:w="0" w:type="dxa"/>
          <w:right w:w="0" w:type="dxa"/>
        </w:tblCellMar>
      </w:tblPr>
      <w:tr>
        <w:trPr>
          <w:trHeight w:val="132"/>
        </w:trPr>
        <w:tc>
          <w:tcPr>
            <w:tcW w:w="518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5180" w:type="dxa"/>
            <w:vAlign w:val="bottom"/>
          </w:tcPr>
          <w:p>
            <w:pPr>
              <w:spacing w:after="0"/>
              <w:rPr>
                <w:sz w:val="4"/>
                <w:szCs w:val="4"/>
                <w:color w:val="auto"/>
              </w:rPr>
            </w:pPr>
          </w:p>
        </w:tc>
        <w:tc>
          <w:tcPr>
            <w:tcW w:w="1000" w:type="dxa"/>
            <w:vAlign w:val="bottom"/>
            <w:gridSpan w:val="2"/>
          </w:tcPr>
          <w:p>
            <w:pPr>
              <w:ind w:left="20"/>
              <w:spacing w:after="0" w:line="47" w:lineRule="exact"/>
              <w:rPr>
                <w:sz w:val="20"/>
                <w:szCs w:val="20"/>
                <w:color w:val="auto"/>
              </w:rPr>
            </w:pPr>
            <w:r>
              <w:rPr>
                <w:rFonts w:ascii="Times New Roman" w:cs="Times New Roman" w:eastAsia="Times New Roman" w:hAnsi="Times New Roman"/>
                <w:sz w:val="5"/>
                <w:szCs w:val="5"/>
                <w:b w:val="1"/>
                <w:bCs w:val="1"/>
                <w:color w:val="auto"/>
              </w:rPr>
              <w:t>in Carlyle</w:t>
            </w:r>
          </w:p>
        </w:tc>
        <w:tc>
          <w:tcPr>
            <w:tcW w:w="80" w:type="dxa"/>
            <w:vAlign w:val="bottom"/>
          </w:tcPr>
          <w:p>
            <w:pPr>
              <w:spacing w:after="0"/>
              <w:rPr>
                <w:sz w:val="4"/>
                <w:szCs w:val="4"/>
                <w:color w:val="auto"/>
              </w:rPr>
            </w:pPr>
          </w:p>
        </w:tc>
        <w:tc>
          <w:tcPr>
            <w:tcW w:w="980" w:type="dxa"/>
            <w:vAlign w:val="bottom"/>
            <w:gridSpan w:val="2"/>
          </w:tcPr>
          <w:p>
            <w:pPr>
              <w:spacing w:after="0" w:line="47" w:lineRule="exact"/>
              <w:rPr>
                <w:sz w:val="20"/>
                <w:szCs w:val="20"/>
                <w:color w:val="auto"/>
              </w:rPr>
            </w:pPr>
            <w:r>
              <w:rPr>
                <w:rFonts w:ascii="Times New Roman" w:cs="Times New Roman" w:eastAsia="Times New Roman" w:hAnsi="Times New Roman"/>
                <w:sz w:val="5"/>
                <w:szCs w:val="5"/>
                <w:b w:val="1"/>
                <w:bCs w:val="1"/>
                <w:color w:val="auto"/>
              </w:rPr>
              <w:t>in NGP</w:t>
            </w: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5180" w:type="dxa"/>
            <w:vAlign w:val="bottom"/>
          </w:tcPr>
          <w:p>
            <w:pPr>
              <w:spacing w:after="0"/>
              <w:rPr>
                <w:sz w:val="10"/>
                <w:szCs w:val="10"/>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5180" w:type="dxa"/>
            <w:vAlign w:val="bottom"/>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excluding performance allocations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3,024.6</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858.6</w:t>
            </w:r>
          </w:p>
        </w:tc>
        <w:tc>
          <w:tcPr>
            <w:tcW w:w="4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3,883.2</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Less: Amounts attributable to non-controlling interests in consolidated entities</w:t>
            </w:r>
          </w:p>
        </w:tc>
        <w:tc>
          <w:tcPr>
            <w:tcW w:w="4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(309.6)</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Plus: Investments in Consolidated Funds, eliminated in consolidation</w:t>
            </w:r>
          </w:p>
        </w:tc>
        <w:tc>
          <w:tcPr>
            <w:tcW w:w="4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377.3</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377.3</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Less: Strategic equity method investments in NGP Management</w:t>
            </w:r>
          </w:p>
        </w:tc>
        <w:tc>
          <w:tcPr>
            <w:tcW w:w="4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(369.2)</w:t>
            </w:r>
          </w:p>
        </w:tc>
        <w:tc>
          <w:tcPr>
            <w:tcW w:w="0" w:type="dxa"/>
            <w:vAlign w:val="bottom"/>
          </w:tcPr>
          <w:p>
            <w:pPr>
              <w:spacing w:after="0"/>
              <w:rPr>
                <w:sz w:val="1"/>
                <w:szCs w:val="1"/>
                <w:color w:val="auto"/>
              </w:rPr>
            </w:pPr>
          </w:p>
        </w:tc>
      </w:tr>
      <w:tr>
        <w:trPr>
          <w:trHeight w:val="40"/>
        </w:trPr>
        <w:tc>
          <w:tcPr>
            <w:tcW w:w="5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Investment in NGP general partners - accrued performance allocations</w:t>
            </w:r>
          </w:p>
        </w:tc>
        <w:tc>
          <w:tcPr>
            <w:tcW w:w="4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(489.4)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(489.4)</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investments attributable to The Carlyle Group Inc.</w:t>
            </w: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3,092.3</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2540</wp:posOffset>
            </wp:positionV>
            <wp:extent cx="197421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974215" cy="7620"/>
                    </a:xfrm>
                    <a:prstGeom prst="rect">
                      <a:avLst/>
                    </a:prstGeom>
                    <a:noFill/>
                  </pic:spPr>
                </pic:pic>
              </a:graphicData>
            </a:graphic>
          </wp:anchor>
        </w:drawing>
      </w:r>
    </w:p>
    <w:p>
      <w:pPr>
        <w:spacing w:after="0" w:line="8" w:lineRule="exact"/>
        <w:rPr>
          <w:sz w:val="20"/>
          <w:szCs w:val="20"/>
          <w:color w:val="auto"/>
        </w:rPr>
      </w:pPr>
    </w:p>
    <w:p>
      <w:pPr>
        <w:ind w:right="1520"/>
        <w:spacing w:after="0" w:line="206" w:lineRule="auto"/>
        <w:rPr>
          <w:sz w:val="20"/>
          <w:szCs w:val="20"/>
          <w:color w:val="auto"/>
        </w:rPr>
      </w:pPr>
      <w:r>
        <w:rPr>
          <w:rFonts w:ascii="Times New Roman" w:cs="Times New Roman" w:eastAsia="Times New Roman" w:hAnsi="Times New Roman"/>
          <w:sz w:val="13"/>
          <w:szCs w:val="13"/>
          <w:color w:val="auto"/>
        </w:rPr>
        <w:t>(1)Strategic equity method investment in NGP Management and investments in NGP general partners - accrued performance allocations. See Note 4, Investments,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-154940</wp:posOffset>
            </wp:positionV>
            <wp:extent cx="197421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974215" cy="7620"/>
                    </a:xfrm>
                    <a:prstGeom prst="rect">
                      <a:avLst/>
                    </a:prstGeom>
                    <a:noFill/>
                  </pic:spPr>
                </pic:pic>
              </a:graphicData>
            </a:graphic>
          </wp:anchor>
        </w:drawing>
      </w:r>
    </w:p>
    <w:p>
      <w:pPr>
        <w:sectPr>
          <w:pgSz w:w="11900" w:h="16840" w:orient="portrait"/>
          <w:cols w:equalWidth="0" w:num="1">
            <w:col w:w="9400"/>
          </w:cols>
          <w:pgMar w:left="1060" w:top="557" w:right="1440" w:bottom="403" w:gutter="0" w:footer="0" w:header="0"/>
        </w:sectPr>
      </w:pPr>
    </w:p>
    <w:p>
      <w:pPr>
        <w:ind w:left="560"/>
        <w:spacing w:after="0"/>
        <w:rPr>
          <w:sz w:val="20"/>
          <w:szCs w:val="20"/>
          <w:color w:val="auto"/>
        </w:rPr>
      </w:pPr>
      <w:r>
        <w:rPr>
          <w:rFonts w:ascii="Times New Roman" w:cs="Times New Roman" w:eastAsia="Times New Roman" w:hAnsi="Times New Roman"/>
          <w:sz w:val="14"/>
          <w:szCs w:val="14"/>
          <w:color w:val="auto"/>
        </w:rPr>
        <w:t>Our investments as of December 31, 2024 can be further attributed as follows (Dollars in millions):</w:t>
      </w:r>
    </w:p>
    <w:p>
      <w:pPr>
        <w:sectPr>
          <w:pgSz w:w="11900" w:h="16840" w:orient="portrait"/>
          <w:cols w:equalWidth="0" w:num="1">
            <w:col w:w="9400"/>
          </w:cols>
          <w:pgMar w:left="1060" w:top="557" w:right="1440" w:bottom="403"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color w:val="auto"/>
        </w:rPr>
        <w:t>Investments in Carlyle Funds, excluding CLOs: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13350" cy="152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213350" cy="152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6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Global Private Equity funds</w:t>
            </w:r>
          </w:p>
        </w:tc>
        <w:tc>
          <w:tcPr>
            <w:tcW w:w="420" w:type="dxa"/>
            <w:vAlign w:val="bottom"/>
          </w:tcPr>
          <w:p>
            <w:pPr>
              <w:jc w:val="right"/>
              <w:ind w:right="26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1"/>
              <w:spacing w:after="0" w:line="126" w:lineRule="exact"/>
              <w:rPr>
                <w:sz w:val="20"/>
                <w:szCs w:val="20"/>
                <w:color w:val="auto"/>
              </w:rPr>
            </w:pPr>
            <w:r>
              <w:rPr>
                <w:rFonts w:ascii="Times New Roman" w:cs="Times New Roman" w:eastAsia="Times New Roman" w:hAnsi="Times New Roman"/>
                <w:sz w:val="14"/>
                <w:szCs w:val="14"/>
                <w:color w:val="auto"/>
              </w:rPr>
              <w:t>1,052.9</w:t>
            </w:r>
          </w:p>
        </w:tc>
      </w:tr>
      <w:tr>
        <w:trPr>
          <w:trHeight w:val="124"/>
        </w:trPr>
        <w:tc>
          <w:tcPr>
            <w:tcW w:w="690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(1)</w:t>
            </w: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82"/>
        </w:trPr>
        <w:tc>
          <w:tcPr>
            <w:tcW w:w="6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3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Global Credit funds</w:t>
            </w: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3"/>
                <w:szCs w:val="3"/>
                <w:color w:val="auto"/>
              </w:rPr>
              <w:t>1,253.6</w:t>
            </w:r>
          </w:p>
        </w:tc>
      </w:tr>
      <w:tr>
        <w:trPr>
          <w:trHeight w:val="124"/>
        </w:trPr>
        <w:tc>
          <w:tcPr>
            <w:tcW w:w="69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0"/>
                <w:szCs w:val="10"/>
                <w:color w:val="auto"/>
              </w:rPr>
              <w:t>(2)</w:t>
            </w: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82"/>
        </w:trPr>
        <w:tc>
          <w:tcPr>
            <w:tcW w:w="69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Global Investment Solutions funds</w:t>
            </w:r>
          </w:p>
        </w:tc>
        <w:tc>
          <w:tcPr>
            <w:tcW w:w="42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316.9</w:t>
            </w:r>
          </w:p>
        </w:tc>
      </w:tr>
      <w:tr>
        <w:trPr>
          <w:trHeight w:val="52"/>
        </w:trPr>
        <w:tc>
          <w:tcPr>
            <w:tcW w:w="69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2"/>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investments in Carlyle Funds, excluding CLOs</w:t>
            </w:r>
          </w:p>
        </w:tc>
        <w:tc>
          <w:tcPr>
            <w:tcW w:w="4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color w:val="auto"/>
              </w:rPr>
              <w:t>2,623.4</w:t>
            </w: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42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357.1</w:t>
            </w:r>
          </w:p>
        </w:tc>
      </w:tr>
      <w:tr>
        <w:trPr>
          <w:trHeight w:val="52"/>
        </w:trPr>
        <w:tc>
          <w:tcPr>
            <w:tcW w:w="6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40"/>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color w:val="auto"/>
              </w:rPr>
              <w:t>111.8</w:t>
            </w:r>
          </w:p>
        </w:tc>
      </w:tr>
      <w:tr>
        <w:trPr>
          <w:trHeight w:val="18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investments attributable to The Carlyle Group Inc.</w:t>
            </w:r>
          </w:p>
        </w:tc>
        <w:tc>
          <w:tcPr>
            <w:tcW w:w="4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color w:val="auto"/>
              </w:rPr>
              <w:t>3,092.3</w:t>
            </w:r>
          </w:p>
        </w:tc>
      </w:tr>
      <w:tr>
        <w:trPr>
          <w:trHeight w:val="52"/>
        </w:trPr>
        <w:tc>
          <w:tcPr>
            <w:tcW w:w="69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CLO loans and other borrowings collateralized by investments attributable to The Carlyle Group Inc.</w:t>
            </w: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3"/>
                <w:szCs w:val="3"/>
                <w:color w:val="auto"/>
              </w:rPr>
              <w:t>(271.6)</w:t>
            </w:r>
          </w:p>
        </w:tc>
      </w:tr>
      <w:tr>
        <w:trPr>
          <w:trHeight w:val="124"/>
        </w:trPr>
        <w:tc>
          <w:tcPr>
            <w:tcW w:w="6900" w:type="dxa"/>
            <w:vAlign w:val="bottom"/>
            <w:shd w:val="clear" w:color="auto" w:fill="CCEEFF"/>
          </w:tcPr>
          <w:p>
            <w:pPr>
              <w:ind w:left="5820"/>
              <w:spacing w:after="0"/>
              <w:rPr>
                <w:sz w:val="20"/>
                <w:szCs w:val="20"/>
                <w:color w:val="auto"/>
              </w:rPr>
            </w:pPr>
            <w:r>
              <w:rPr>
                <w:rFonts w:ascii="Times New Roman" w:cs="Times New Roman" w:eastAsia="Times New Roman" w:hAnsi="Times New Roman"/>
                <w:sz w:val="10"/>
                <w:szCs w:val="10"/>
                <w:color w:val="auto"/>
              </w:rPr>
              <w:t>(3)</w:t>
            </w: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70"/>
        </w:trPr>
        <w:tc>
          <w:tcPr>
            <w:tcW w:w="69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r>
      <w:tr>
        <w:trPr>
          <w:trHeight w:val="180"/>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investments attributable to The Carlyle Group Inc., net of CLO loans and other borrowings</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4"/>
                <w:szCs w:val="14"/>
                <w:color w:val="auto"/>
              </w:rPr>
              <w:t>2,820.7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2540</wp:posOffset>
            </wp:positionV>
            <wp:extent cx="8305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30580"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(1)Excludes our strategic equity method investment in NGP Management and investments in NGP general partners - accrued performance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-86995</wp:posOffset>
            </wp:positionV>
            <wp:extent cx="8305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305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144</w:t>
      </w:r>
    </w:p>
    <w:p>
      <w:pPr>
        <w:spacing w:after="0" w:line="200"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00"/>
        <w:spacing w:after="0" w:line="192" w:lineRule="auto"/>
        <w:rPr>
          <w:sz w:val="20"/>
          <w:szCs w:val="20"/>
          <w:color w:val="auto"/>
        </w:rPr>
      </w:pPr>
      <w:r>
        <w:rPr>
          <w:rFonts w:ascii="Times New Roman" w:cs="Times New Roman" w:eastAsia="Times New Roman" w:hAnsi="Times New Roman"/>
          <w:sz w:val="13"/>
          <w:szCs w:val="13"/>
          <w:color w:val="auto"/>
        </w:rPr>
        <w:t>(2)Includes the Company’s indirect investment in Fortitude through Carlyle FRL, a Carlyle -affiliated investment fund, as discussed in Note 4, Investments, to the consolidated financial statements. This investment had a carrying value of $723.5 million as of December 31, 2024.</w:t>
      </w:r>
    </w:p>
    <w:p>
      <w:pPr>
        <w:spacing w:after="0" w:line="1" w:lineRule="exact"/>
        <w:rPr>
          <w:sz w:val="20"/>
          <w:szCs w:val="20"/>
          <w:color w:val="auto"/>
        </w:rPr>
      </w:pPr>
    </w:p>
    <w:p>
      <w:pPr>
        <w:ind w:right="1740"/>
        <w:spacing w:after="0" w:line="194" w:lineRule="auto"/>
        <w:rPr>
          <w:sz w:val="20"/>
          <w:szCs w:val="20"/>
          <w:color w:val="auto"/>
        </w:rPr>
      </w:pPr>
      <w:r>
        <w:rPr>
          <w:rFonts w:ascii="Times New Roman" w:cs="Times New Roman" w:eastAsia="Times New Roman" w:hAnsi="Times New Roman"/>
          <w:sz w:val="13"/>
          <w:szCs w:val="13"/>
          <w:color w:val="auto"/>
        </w:rPr>
        <w:t>(3)Of the $ 289.4 million in total CLO borrowings as of December 31, 2024 and as disclosed in Note 6, Borrowings, to the consolidated financial statements, $271.6 million are collateralized by investments attributable to The Carlyle Group Inc. The remaining $17.8 million in total CLO borrowings are collateralized by investments attributable to non-controlling interests.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Our Liquidity Needs</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We generally use our working capital and cash flows to invest in growth initiatives, service our debt, fund the working capital needs of our business and investment funds, and return capital to our common stockholders in the form of dividends or stock repurchases.</w:t>
      </w:r>
    </w:p>
    <w:p>
      <w:pPr>
        <w:spacing w:after="0" w:line="205" w:lineRule="auto"/>
        <w:rPr>
          <w:sz w:val="20"/>
          <w:szCs w:val="20"/>
          <w:color w:val="auto"/>
        </w:rPr>
      </w:pPr>
      <w:r>
        <w:rPr>
          <w:rFonts w:ascii="Times New Roman" w:cs="Times New Roman" w:eastAsia="Times New Roman" w:hAnsi="Times New Roman"/>
          <w:sz w:val="16"/>
          <w:szCs w:val="16"/>
          <w:color w:val="auto"/>
        </w:rPr>
        <w:t>In the future, we expect that our primary liquidity needs will be to:</w:t>
      </w:r>
    </w:p>
    <w:p>
      <w:pPr>
        <w:spacing w:after="0" w:line="203" w:lineRule="auto"/>
        <w:rPr>
          <w:sz w:val="20"/>
          <w:szCs w:val="20"/>
          <w:color w:val="auto"/>
        </w:rPr>
      </w:pPr>
      <w:r>
        <w:rPr>
          <w:rFonts w:ascii="Times New Roman" w:cs="Times New Roman" w:eastAsia="Times New Roman" w:hAnsi="Times New Roman"/>
          <w:sz w:val="16"/>
          <w:szCs w:val="16"/>
          <w:color w:val="auto"/>
        </w:rPr>
        <w:t>•provide capital to facilitate the growth of our existing business lines;</w:t>
      </w:r>
    </w:p>
    <w:p>
      <w:pPr>
        <w:spacing w:after="0" w:line="1" w:lineRule="exact"/>
        <w:rPr>
          <w:sz w:val="20"/>
          <w:szCs w:val="20"/>
          <w:color w:val="auto"/>
        </w:rPr>
      </w:pPr>
    </w:p>
    <w:p>
      <w:pPr>
        <w:ind w:right="2740"/>
        <w:spacing w:after="0" w:line="203" w:lineRule="auto"/>
        <w:rPr>
          <w:sz w:val="20"/>
          <w:szCs w:val="20"/>
          <w:color w:val="auto"/>
        </w:rPr>
      </w:pPr>
      <w:r>
        <w:rPr>
          <w:rFonts w:ascii="Times New Roman" w:cs="Times New Roman" w:eastAsia="Times New Roman" w:hAnsi="Times New Roman"/>
          <w:sz w:val="16"/>
          <w:szCs w:val="16"/>
          <w:color w:val="auto"/>
        </w:rPr>
        <w:t>•provide capital to facilitate our expansion into new, complementary business lines, including acquisitions; •pay operating expenses, including compensation and compliance costs and other obligations as they arise; •fund costs of litigation and contingencies, including related legal costs; •fund the capital investments of Carlyle in our funds;</w:t>
      </w:r>
    </w:p>
    <w:p>
      <w:pPr>
        <w:spacing w:after="0" w:line="205" w:lineRule="auto"/>
        <w:rPr>
          <w:sz w:val="20"/>
          <w:szCs w:val="20"/>
          <w:color w:val="auto"/>
        </w:rPr>
      </w:pPr>
      <w:r>
        <w:rPr>
          <w:rFonts w:ascii="Times New Roman" w:cs="Times New Roman" w:eastAsia="Times New Roman" w:hAnsi="Times New Roman"/>
          <w:sz w:val="16"/>
          <w:szCs w:val="16"/>
          <w:color w:val="auto"/>
        </w:rPr>
        <w:t>•fund capital expenditures;</w:t>
      </w:r>
    </w:p>
    <w:p>
      <w:pPr>
        <w:spacing w:after="0" w:line="204" w:lineRule="auto"/>
        <w:rPr>
          <w:sz w:val="20"/>
          <w:szCs w:val="20"/>
          <w:color w:val="auto"/>
        </w:rPr>
      </w:pPr>
      <w:r>
        <w:rPr>
          <w:rFonts w:ascii="Times New Roman" w:cs="Times New Roman" w:eastAsia="Times New Roman" w:hAnsi="Times New Roman"/>
          <w:sz w:val="16"/>
          <w:szCs w:val="16"/>
          <w:color w:val="auto"/>
        </w:rPr>
        <w:t>•repay borrowings and related interest costs and expenses;</w:t>
      </w:r>
    </w:p>
    <w:p>
      <w:pPr>
        <w:ind w:right="2660"/>
        <w:spacing w:after="0" w:line="203" w:lineRule="auto"/>
        <w:rPr>
          <w:sz w:val="20"/>
          <w:szCs w:val="20"/>
          <w:color w:val="auto"/>
        </w:rPr>
      </w:pPr>
      <w:r>
        <w:rPr>
          <w:rFonts w:ascii="Times New Roman" w:cs="Times New Roman" w:eastAsia="Times New Roman" w:hAnsi="Times New Roman"/>
          <w:sz w:val="16"/>
          <w:szCs w:val="16"/>
          <w:color w:val="auto"/>
        </w:rPr>
        <w:t>•pay earn-outs and contingent cash consideration associated with our acquisitions and strategic investments; •pay income taxes, including corporate income taxes;</w:t>
      </w:r>
    </w:p>
    <w:p>
      <w:pPr>
        <w:spacing w:after="0" w:line="1" w:lineRule="exact"/>
        <w:rPr>
          <w:sz w:val="20"/>
          <w:szCs w:val="20"/>
          <w:color w:val="auto"/>
        </w:rPr>
      </w:pPr>
    </w:p>
    <w:p>
      <w:pPr>
        <w:ind w:right="4140"/>
        <w:spacing w:after="0" w:line="203" w:lineRule="auto"/>
        <w:rPr>
          <w:sz w:val="20"/>
          <w:szCs w:val="20"/>
          <w:color w:val="auto"/>
        </w:rPr>
      </w:pPr>
      <w:r>
        <w:rPr>
          <w:rFonts w:ascii="Times New Roman" w:cs="Times New Roman" w:eastAsia="Times New Roman" w:hAnsi="Times New Roman"/>
          <w:sz w:val="16"/>
          <w:szCs w:val="16"/>
          <w:color w:val="auto"/>
        </w:rPr>
        <w:t>•pay dividends to our common stockholders in accordance with our dividend policy; •repurchase our common stock and pay any associated taxes; and</w:t>
      </w:r>
    </w:p>
    <w:p>
      <w:pPr>
        <w:spacing w:after="0" w:line="204" w:lineRule="auto"/>
        <w:rPr>
          <w:sz w:val="20"/>
          <w:szCs w:val="20"/>
          <w:color w:val="auto"/>
        </w:rPr>
      </w:pPr>
      <w:r>
        <w:rPr>
          <w:rFonts w:ascii="Times New Roman" w:cs="Times New Roman" w:eastAsia="Times New Roman" w:hAnsi="Times New Roman"/>
          <w:sz w:val="16"/>
          <w:szCs w:val="16"/>
          <w:color w:val="auto"/>
        </w:rPr>
        <w:t>•settle tax withholding obligations in connection with net share settlements of equity-based awards.</w:t>
      </w:r>
    </w:p>
    <w:p>
      <w:pPr>
        <w:spacing w:after="0" w:line="1" w:lineRule="exact"/>
        <w:rPr>
          <w:sz w:val="20"/>
          <w:szCs w:val="20"/>
          <w:color w:val="auto"/>
        </w:rPr>
      </w:pPr>
    </w:p>
    <w:p>
      <w:pPr>
        <w:ind w:right="140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Common Stockholder Dividends. </w:t>
      </w:r>
      <w:r>
        <w:rPr>
          <w:rFonts w:ascii="Times New Roman" w:cs="Times New Roman" w:eastAsia="Times New Roman" w:hAnsi="Times New Roman"/>
          <w:sz w:val="16"/>
          <w:szCs w:val="16"/>
          <w:color w:val="auto"/>
        </w:rPr>
        <w:t>Under our dividend policy for our common stock, our intention is to pay dividends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our common stock in an amount of $0.35 per common share on a quarterly basis ($1.40 annually), which commenced with the first quarter 2023 dividend paid in May 2023. Prior to the first quarter 2023 dividend, we paid dividends to holders of our common stock in an amount of $ 0.325 per share of common stock ($1.30 annually). For U.S. federal income tax purposes, any dividends we pay generally will be treated as qualified dividend income (generally taxable to U.S. individual stockholders at capital gain rates) paid by a domestic corporation to the extent paid out of our current or accumulated earnings and profits, as determined for U.S. federal income tax purposes, with any excess dividends treated as return of capital to the extent of the stockholder’s basis. The declaration and payment of dividends to holders of our common stock will be at the sole discretion of our Board of Directors and in compliance with applicable law, and our dividend policy may be changed at any time.</w:t>
      </w:r>
    </w:p>
    <w:p>
      <w:pPr>
        <w:spacing w:after="0" w:line="4" w:lineRule="exact"/>
        <w:rPr>
          <w:sz w:val="20"/>
          <w:szCs w:val="20"/>
          <w:color w:val="auto"/>
        </w:rPr>
      </w:pPr>
    </w:p>
    <w:p>
      <w:pPr>
        <w:ind w:right="1560" w:firstLine="576"/>
        <w:spacing w:after="0" w:line="211" w:lineRule="auto"/>
        <w:rPr>
          <w:sz w:val="20"/>
          <w:szCs w:val="20"/>
          <w:color w:val="auto"/>
        </w:rPr>
      </w:pPr>
      <w:r>
        <w:rPr>
          <w:rFonts w:ascii="Times New Roman" w:cs="Times New Roman" w:eastAsia="Times New Roman" w:hAnsi="Times New Roman"/>
          <w:sz w:val="16"/>
          <w:szCs w:val="16"/>
          <w:color w:val="auto"/>
        </w:rPr>
        <w:t>With respect to dividend year 2024, the Board of Directors has declared a dividend to common stockholders totaling $502.8 million, or $1.40 per share, consisting of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Quarter</w:t>
            </w:r>
          </w:p>
        </w:tc>
        <w:tc>
          <w:tcPr>
            <w:tcW w:w="106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Dividend per</w:t>
            </w:r>
          </w:p>
        </w:tc>
        <w:tc>
          <w:tcPr>
            <w:tcW w:w="1220" w:type="dxa"/>
            <w:vAlign w:val="bottom"/>
            <w:tcBorders>
              <w:top w:val="single" w:sz="8" w:color="auto"/>
            </w:tcBorders>
            <w:gridSpan w:val="2"/>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Dividend to</w:t>
            </w:r>
          </w:p>
        </w:tc>
        <w:tc>
          <w:tcPr>
            <w:tcW w:w="14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Record Date</w:t>
            </w:r>
          </w:p>
        </w:tc>
        <w:tc>
          <w:tcPr>
            <w:tcW w:w="1800" w:type="dxa"/>
            <w:vAlign w:val="bottom"/>
            <w:tcBorders>
              <w:top w:val="single" w:sz="8" w:color="auto"/>
            </w:tcBorders>
          </w:tcPr>
          <w:p>
            <w:pPr>
              <w:ind w:left="200"/>
              <w:spacing w:after="0" w:line="156" w:lineRule="exact"/>
              <w:rPr>
                <w:sz w:val="20"/>
                <w:szCs w:val="20"/>
                <w:color w:val="auto"/>
              </w:rPr>
            </w:pPr>
            <w:r>
              <w:rPr>
                <w:rFonts w:ascii="Times New Roman" w:cs="Times New Roman" w:eastAsia="Times New Roman" w:hAnsi="Times New Roman"/>
                <w:sz w:val="16"/>
                <w:szCs w:val="16"/>
                <w:b w:val="1"/>
                <w:bCs w:val="1"/>
                <w:color w:val="auto"/>
              </w:rPr>
              <w:t>Payment Date</w:t>
            </w:r>
          </w:p>
        </w:tc>
      </w:tr>
      <w:tr>
        <w:trPr>
          <w:trHeight w:val="156"/>
        </w:trPr>
        <w:tc>
          <w:tcPr>
            <w:tcW w:w="1080" w:type="dxa"/>
            <w:vAlign w:val="bottom"/>
          </w:tcPr>
          <w:p>
            <w:pPr>
              <w:spacing w:after="0"/>
              <w:rPr>
                <w:sz w:val="13"/>
                <w:szCs w:val="13"/>
                <w:color w:val="auto"/>
              </w:rPr>
            </w:pPr>
          </w:p>
        </w:tc>
        <w:tc>
          <w:tcPr>
            <w:tcW w:w="6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Common</w:t>
            </w:r>
          </w:p>
        </w:tc>
        <w:tc>
          <w:tcPr>
            <w:tcW w:w="400" w:type="dxa"/>
            <w:vAlign w:val="bottom"/>
          </w:tcPr>
          <w:p>
            <w:pPr>
              <w:spacing w:after="0"/>
              <w:rPr>
                <w:sz w:val="13"/>
                <w:szCs w:val="13"/>
                <w:color w:val="auto"/>
              </w:rPr>
            </w:pPr>
          </w:p>
        </w:tc>
        <w:tc>
          <w:tcPr>
            <w:tcW w:w="72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Common</w:t>
            </w: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05"/>
        </w:trPr>
        <w:tc>
          <w:tcPr>
            <w:tcW w:w="10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40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28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0"/>
        </w:trPr>
        <w:tc>
          <w:tcPr>
            <w:tcW w:w="2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(Dollars in millions, except per share data)</w:t>
            </w: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Q1 2024</w:t>
            </w: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125.6</w:t>
            </w: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14, 2024</w:t>
            </w:r>
          </w:p>
        </w:tc>
        <w:tc>
          <w:tcPr>
            <w:tcW w:w="1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May 21, 2024</w:t>
            </w:r>
          </w:p>
        </w:tc>
      </w:tr>
      <w:tr>
        <w:trPr>
          <w:trHeight w:val="37"/>
        </w:trPr>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20"/>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Q2 2024</w:t>
            </w: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125.5</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16, 2024</w:t>
            </w:r>
          </w:p>
        </w:tc>
        <w:tc>
          <w:tcPr>
            <w:tcW w:w="1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August 26, 2024</w:t>
            </w: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Q3 2024</w:t>
            </w:r>
          </w:p>
        </w:tc>
        <w:tc>
          <w:tcPr>
            <w:tcW w:w="66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125.2</w:t>
            </w: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18, 2024</w:t>
            </w:r>
          </w:p>
        </w:tc>
        <w:tc>
          <w:tcPr>
            <w:tcW w:w="1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November 25, 2024</w:t>
            </w:r>
          </w:p>
        </w:tc>
      </w:tr>
      <w:tr>
        <w:trPr>
          <w:trHeight w:val="37"/>
        </w:trPr>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40"/>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Q4 2024</w:t>
            </w:r>
          </w:p>
        </w:tc>
        <w:tc>
          <w:tcPr>
            <w:tcW w:w="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126.5</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21, 2025</w:t>
            </w:r>
          </w:p>
        </w:tc>
        <w:tc>
          <w:tcPr>
            <w:tcW w:w="1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28, 2025</w:t>
            </w:r>
          </w:p>
        </w:tc>
      </w:t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502.8</w:t>
            </w:r>
          </w:p>
        </w:tc>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635</wp:posOffset>
            </wp:positionV>
            <wp:extent cx="14560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56055" cy="7620"/>
                    </a:xfrm>
                    <a:prstGeom prst="rect">
                      <a:avLst/>
                    </a:prstGeom>
                    <a:noFill/>
                  </pic:spPr>
                </pic:pic>
              </a:graphicData>
            </a:graphic>
          </wp:anchor>
        </w:drawing>
      </w:r>
    </w:p>
    <w:p>
      <w:pPr>
        <w:spacing w:after="0" w:line="4" w:lineRule="exact"/>
        <w:rPr>
          <w:sz w:val="20"/>
          <w:szCs w:val="20"/>
          <w:color w:val="auto"/>
        </w:rPr>
      </w:pPr>
    </w:p>
    <w:p>
      <w:pPr>
        <w:ind w:right="1640" w:firstLine="576"/>
        <w:spacing w:after="0" w:line="234" w:lineRule="auto"/>
        <w:rPr>
          <w:sz w:val="20"/>
          <w:szCs w:val="20"/>
          <w:color w:val="auto"/>
        </w:rPr>
      </w:pPr>
      <w:r>
        <w:rPr>
          <w:rFonts w:ascii="Times New Roman" w:cs="Times New Roman" w:eastAsia="Times New Roman" w:hAnsi="Times New Roman"/>
          <w:sz w:val="16"/>
          <w:szCs w:val="16"/>
          <w:color w:val="auto"/>
        </w:rPr>
        <w:t>With respect to dividend year 2023, the Board of Directors declared cumulative dividends to common stockholders totaling $506.0 million,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-219075</wp:posOffset>
            </wp:positionV>
            <wp:extent cx="14560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56055" cy="7620"/>
                    </a:xfrm>
                    <a:prstGeom prst="rect">
                      <a:avLst/>
                    </a:prstGeom>
                    <a:noFill/>
                  </pic:spPr>
                </pic:pic>
              </a:graphicData>
            </a:graphic>
          </wp:anchor>
        </w:drawing>
      </w:r>
    </w:p>
    <w:p>
      <w:pPr>
        <w:sectPr>
          <w:pgSz w:w="11900" w:h="16840" w:orient="portrait"/>
          <w:cols w:equalWidth="0" w:num="1">
            <w:col w:w="9400"/>
          </w:cols>
          <w:pgMar w:left="1060" w:top="557"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145</w:t>
      </w:r>
    </w:p>
    <w:p>
      <w:pPr>
        <w:spacing w:after="0" w:line="219"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Quarter</w:t>
            </w:r>
          </w:p>
        </w:tc>
        <w:tc>
          <w:tcPr>
            <w:tcW w:w="106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Dividend per</w:t>
            </w:r>
          </w:p>
        </w:tc>
        <w:tc>
          <w:tcPr>
            <w:tcW w:w="1220" w:type="dxa"/>
            <w:vAlign w:val="bottom"/>
            <w:tcBorders>
              <w:top w:val="single" w:sz="8" w:color="auto"/>
            </w:tcBorders>
            <w:gridSpan w:val="2"/>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Dividend to</w:t>
            </w:r>
          </w:p>
        </w:tc>
        <w:tc>
          <w:tcPr>
            <w:tcW w:w="14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Record Date</w:t>
            </w:r>
          </w:p>
        </w:tc>
        <w:tc>
          <w:tcPr>
            <w:tcW w:w="1800" w:type="dxa"/>
            <w:vAlign w:val="bottom"/>
            <w:tcBorders>
              <w:top w:val="single" w:sz="8" w:color="auto"/>
            </w:tcBorders>
          </w:tcPr>
          <w:p>
            <w:pPr>
              <w:ind w:left="200"/>
              <w:spacing w:after="0" w:line="156" w:lineRule="exact"/>
              <w:rPr>
                <w:sz w:val="20"/>
                <w:szCs w:val="20"/>
                <w:color w:val="auto"/>
              </w:rPr>
            </w:pPr>
            <w:r>
              <w:rPr>
                <w:rFonts w:ascii="Times New Roman" w:cs="Times New Roman" w:eastAsia="Times New Roman" w:hAnsi="Times New Roman"/>
                <w:sz w:val="16"/>
                <w:szCs w:val="16"/>
                <w:b w:val="1"/>
                <w:bCs w:val="1"/>
                <w:color w:val="auto"/>
              </w:rPr>
              <w:t>Payment Date</w:t>
            </w:r>
          </w:p>
        </w:tc>
      </w:tr>
      <w:tr>
        <w:trPr>
          <w:trHeight w:val="156"/>
        </w:trPr>
        <w:tc>
          <w:tcPr>
            <w:tcW w:w="1080" w:type="dxa"/>
            <w:vAlign w:val="bottom"/>
          </w:tcPr>
          <w:p>
            <w:pPr>
              <w:spacing w:after="0"/>
              <w:rPr>
                <w:sz w:val="13"/>
                <w:szCs w:val="13"/>
                <w:color w:val="auto"/>
              </w:rPr>
            </w:pPr>
          </w:p>
        </w:tc>
        <w:tc>
          <w:tcPr>
            <w:tcW w:w="66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Common</w:t>
            </w:r>
          </w:p>
        </w:tc>
        <w:tc>
          <w:tcPr>
            <w:tcW w:w="400" w:type="dxa"/>
            <w:vAlign w:val="bottom"/>
          </w:tcPr>
          <w:p>
            <w:pPr>
              <w:spacing w:after="0"/>
              <w:rPr>
                <w:sz w:val="13"/>
                <w:szCs w:val="13"/>
                <w:color w:val="auto"/>
              </w:rPr>
            </w:pPr>
          </w:p>
        </w:tc>
        <w:tc>
          <w:tcPr>
            <w:tcW w:w="720" w:type="dxa"/>
            <w:vAlign w:val="bottom"/>
          </w:tcPr>
          <w:p>
            <w:pPr>
              <w:ind w:left="60"/>
              <w:spacing w:after="0" w:line="156" w:lineRule="exact"/>
              <w:rPr>
                <w:sz w:val="20"/>
                <w:szCs w:val="20"/>
                <w:color w:val="auto"/>
              </w:rPr>
            </w:pPr>
            <w:r>
              <w:rPr>
                <w:rFonts w:ascii="Times New Roman" w:cs="Times New Roman" w:eastAsia="Times New Roman" w:hAnsi="Times New Roman"/>
                <w:sz w:val="16"/>
                <w:szCs w:val="16"/>
                <w:b w:val="1"/>
                <w:bCs w:val="1"/>
                <w:color w:val="auto"/>
              </w:rPr>
              <w:t>Common</w:t>
            </w: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05"/>
        </w:trPr>
        <w:tc>
          <w:tcPr>
            <w:tcW w:w="10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40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28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0"/>
        </w:trPr>
        <w:tc>
          <w:tcPr>
            <w:tcW w:w="2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(Dollars in millions, except per share data)</w:t>
            </w: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Q1 2023</w:t>
            </w: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126.7</w:t>
            </w: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16, 2023</w:t>
            </w:r>
          </w:p>
        </w:tc>
        <w:tc>
          <w:tcPr>
            <w:tcW w:w="1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May 23, 2023</w:t>
            </w:r>
          </w:p>
        </w:tc>
      </w:tr>
      <w:tr>
        <w:trPr>
          <w:trHeight w:val="37"/>
        </w:trPr>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20"/>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Q2 2023</w:t>
            </w:r>
          </w:p>
        </w:tc>
        <w:tc>
          <w:tcPr>
            <w:tcW w:w="6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126.3</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15, 2023</w:t>
            </w:r>
          </w:p>
        </w:tc>
        <w:tc>
          <w:tcPr>
            <w:tcW w:w="1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August 23, 2023</w:t>
            </w: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Q3 2023</w:t>
            </w:r>
          </w:p>
        </w:tc>
        <w:tc>
          <w:tcPr>
            <w:tcW w:w="660" w:type="dxa"/>
            <w:vAlign w:val="bottom"/>
          </w:tcPr>
          <w:p>
            <w:pPr>
              <w:spacing w:after="0"/>
              <w:rPr>
                <w:sz w:val="17"/>
                <w:szCs w:val="17"/>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Pr>
          <w:p>
            <w:pPr>
              <w:spacing w:after="0"/>
              <w:rPr>
                <w:sz w:val="17"/>
                <w:szCs w:val="17"/>
                <w:color w:val="auto"/>
              </w:rPr>
            </w:pPr>
          </w:p>
        </w:tc>
        <w:tc>
          <w:tcPr>
            <w:tcW w:w="5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126.3</w:t>
            </w:r>
          </w:p>
        </w:tc>
        <w:tc>
          <w:tcPr>
            <w:tcW w:w="1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21, 2023</w:t>
            </w:r>
          </w:p>
        </w:tc>
        <w:tc>
          <w:tcPr>
            <w:tcW w:w="1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November 29, 2023</w:t>
            </w:r>
          </w:p>
        </w:tc>
      </w:tr>
      <w:tr>
        <w:trPr>
          <w:trHeight w:val="37"/>
        </w:trPr>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40"/>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Q4 2023</w:t>
            </w:r>
          </w:p>
        </w:tc>
        <w:tc>
          <w:tcPr>
            <w:tcW w:w="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0.35</w:t>
            </w:r>
          </w:p>
        </w:tc>
        <w:tc>
          <w:tcPr>
            <w:tcW w:w="7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126.7</w:t>
            </w:r>
          </w:p>
        </w:tc>
        <w:tc>
          <w:tcPr>
            <w:tcW w:w="1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23, 2024</w:t>
            </w:r>
          </w:p>
        </w:tc>
        <w:tc>
          <w:tcPr>
            <w:tcW w:w="1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March 1, 2024</w:t>
            </w:r>
          </w:p>
        </w:tc>
      </w:t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w:t>
            </w:r>
          </w:p>
        </w:tc>
        <w:tc>
          <w:tcPr>
            <w:tcW w:w="7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506.0</w:t>
            </w:r>
          </w:p>
        </w:tc>
        <w:tc>
          <w:tcPr>
            <w:tcW w:w="144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635</wp:posOffset>
            </wp:positionV>
            <wp:extent cx="14560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4560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Dividends to common stockholders paid during the year ended December 31, 2024 totaled $503.0 million,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-101600</wp:posOffset>
            </wp:positionV>
            <wp:extent cx="14560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456055" cy="7620"/>
                    </a:xfrm>
                    <a:prstGeom prst="rect">
                      <a:avLst/>
                    </a:prstGeom>
                    <a:noFill/>
                  </pic:spPr>
                </pic:pic>
              </a:graphicData>
            </a:graphic>
          </wp:anchor>
        </w:drawing>
      </w:r>
    </w:p>
    <w:p>
      <w:pPr>
        <w:ind w:right="1560"/>
        <w:spacing w:after="0" w:line="203" w:lineRule="auto"/>
        <w:rPr>
          <w:sz w:val="20"/>
          <w:szCs w:val="20"/>
          <w:color w:val="auto"/>
        </w:rPr>
      </w:pPr>
      <w:r>
        <w:rPr>
          <w:rFonts w:ascii="Times New Roman" w:cs="Times New Roman" w:eastAsia="Times New Roman" w:hAnsi="Times New Roman"/>
          <w:sz w:val="16"/>
          <w:szCs w:val="16"/>
          <w:color w:val="auto"/>
        </w:rPr>
        <w:t>the amount paid in March 2024 of $0.35 per common share in respect of the fourth quarter of 2023. Dividends to common stockholders paid during the year ended December 31, 2023 totaled $497.7 million, including the amount paid in March 2023 of $0.325 per common share in respect of the fourth quarter of 2022.</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Fund Commitments. </w:t>
      </w:r>
      <w:r>
        <w:rPr>
          <w:rFonts w:ascii="Times New Roman" w:cs="Times New Roman" w:eastAsia="Times New Roman" w:hAnsi="Times New Roman"/>
          <w:sz w:val="16"/>
          <w:szCs w:val="16"/>
          <w:color w:val="auto"/>
        </w:rPr>
        <w:t>Generally 3% – 5% of all capital commitments to our investment funds are made by Carlyle,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Carlyle professionals, advisors, and other professionals. Carlyle will generally commit up to 1% of of capital commitments related to our carry funds, although we may elect to invest additional amounts in funds focused on new investment areas. We may, from time to time, exercise our right to purchase additional interests in our investment funds that become available in the ordinary course of their operations. We expect our senior Carlyle professionals and employees to continue to make significant capital contributions to our funds based on their existing commitments, and to make capital commitments to future funds consistent with the level of their historical commitments. We also intend to make investments in our open-end funds and our CLO vehicles. Our investments in our European CLO vehicles will comply with the risk retention rules as discussed in “Risk Retention Rules” later in this section.</w:t>
      </w:r>
    </w:p>
    <w:p>
      <w:pPr>
        <w:spacing w:after="0" w:line="4"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Since our inception through December 31, 2024, we and our senior Carlyle professionals, operating executives and other professionals have invested or committed to invest in or alongside our funds. Generally 3% to 5% of all capital commitments to our funds are funded collectively by us and our senior Carlyle professionals, operating executives and other professionals.</w:t>
      </w:r>
    </w:p>
    <w:p>
      <w:pPr>
        <w:spacing w:after="0" w:line="2"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A substantial majority of the remaining commitments are expected to be funded by senior Carlyle professionals, operating executives, and other professionals through our internal co- investment program. Of the $4.2 billion of unfunded commitments, approximately $ 3.5 billion is subscribed individually by senior Carlyle professionals, operating executives, and other professionals, with the balance funded directly by the Company. Approximately 76% of the $4.2 billion of unfunded commitments relate to investment funds in our Global Private Equity segment.</w:t>
      </w:r>
    </w:p>
    <w:p>
      <w:pPr>
        <w:spacing w:after="0" w:line="206" w:lineRule="auto"/>
        <w:rPr>
          <w:sz w:val="20"/>
          <w:szCs w:val="20"/>
          <w:color w:val="auto"/>
        </w:rPr>
      </w:pPr>
      <w:r>
        <w:rPr>
          <w:rFonts w:ascii="Times New Roman" w:cs="Times New Roman" w:eastAsia="Times New Roman" w:hAnsi="Times New Roman"/>
          <w:sz w:val="16"/>
          <w:szCs w:val="16"/>
          <w:color w:val="auto"/>
        </w:rPr>
        <w:t>Under the Carlyle Global Capital Markets platform, certain of our subsidiaries may act as an underwriter, syndicator,</w:t>
      </w:r>
    </w:p>
    <w:p>
      <w:pPr>
        <w:ind w:right="1580"/>
        <w:spacing w:after="0" w:line="203" w:lineRule="auto"/>
        <w:rPr>
          <w:sz w:val="20"/>
          <w:szCs w:val="20"/>
          <w:color w:val="auto"/>
        </w:rPr>
      </w:pPr>
      <w:r>
        <w:rPr>
          <w:rFonts w:ascii="Times New Roman" w:cs="Times New Roman" w:eastAsia="Times New Roman" w:hAnsi="Times New Roman"/>
          <w:sz w:val="16"/>
          <w:szCs w:val="16"/>
          <w:color w:val="auto"/>
        </w:rPr>
        <w:t>or placement agent for security offerings and loan originations. We earn fees in connection with these activities and bear the risk of the sale of such securities and placement of such loans, which may be longer dated. As of December 31, 2024, there were $ 15.3 million in commitments related to the origination and syndication of loans and securities under the Carlyle Global Capital Markets platform, of which $4.3 million was extinguished in January and February 2025.</w:t>
      </w:r>
    </w:p>
    <w:p>
      <w:pPr>
        <w:spacing w:after="0" w:line="2" w:lineRule="exact"/>
        <w:rPr>
          <w:sz w:val="20"/>
          <w:szCs w:val="20"/>
          <w:color w:val="auto"/>
        </w:rPr>
      </w:pPr>
    </w:p>
    <w:p>
      <w:pPr>
        <w:ind w:right="1480" w:firstLine="576"/>
        <w:spacing w:after="0" w:line="208" w:lineRule="auto"/>
        <w:rPr>
          <w:sz w:val="20"/>
          <w:szCs w:val="20"/>
          <w:color w:val="auto"/>
        </w:rPr>
      </w:pPr>
      <w:r>
        <w:rPr>
          <w:rFonts w:ascii="Times New Roman" w:cs="Times New Roman" w:eastAsia="Times New Roman" w:hAnsi="Times New Roman"/>
          <w:sz w:val="16"/>
          <w:szCs w:val="16"/>
          <w:i w:val="1"/>
          <w:iCs w:val="1"/>
          <w:color w:val="auto"/>
        </w:rPr>
        <w:t xml:space="preserve">Repurchase Program. </w:t>
      </w:r>
      <w:r>
        <w:rPr>
          <w:rFonts w:ascii="Times New Roman" w:cs="Times New Roman" w:eastAsia="Times New Roman" w:hAnsi="Times New Roman"/>
          <w:sz w:val="16"/>
          <w:szCs w:val="16"/>
          <w:color w:val="auto"/>
        </w:rPr>
        <w:t>For the year ended December 31, 2024, we paid an aggregate of $395.6 million to repurchase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retire approximately 9.0 million shares of common stock. In addition, for the year ended December 31, 2024, we paid an aggregate of $ 159.0 million and retired 3.3 million shares of common stock to settle tax withholding obligations in connection with net share settlements of equity- based awards, for a total of $554.6 million shares repurchased or withheld this year. As of December 31, 2024, $852.2 million of repurchase capacity remained under the share repurchase program, which reflects the cost of common shares repurchased as well as shares settled for tax withholding payments made by the Company related to the net share settlement of equity-based awards. For further information on our repurchase program, see Note 13, Equity, to the consolidated financial statements.</w:t>
      </w:r>
    </w:p>
    <w:p>
      <w:pPr>
        <w:sectPr>
          <w:pgSz w:w="11900" w:h="16840" w:orient="portrait"/>
          <w:cols w:equalWidth="0" w:num="1">
            <w:col w:w="9400"/>
          </w:cols>
          <w:pgMar w:left="1060" w:top="1440" w:right="1440" w:bottom="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146</w:t>
      </w:r>
    </w:p>
    <w:p>
      <w:pPr>
        <w:spacing w:after="0" w:line="232" w:lineRule="auto"/>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ectPr>
          <w:pgSz w:w="11900" w:h="16840" w:orient="portrait"/>
          <w:cols w:equalWidth="0" w:num="1">
            <w:col w:w="9400"/>
          </w:cols>
          <w:pgMar w:left="1060" w:top="1440" w:right="1440" w:bottom="56" w:gutter="0" w:footer="0" w:header="0"/>
          <w:type w:val="continuous"/>
        </w:sectPr>
      </w:pPr>
    </w:p>
    <w:bookmarkStart w:id="119" w:name="page120"/>
    <w:bookmarkEnd w:id="119"/>
    <w:p>
      <w:pPr>
        <w:ind w:right="2040"/>
        <w:spacing w:after="0" w:line="222" w:lineRule="auto"/>
        <w:rPr>
          <w:sz w:val="20"/>
          <w:szCs w:val="20"/>
          <w:color w:val="auto"/>
        </w:rPr>
      </w:pPr>
      <w:r>
        <w:rPr>
          <w:rFonts w:ascii="Times New Roman" w:cs="Times New Roman" w:eastAsia="Times New Roman" w:hAnsi="Times New Roman"/>
          <w:sz w:val="16"/>
          <w:szCs w:val="16"/>
          <w:color w:val="auto"/>
        </w:rPr>
        <w:t>The significant captions and amounts from our consolidated statements of cash flows, which include the effects of our Consolidated Funds and CLOs in accordance with U.S. GAAP, are summarized below.</w:t>
      </w: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72"/>
        </w:trPr>
        <w:tc>
          <w:tcPr>
            <w:tcW w:w="522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r>
      <w:tr>
        <w:trPr>
          <w:trHeight w:val="172"/>
        </w:trPr>
        <w:tc>
          <w:tcPr>
            <w:tcW w:w="52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Statements of Cash Flows Data</w:t>
            </w: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6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204.9</w:t>
            </w:r>
          </w:p>
        </w:tc>
      </w:tr>
      <w:tr>
        <w:trPr>
          <w:trHeight w:val="21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w:t>
            </w:r>
          </w:p>
        </w:tc>
      </w:tr>
      <w:tr>
        <w:trPr>
          <w:trHeight w:val="188"/>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5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682.8</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r>
      <w:tr>
        <w:trPr>
          <w:trHeight w:val="40"/>
        </w:trPr>
        <w:tc>
          <w:tcPr>
            <w:tcW w:w="5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28"/>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5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w:t>
            </w:r>
          </w:p>
        </w:tc>
      </w:tr>
      <w:tr>
        <w:trPr>
          <w:trHeight w:val="18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60" w:type="dxa"/>
            <w:vAlign w:val="bottom"/>
          </w:tcPr>
          <w:p>
            <w:pPr>
              <w:spacing w:after="0"/>
              <w:rPr>
                <w:sz w:val="15"/>
                <w:szCs w:val="15"/>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2540</wp:posOffset>
            </wp:positionV>
            <wp:extent cx="159321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5" w:lineRule="exact"/>
        <w:rPr>
          <w:sz w:val="20"/>
          <w:szCs w:val="20"/>
          <w:color w:val="auto"/>
        </w:rPr>
      </w:pPr>
    </w:p>
    <w:p>
      <w:pPr>
        <w:ind w:right="1480"/>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Net cash provided by (used in) operating activities. </w:t>
      </w:r>
      <w:r>
        <w:rPr>
          <w:rFonts w:ascii="Times New Roman" w:cs="Times New Roman" w:eastAsia="Times New Roman" w:hAnsi="Times New Roman"/>
          <w:sz w:val="16"/>
          <w:szCs w:val="16"/>
          <w:color w:val="auto"/>
        </w:rPr>
        <w:t>Net cash provided by (used in) operating activities includes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activity of our Consolidated Funds. Excluding this activity, net cash provided by operating activities was primarily driven by our earnings in the respective periods after adjusting for significant non-cash activity, including non-cash performance allocations and incentive fees, the related non-cash performance allocations and incentive fee related compensation, non-cash equity-based compensation, and depreciation, amortization and impairments, all of which are included in earnings. Operating cash inflows primarily include the receipt of management fees, realized performance allocations and incentive fees, while operating cash outflows primarily include payments for operating expenses, including compensation and general, administrative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-791845</wp:posOffset>
            </wp:positionV>
            <wp:extent cx="159321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593215" cy="7620"/>
                    </a:xfrm>
                    <a:prstGeom prst="rect">
                      <a:avLst/>
                    </a:prstGeom>
                    <a:noFill/>
                  </pic:spPr>
                </pic:pic>
              </a:graphicData>
            </a:graphic>
          </wp:anchor>
        </w:drawing>
      </w:r>
    </w:p>
    <w:p>
      <w:pPr>
        <w:spacing w:after="0" w:line="210" w:lineRule="auto"/>
        <w:rPr>
          <w:sz w:val="20"/>
          <w:szCs w:val="20"/>
          <w:color w:val="auto"/>
        </w:rPr>
      </w:pPr>
      <w:r>
        <w:rPr>
          <w:rFonts w:ascii="Times New Roman" w:cs="Times New Roman" w:eastAsia="Times New Roman" w:hAnsi="Times New Roman"/>
          <w:sz w:val="16"/>
          <w:szCs w:val="16"/>
          <w:color w:val="auto"/>
        </w:rPr>
        <w:t>Cash flows from operating activities for the years ended December 31, 2024 and 2023, excluding the activities of our</w:t>
      </w:r>
    </w:p>
    <w:p>
      <w:pPr>
        <w:spacing w:after="0" w:line="232" w:lineRule="auto"/>
        <w:rPr>
          <w:sz w:val="20"/>
          <w:szCs w:val="20"/>
          <w:color w:val="auto"/>
        </w:rPr>
      </w:pPr>
      <w:r>
        <w:rPr>
          <w:rFonts w:ascii="Times New Roman" w:cs="Times New Roman" w:eastAsia="Times New Roman" w:hAnsi="Times New Roman"/>
          <w:sz w:val="14"/>
          <w:szCs w:val="14"/>
          <w:color w:val="auto"/>
        </w:rPr>
        <w:t>Consolidated Funds, were $1.1 billion and $1.0 billion, respectively. During the years ended December 31, 2024 and 2023, net</w:t>
      </w:r>
    </w:p>
    <w:p>
      <w:pPr>
        <w:spacing w:after="0" w:line="233" w:lineRule="auto"/>
        <w:rPr>
          <w:sz w:val="20"/>
          <w:szCs w:val="20"/>
          <w:color w:val="auto"/>
        </w:rPr>
      </w:pPr>
      <w:r>
        <w:rPr>
          <w:rFonts w:ascii="Times New Roman" w:cs="Times New Roman" w:eastAsia="Times New Roman" w:hAnsi="Times New Roman"/>
          <w:sz w:val="14"/>
          <w:szCs w:val="14"/>
          <w:color w:val="auto"/>
        </w:rPr>
        <w:t>cash provided by operating activities primarily included the receipt of management fees and realized performance allocations</w:t>
      </w:r>
    </w:p>
    <w:p>
      <w:pPr>
        <w:spacing w:after="0" w:line="203" w:lineRule="auto"/>
        <w:rPr>
          <w:sz w:val="20"/>
          <w:szCs w:val="20"/>
          <w:color w:val="auto"/>
        </w:rPr>
      </w:pPr>
      <w:r>
        <w:rPr>
          <w:rFonts w:ascii="Times New Roman" w:cs="Times New Roman" w:eastAsia="Times New Roman" w:hAnsi="Times New Roman"/>
          <w:sz w:val="16"/>
          <w:szCs w:val="16"/>
          <w:color w:val="auto"/>
        </w:rPr>
        <w:t>and incentive fees, totaling approximately $3.4 billion and $3.0 billion, respectively. These inflows were partially offset by</w:t>
      </w:r>
    </w:p>
    <w:p>
      <w:pPr>
        <w:spacing w:after="0" w:line="204" w:lineRule="auto"/>
        <w:rPr>
          <w:sz w:val="20"/>
          <w:szCs w:val="20"/>
          <w:color w:val="auto"/>
        </w:rPr>
      </w:pPr>
      <w:r>
        <w:rPr>
          <w:rFonts w:ascii="Times New Roman" w:cs="Times New Roman" w:eastAsia="Times New Roman" w:hAnsi="Times New Roman"/>
          <w:sz w:val="16"/>
          <w:szCs w:val="16"/>
          <w:color w:val="auto"/>
        </w:rPr>
        <w:t>payments for compensation, income taxes, interest, and general, administrative and other expenses of approximately $2.5</w:t>
      </w:r>
    </w:p>
    <w:p>
      <w:pPr>
        <w:spacing w:after="0" w:line="203" w:lineRule="auto"/>
        <w:rPr>
          <w:sz w:val="20"/>
          <w:szCs w:val="20"/>
          <w:color w:val="auto"/>
        </w:rPr>
      </w:pPr>
      <w:r>
        <w:rPr>
          <w:rFonts w:ascii="Times New Roman" w:cs="Times New Roman" w:eastAsia="Times New Roman" w:hAnsi="Times New Roman"/>
          <w:sz w:val="16"/>
          <w:szCs w:val="16"/>
          <w:color w:val="auto"/>
        </w:rPr>
        <w:t>billion and $2.4 billion for the years ended December 31, 2024 and 2023, respectively. Operating outflows during the year</w:t>
      </w:r>
    </w:p>
    <w:p>
      <w:pPr>
        <w:spacing w:after="0" w:line="204" w:lineRule="auto"/>
        <w:rPr>
          <w:sz w:val="20"/>
          <w:szCs w:val="20"/>
          <w:color w:val="auto"/>
        </w:rPr>
      </w:pPr>
      <w:r>
        <w:rPr>
          <w:rFonts w:ascii="Times New Roman" w:cs="Times New Roman" w:eastAsia="Times New Roman" w:hAnsi="Times New Roman"/>
          <w:sz w:val="16"/>
          <w:szCs w:val="16"/>
          <w:color w:val="auto"/>
        </w:rPr>
        <w:t>ended December 31, 2023 also included a $68.6 million payment relating to the Carlyle Aviation Partners earn-out and a</w:t>
      </w:r>
    </w:p>
    <w:p>
      <w:pPr>
        <w:spacing w:after="0" w:line="233" w:lineRule="auto"/>
        <w:rPr>
          <w:sz w:val="20"/>
          <w:szCs w:val="20"/>
          <w:color w:val="auto"/>
        </w:rPr>
      </w:pPr>
      <w:r>
        <w:rPr>
          <w:rFonts w:ascii="Times New Roman" w:cs="Times New Roman" w:eastAsia="Times New Roman" w:hAnsi="Times New Roman"/>
          <w:sz w:val="14"/>
          <w:szCs w:val="14"/>
          <w:color w:val="auto"/>
        </w:rPr>
        <w:t>$20.3 million payment to the former Carlyle Holdings unitholders related to amounts owed under the tax receivable agreement.</w:t>
      </w:r>
    </w:p>
    <w:p>
      <w:pPr>
        <w:spacing w:after="0" w:line="203" w:lineRule="auto"/>
        <w:rPr>
          <w:sz w:val="20"/>
          <w:szCs w:val="20"/>
          <w:color w:val="auto"/>
        </w:rPr>
      </w:pPr>
      <w:r>
        <w:rPr>
          <w:rFonts w:ascii="Times New Roman" w:cs="Times New Roman" w:eastAsia="Times New Roman" w:hAnsi="Times New Roman"/>
          <w:sz w:val="16"/>
          <w:szCs w:val="16"/>
          <w:color w:val="auto"/>
        </w:rPr>
        <w:t>See Note 17, Supplemental Financial Information.</w:t>
      </w:r>
    </w:p>
    <w:p>
      <w:pPr>
        <w:spacing w:after="0" w:line="1" w:lineRule="exact"/>
        <w:rPr>
          <w:sz w:val="20"/>
          <w:szCs w:val="20"/>
          <w:color w:val="auto"/>
        </w:rPr>
      </w:pPr>
    </w:p>
    <w:p>
      <w:pPr>
        <w:ind w:right="1420" w:firstLine="39"/>
        <w:spacing w:after="0" w:line="203" w:lineRule="auto"/>
        <w:rPr>
          <w:sz w:val="20"/>
          <w:szCs w:val="20"/>
          <w:color w:val="auto"/>
        </w:rPr>
      </w:pPr>
      <w:r>
        <w:rPr>
          <w:rFonts w:ascii="Times New Roman" w:cs="Times New Roman" w:eastAsia="Times New Roman" w:hAnsi="Times New Roman"/>
          <w:sz w:val="16"/>
          <w:szCs w:val="16"/>
          <w:color w:val="auto"/>
        </w:rPr>
        <w:t>Cash used to purchase investments, as well as the proceeds from the sale of such investments are also reflected in our operating activities as investments are a normal part of our operating activities. During the year ended December 31, 2024, investment proceeds were $498.0 million as compared to investment purchases of $385.9 million, which included a $115.1 million deferred consideration payment related to our investment in Fortitude. During the year ended December 31, 2023, investment proceeds were $472.2 million while investment purchases were $301.2 million, which included our $50.0 million follow-on investment in Carlyle FRL and our $40.0 million investment in Carlyle Capital Income Fund, an NYSE listed closed-end fund that primarily invests in equity and junior debt tranches of CLOs.</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The net cash provided by operating activities for the year ended December 31, 2024 also reflects the investment activity of our Consolidated Funds. For the year ended December 31, 2024, proceeds from the sales and settlements of investments by the Consolidated Funds were $5.5 billion, while purchases of investments by the Consolidated Funds were $7.4 billion. For the year ended December 31, 2023, proceeds from the sales and settlements of investments by the Consolidated Funds were $2.3 billion, while purchases of investments by the Consolidated Funds were $3.1 billion.</w:t>
      </w:r>
    </w:p>
    <w:p>
      <w:pPr>
        <w:spacing w:after="0" w:line="2"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Net cash used in investing activities. </w:t>
      </w:r>
      <w:r>
        <w:rPr>
          <w:rFonts w:ascii="Times New Roman" w:cs="Times New Roman" w:eastAsia="Times New Roman" w:hAnsi="Times New Roman"/>
          <w:sz w:val="16"/>
          <w:szCs w:val="16"/>
          <w:color w:val="auto"/>
        </w:rPr>
        <w:t>Our investing activities generally reflect cash used for fixed assets, software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internal use, and corporate treasury investments. For the year ended December 31, 2024, cash used in investing activities principally reflects purchases of fixed assets of $ 77.7 million. For the year ended December 31, 2023, cash used in investing activities principally reflects purchases of corporate treasury investments of $187.3 million and net purchases of fixed assets of $66.6 million, partially offset by proceeds from corporate treasury investments of $ 210.3 million.</w:t>
      </w:r>
    </w:p>
    <w:p>
      <w:pPr>
        <w:spacing w:after="0" w:line="2" w:lineRule="exact"/>
        <w:rPr>
          <w:sz w:val="20"/>
          <w:szCs w:val="20"/>
          <w:color w:val="auto"/>
        </w:rPr>
      </w:pPr>
    </w:p>
    <w:p>
      <w:pPr>
        <w:ind w:right="140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Net cash provided by (used in) financing activities. </w:t>
      </w:r>
      <w:r>
        <w:rPr>
          <w:rFonts w:ascii="Times New Roman" w:cs="Times New Roman" w:eastAsia="Times New Roman" w:hAnsi="Times New Roman"/>
          <w:sz w:val="14"/>
          <w:szCs w:val="14"/>
          <w:color w:val="auto"/>
        </w:rPr>
        <w:t>Net cash provided by (used in) financing activities during the years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2024 and 2023, excluding the activities of our Consolidated Funds, was $ (1.2) billion and $(0.8) billion, respectively. For the year ended December 31, 2024, we borrowed and subsequently repaid an aggregate of $ 10.4 million under the Global Credit Revolving Credit Facility. We also paid $68.8 million in each of January 2024 and January 2023,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000"/>
        <w:spacing w:after="0" w:line="203" w:lineRule="auto"/>
        <w:rPr>
          <w:sz w:val="20"/>
          <w:szCs w:val="20"/>
          <w:color w:val="auto"/>
        </w:rPr>
      </w:pPr>
      <w:r>
        <w:rPr>
          <w:rFonts w:ascii="Times New Roman" w:cs="Times New Roman" w:eastAsia="Times New Roman" w:hAnsi="Times New Roman"/>
          <w:sz w:val="16"/>
          <w:szCs w:val="16"/>
          <w:color w:val="auto"/>
        </w:rPr>
        <w:t>the final and fourth annual installments, respectively, of the deferred consideration payable to former Carlyle Holdings unitholders in connection with the Conversion. See Note 17, Supplemental Financial Information.</w:t>
      </w:r>
    </w:p>
    <w:p>
      <w:pPr>
        <w:spacing w:after="0" w:line="204" w:lineRule="auto"/>
        <w:rPr>
          <w:sz w:val="20"/>
          <w:szCs w:val="20"/>
          <w:color w:val="auto"/>
        </w:rPr>
      </w:pPr>
      <w:r>
        <w:rPr>
          <w:rFonts w:ascii="Times New Roman" w:cs="Times New Roman" w:eastAsia="Times New Roman" w:hAnsi="Times New Roman"/>
          <w:sz w:val="16"/>
          <w:szCs w:val="16"/>
          <w:color w:val="auto"/>
        </w:rPr>
        <w:t>Dividends paid to our common stockholders were $503.0 million and $497.7 million for the years ended December 31,</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2024 and 2023, respectively, and we paid $554.6 million and $203.5 million, respectively, to repurchase and retire 12.3 million and 6.5 million shares, respectively, which included shares retired in connection with the net share settlement of equity- based awards during the year ended December 31, 2024.</w:t>
      </w:r>
    </w:p>
    <w:p>
      <w:pPr>
        <w:spacing w:after="0" w:line="205" w:lineRule="auto"/>
        <w:rPr>
          <w:sz w:val="20"/>
          <w:szCs w:val="20"/>
          <w:color w:val="auto"/>
        </w:rPr>
      </w:pPr>
      <w:r>
        <w:rPr>
          <w:rFonts w:ascii="Times New Roman" w:cs="Times New Roman" w:eastAsia="Times New Roman" w:hAnsi="Times New Roman"/>
          <w:sz w:val="16"/>
          <w:szCs w:val="16"/>
          <w:color w:val="auto"/>
        </w:rPr>
        <w:t>The net borrowings (payments) on loans payable by our Consolidated Funds during the years ended December 31,</w:t>
      </w:r>
    </w:p>
    <w:p>
      <w:pPr>
        <w:ind w:right="1420"/>
        <w:spacing w:after="0" w:line="203" w:lineRule="auto"/>
        <w:rPr>
          <w:sz w:val="20"/>
          <w:szCs w:val="20"/>
          <w:color w:val="auto"/>
        </w:rPr>
      </w:pPr>
      <w:r>
        <w:rPr>
          <w:rFonts w:ascii="Times New Roman" w:cs="Times New Roman" w:eastAsia="Times New Roman" w:hAnsi="Times New Roman"/>
          <w:sz w:val="16"/>
          <w:szCs w:val="16"/>
          <w:color w:val="auto"/>
        </w:rPr>
        <w:t>2024 and 2023 were $1,825.0 million and $700.6 million, respectively. For the years ended December 31, 2024 and 2023, contributions from non-controlling interest holders were $ 319.5 million and $177.0 million, respectively, which relate primarily to contributions from the non-controlling interest holders in Consolidated Funds. For the years ended December 31, 2024 and 2023, distributions to non-controlling interest holders were $178.4 million and $139.7 million, respectively, which relate primarily to distributions to the non-controlling interest holders in Consolidated Funds.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Our Balance Sheet</w:t>
      </w:r>
    </w:p>
    <w:p>
      <w:pPr>
        <w:ind w:right="1400" w:firstLine="576"/>
        <w:spacing w:after="0" w:line="208" w:lineRule="auto"/>
        <w:rPr>
          <w:sz w:val="20"/>
          <w:szCs w:val="20"/>
          <w:color w:val="auto"/>
        </w:rPr>
      </w:pPr>
      <w:r>
        <w:rPr>
          <w:rFonts w:ascii="Times New Roman" w:cs="Times New Roman" w:eastAsia="Times New Roman" w:hAnsi="Times New Roman"/>
          <w:sz w:val="16"/>
          <w:szCs w:val="16"/>
          <w:color w:val="auto"/>
        </w:rPr>
        <w:t>Total assets were $23.1 billion at December 31, 2024, an increase of $ 1.9 billion from December 31, 2023. The increase in total assets was primarily attributable to an increase in Investments, including performance allocations of $1.0 billion, an increase in Investments in Consolidated Funds of $0.5 billion, and an increase in Cash and cash equivalents held at Consolidated Funds of $ 0.5 billion. These were partially offset by a decrease in Cash and cash equivalents of $0.2 billion. The increase in Investments, including performance allocations was primarily due to an increase in Accrued performance allocations related to CP VII and CP VIII. Refer to “—Cash Flows” in Part II, Item 8 of this Annual Report on Form 10-K for details on the decrease in Cash and cash equivalents.</w:t>
      </w:r>
    </w:p>
    <w:p>
      <w:pPr>
        <w:sectPr>
          <w:pgSz w:w="11900" w:h="16840" w:orient="portrait"/>
          <w:cols w:equalWidth="0" w:num="1">
            <w:col w:w="9400"/>
          </w:cols>
          <w:pgMar w:left="1060" w:top="557" w:right="1440" w:bottom="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Total liabilities were $16.8 billion at December 31, 2024, an increase of $1.4 billion from December 31, 2023. The</w:t>
      </w:r>
    </w:p>
    <w:p>
      <w:pPr>
        <w:ind w:right="1420"/>
        <w:spacing w:after="0" w:line="232" w:lineRule="auto"/>
        <w:rPr>
          <w:sz w:val="20"/>
          <w:szCs w:val="20"/>
          <w:color w:val="auto"/>
        </w:rPr>
      </w:pPr>
      <w:r>
        <w:rPr>
          <w:rFonts w:ascii="Times New Roman" w:cs="Times New Roman" w:eastAsia="Times New Roman" w:hAnsi="Times New Roman"/>
          <w:sz w:val="14"/>
          <w:szCs w:val="14"/>
          <w:color w:val="auto"/>
        </w:rPr>
        <w:t>increase in liabilities was primarily attributable to an increase in Accrued compensation and benefits of $0.5 billion, an increase in Other liabilities of Consolidated Funds of $0.5 billion, and an increase in Loans payable of Consolidated Funds of $0.4 billion. The increase in Accrued compensation and benefits was primarily due to accruals of Performance allocations.</w:t>
      </w:r>
    </w:p>
    <w:p>
      <w:pPr>
        <w:spacing w:after="0" w:line="1"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The assets and liabilities of the Consolidated Funds are generally held within separate legal entities and, as a result, the assets of the Consolidated Funds are not available to meet our liquidity requirements and similarly the liabilities of the Consolidated Funds are non-recourse to us. In addition, as previously discussed, the CLO term loans generally are secured by the Company’s investment in the CLO, have a general unsecured interest in the Carlyle entity that manages the CLO, and do not have recourse to any other Carlyle entity.</w:t>
      </w:r>
    </w:p>
    <w:p>
      <w:pPr>
        <w:spacing w:after="0" w:line="206" w:lineRule="auto"/>
        <w:rPr>
          <w:sz w:val="20"/>
          <w:szCs w:val="20"/>
          <w:color w:val="auto"/>
        </w:rPr>
      </w:pPr>
      <w:r>
        <w:rPr>
          <w:rFonts w:ascii="Times New Roman" w:cs="Times New Roman" w:eastAsia="Times New Roman" w:hAnsi="Times New Roman"/>
          <w:sz w:val="16"/>
          <w:szCs w:val="16"/>
          <w:color w:val="auto"/>
        </w:rPr>
        <w:t>Our balance sheet without the effect of the Consolidated Funds can be seen in Note 17, Supplemental Financial</w:t>
      </w:r>
    </w:p>
    <w:p>
      <w:pPr>
        <w:jc w:val="both"/>
        <w:ind w:right="1460"/>
        <w:spacing w:after="0" w:line="203" w:lineRule="auto"/>
        <w:rPr>
          <w:sz w:val="20"/>
          <w:szCs w:val="20"/>
          <w:color w:val="auto"/>
        </w:rPr>
      </w:pPr>
      <w:r>
        <w:rPr>
          <w:rFonts w:ascii="Times New Roman" w:cs="Times New Roman" w:eastAsia="Times New Roman" w:hAnsi="Times New Roman"/>
          <w:sz w:val="16"/>
          <w:szCs w:val="16"/>
          <w:color w:val="auto"/>
        </w:rPr>
        <w:t>Information, to the consolidated financial statements included in this Annual Report on Form 10-K. At December 31, 2024, our total assets without the effect of the Consolidated Funds were $14.9 billion, including cash and cash equivalents of $1.3 billion and net accrued performance revenues of $2.7 billion.</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Unconsolidated Entities</w:t>
      </w:r>
    </w:p>
    <w:p>
      <w:pPr>
        <w:ind w:right="1700"/>
        <w:spacing w:after="0" w:line="203" w:lineRule="auto"/>
        <w:rPr>
          <w:sz w:val="20"/>
          <w:szCs w:val="20"/>
          <w:color w:val="auto"/>
        </w:rPr>
      </w:pPr>
      <w:r>
        <w:rPr>
          <w:rFonts w:ascii="Times New Roman" w:cs="Times New Roman" w:eastAsia="Times New Roman" w:hAnsi="Times New Roman"/>
          <w:sz w:val="16"/>
          <w:szCs w:val="16"/>
          <w:color w:val="auto"/>
        </w:rPr>
        <w:t>Certain of our funds have entered into lines of credit secured by their investors’ unpaid capital commitments or by a pledge of the equity of the underlying investment. These lines of credit are used primarily to reduce the overall number of capital calls to investors or for working capital needs. In certain instances, however, they may be used for other investment related activities, including serving as bridge financing for investments. The degree of leverage employed varies among our funds.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203" w:lineRule="auto"/>
        <w:rPr>
          <w:sz w:val="20"/>
          <w:szCs w:val="20"/>
          <w:color w:val="auto"/>
        </w:rPr>
      </w:pPr>
      <w:r>
        <w:rPr>
          <w:rFonts w:ascii="Times New Roman" w:cs="Times New Roman" w:eastAsia="Times New Roman" w:hAnsi="Times New Roman"/>
          <w:sz w:val="16"/>
          <w:szCs w:val="16"/>
          <w:color w:val="auto"/>
        </w:rPr>
        <w:t>In the normal course of business, we enter into various off-balance sheet arrangements including sponsoring and</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owning limited or general partner interests in consolidated and non-consolidated funds, entering into derivative transactions, and entering into guarantee arrangements. We also have ongoing capital commitment arrangements with certain of our consolidated and non-consolidated funds. We do not have any other off- balance sheet arrangements that would require us to fund losses or guarantee target returns to investors in any of our other investment funds.</w:t>
      </w:r>
    </w:p>
    <w:p>
      <w:pPr>
        <w:spacing w:after="0" w:line="2" w:lineRule="exact"/>
        <w:rPr>
          <w:sz w:val="20"/>
          <w:szCs w:val="20"/>
          <w:color w:val="auto"/>
        </w:rPr>
      </w:pPr>
    </w:p>
    <w:p>
      <w:pPr>
        <w:ind w:right="1480"/>
        <w:spacing w:after="0" w:line="216" w:lineRule="auto"/>
        <w:rPr>
          <w:sz w:val="20"/>
          <w:szCs w:val="20"/>
          <w:color w:val="auto"/>
        </w:rPr>
      </w:pPr>
      <w:r>
        <w:rPr>
          <w:rFonts w:ascii="Times New Roman" w:cs="Times New Roman" w:eastAsia="Times New Roman" w:hAnsi="Times New Roman"/>
          <w:sz w:val="16"/>
          <w:szCs w:val="16"/>
          <w:color w:val="auto"/>
        </w:rPr>
        <w:t>For further information regarding our off-balance sheet arrangements, see Note 2, Summary of Significant Accounting Policies, and Note 8, Commitments and Contingencies, to the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ind w:right="2500"/>
        <w:spacing w:after="0" w:line="210" w:lineRule="auto"/>
        <w:rPr>
          <w:sz w:val="20"/>
          <w:szCs w:val="20"/>
          <w:color w:val="auto"/>
        </w:rPr>
      </w:pPr>
      <w:r>
        <w:rPr>
          <w:rFonts w:ascii="Times New Roman" w:cs="Times New Roman" w:eastAsia="Times New Roman" w:hAnsi="Times New Roman"/>
          <w:sz w:val="16"/>
          <w:szCs w:val="16"/>
          <w:color w:val="auto"/>
        </w:rPr>
        <w:t>The following table sets forth information relating to our contractual obligations as of December 31, 2024 on a consolidated basis and on a basis excluding the obligations of the Consolidated Funds: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374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9"/>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obligations</w:t>
            </w:r>
            <w:r>
              <w:rPr>
                <w:rFonts w:ascii="Times New Roman" w:cs="Times New Roman" w:eastAsia="Times New Roman" w:hAnsi="Times New Roman"/>
                <w:sz w:val="9"/>
                <w:szCs w:val="9"/>
                <w:color w:val="auto"/>
              </w:rPr>
              <w:t>(1)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95.7</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1,983.1</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2,164.4</w:t>
            </w:r>
          </w:p>
        </w:tc>
      </w:tr>
      <w:tr>
        <w:trPr>
          <w:trHeight w:val="34"/>
        </w:trPr>
        <w:tc>
          <w:tcPr>
            <w:tcW w:w="3740" w:type="dxa"/>
            <w:vAlign w:val="bottom"/>
          </w:tcPr>
          <w:p>
            <w:pPr>
              <w:spacing w:after="0"/>
              <w:rPr>
                <w:sz w:val="20"/>
                <w:szCs w:val="20"/>
                <w:color w:val="auto"/>
              </w:rPr>
            </w:pPr>
            <w:r>
              <w:rPr>
                <w:rFonts w:ascii="Times New Roman" w:cs="Times New Roman" w:eastAsia="Times New Roman" w:hAnsi="Times New Roman"/>
                <w:sz w:val="3"/>
                <w:szCs w:val="3"/>
                <w:color w:val="auto"/>
              </w:rPr>
              <w:t>Interest payable</w:t>
            </w:r>
          </w:p>
        </w:tc>
        <w:tc>
          <w:tcPr>
            <w:tcW w:w="18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107.6</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207.0</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193.0</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1,547.6</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2,055.2</w:t>
            </w:r>
          </w:p>
        </w:tc>
      </w:tr>
      <w:tr>
        <w:trPr>
          <w:trHeight w:val="124"/>
        </w:trPr>
        <w:tc>
          <w:tcPr>
            <w:tcW w:w="374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2"/>
        </w:trPr>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220"/>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consideration</w:t>
            </w:r>
            <w:r>
              <w:rPr>
                <w:rFonts w:ascii="Times New Roman" w:cs="Times New Roman" w:eastAsia="Times New Roman" w:hAnsi="Times New Roman"/>
                <w:sz w:val="9"/>
                <w:szCs w:val="9"/>
                <w:color w:val="auto"/>
              </w:rPr>
              <w:t>(3)</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35.9</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18.0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64.1</w:t>
            </w:r>
          </w:p>
        </w:tc>
      </w:tr>
      <w:tr>
        <w:trPr>
          <w:trHeight w:val="34"/>
        </w:trPr>
        <w:tc>
          <w:tcPr>
            <w:tcW w:w="3740" w:type="dxa"/>
            <w:vAlign w:val="bottom"/>
          </w:tcPr>
          <w:p>
            <w:pPr>
              <w:spacing w:after="0"/>
              <w:rPr>
                <w:sz w:val="20"/>
                <w:szCs w:val="20"/>
                <w:color w:val="auto"/>
              </w:rPr>
            </w:pPr>
            <w:r>
              <w:rPr>
                <w:rFonts w:ascii="Times New Roman" w:cs="Times New Roman" w:eastAsia="Times New Roman" w:hAnsi="Times New Roman"/>
                <w:sz w:val="3"/>
                <w:szCs w:val="3"/>
                <w:color w:val="auto"/>
              </w:rPr>
              <w:t>Operating lease obligations</w:t>
            </w:r>
          </w:p>
        </w:tc>
        <w:tc>
          <w:tcPr>
            <w:tcW w:w="18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70.7</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136.5</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135.3</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249.6</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592.1</w:t>
            </w:r>
          </w:p>
        </w:tc>
      </w:tr>
      <w:tr>
        <w:trPr>
          <w:trHeight w:val="124"/>
        </w:trPr>
        <w:tc>
          <w:tcPr>
            <w:tcW w:w="3740" w:type="dxa"/>
            <w:vAlign w:val="bottom"/>
          </w:tcPr>
          <w:p>
            <w:pPr>
              <w:ind w:left="1580"/>
              <w:spacing w:after="0"/>
              <w:rPr>
                <w:sz w:val="20"/>
                <w:szCs w:val="20"/>
                <w:color w:val="auto"/>
              </w:rPr>
            </w:pPr>
            <w:r>
              <w:rPr>
                <w:rFonts w:ascii="Times New Roman" w:cs="Times New Roman" w:eastAsia="Times New Roman" w:hAnsi="Times New Roman"/>
                <w:sz w:val="10"/>
                <w:szCs w:val="10"/>
                <w:color w:val="auto"/>
              </w:rPr>
              <w:t>(4)</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2"/>
        </w:trPr>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Capital commitments to Carlyle funds</w:t>
            </w: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4,195.5</w:t>
            </w: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4,195.5</w:t>
            </w:r>
          </w:p>
        </w:tc>
      </w:tr>
      <w:tr>
        <w:trPr>
          <w:trHeight w:val="124"/>
        </w:trPr>
        <w:tc>
          <w:tcPr>
            <w:tcW w:w="37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82"/>
        </w:trPr>
        <w:tc>
          <w:tcPr>
            <w:tcW w:w="3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188"/>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Tax receivable agreement payments</w:t>
            </w:r>
            <w:r>
              <w:rPr>
                <w:rFonts w:ascii="Times New Roman" w:cs="Times New Roman" w:eastAsia="Times New Roman" w:hAnsi="Times New Roman"/>
                <w:sz w:val="9"/>
                <w:szCs w:val="9"/>
                <w:color w:val="auto"/>
              </w:rPr>
              <w:t>(6)</w:t>
            </w:r>
          </w:p>
        </w:tc>
        <w:tc>
          <w:tcPr>
            <w:tcW w:w="180" w:type="dxa"/>
            <w:vAlign w:val="bottom"/>
          </w:tcPr>
          <w:p>
            <w:pPr>
              <w:spacing w:after="0"/>
              <w:rPr>
                <w:sz w:val="16"/>
                <w:szCs w:val="16"/>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13.8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77.2</w:t>
            </w:r>
          </w:p>
        </w:tc>
      </w:tr>
      <w:tr>
        <w:trPr>
          <w:trHeight w:val="52"/>
        </w:trPr>
        <w:tc>
          <w:tcPr>
            <w:tcW w:w="3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Loans payable of Consolidated Funds</w:t>
            </w: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390.6</w:t>
            </w: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781.2</w:t>
            </w: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782.3</w:t>
            </w: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8,910.6</w:t>
            </w: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10,864.7</w:t>
            </w:r>
          </w:p>
        </w:tc>
      </w:tr>
      <w:tr>
        <w:trPr>
          <w:trHeight w:val="124"/>
        </w:trPr>
        <w:tc>
          <w:tcPr>
            <w:tcW w:w="37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82"/>
        </w:trPr>
        <w:tc>
          <w:tcPr>
            <w:tcW w:w="3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34"/>
        </w:trPr>
        <w:tc>
          <w:tcPr>
            <w:tcW w:w="3740" w:type="dxa"/>
            <w:vAlign w:val="bottom"/>
          </w:tcPr>
          <w:p>
            <w:pPr>
              <w:spacing w:after="0"/>
              <w:rPr>
                <w:sz w:val="20"/>
                <w:szCs w:val="20"/>
                <w:color w:val="auto"/>
              </w:rPr>
            </w:pPr>
            <w:r>
              <w:rPr>
                <w:rFonts w:ascii="Times New Roman" w:cs="Times New Roman" w:eastAsia="Times New Roman" w:hAnsi="Times New Roman"/>
                <w:sz w:val="3"/>
                <w:szCs w:val="3"/>
                <w:color w:val="auto"/>
              </w:rPr>
              <w:t>Unfunded commitments of the CLOs</w:t>
            </w:r>
          </w:p>
        </w:tc>
        <w:tc>
          <w:tcPr>
            <w:tcW w:w="18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11.9</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11.9</w:t>
            </w:r>
          </w:p>
        </w:tc>
      </w:tr>
      <w:tr>
        <w:trPr>
          <w:trHeight w:val="124"/>
        </w:trPr>
        <w:tc>
          <w:tcPr>
            <w:tcW w:w="3740" w:type="dxa"/>
            <w:vAlign w:val="bottom"/>
          </w:tcPr>
          <w:p>
            <w:pPr>
              <w:ind w:left="2140"/>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2"/>
        </w:trPr>
        <w:tc>
          <w:tcPr>
            <w:tcW w:w="37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00"/>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contractual obligations</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4,797.2</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1,268.8</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1,222.9</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12,736.2</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20,025.1</w:t>
            </w:r>
          </w:p>
        </w:tc>
      </w:tr>
      <w:tr>
        <w:trPr>
          <w:trHeight w:val="34"/>
        </w:trPr>
        <w:tc>
          <w:tcPr>
            <w:tcW w:w="3740" w:type="dxa"/>
            <w:vAlign w:val="bottom"/>
          </w:tcPr>
          <w:p>
            <w:pPr>
              <w:spacing w:after="0"/>
              <w:rPr>
                <w:sz w:val="20"/>
                <w:szCs w:val="20"/>
                <w:color w:val="auto"/>
              </w:rPr>
            </w:pPr>
            <w:r>
              <w:rPr>
                <w:rFonts w:ascii="Times New Roman" w:cs="Times New Roman" w:eastAsia="Times New Roman" w:hAnsi="Times New Roman"/>
                <w:sz w:val="3"/>
                <w:szCs w:val="3"/>
                <w:color w:val="auto"/>
              </w:rPr>
              <w:t>Loans payable of Consolidated Funds</w:t>
            </w:r>
          </w:p>
        </w:tc>
        <w:tc>
          <w:tcPr>
            <w:tcW w:w="180" w:type="dxa"/>
            <w:vAlign w:val="bottom"/>
          </w:tcPr>
          <w:p>
            <w:pPr>
              <w:spacing w:after="0"/>
              <w:rPr>
                <w:sz w:val="2"/>
                <w:szCs w:val="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3"/>
                <w:szCs w:val="3"/>
                <w:color w:val="auto"/>
              </w:rPr>
              <w:t>(390.6)</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jc w:val="right"/>
              <w:ind w:right="43"/>
              <w:spacing w:after="0"/>
              <w:rPr>
                <w:sz w:val="20"/>
                <w:szCs w:val="20"/>
                <w:color w:val="auto"/>
              </w:rPr>
            </w:pPr>
            <w:r>
              <w:rPr>
                <w:rFonts w:ascii="Times New Roman" w:cs="Times New Roman" w:eastAsia="Times New Roman" w:hAnsi="Times New Roman"/>
                <w:sz w:val="3"/>
                <w:szCs w:val="3"/>
                <w:color w:val="auto"/>
              </w:rPr>
              <w:t>(781.2)</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3"/>
                <w:szCs w:val="3"/>
                <w:color w:val="auto"/>
              </w:rPr>
              <w:t>(782.3)</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3"/>
                <w:szCs w:val="3"/>
                <w:color w:val="auto"/>
              </w:rPr>
              <w:t>(8,910.6)</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3"/>
                <w:szCs w:val="3"/>
                <w:color w:val="auto"/>
              </w:rPr>
              <w:t>(10,864.7)</w:t>
            </w:r>
          </w:p>
        </w:tc>
      </w:tr>
      <w:tr>
        <w:trPr>
          <w:trHeight w:val="124"/>
        </w:trPr>
        <w:tc>
          <w:tcPr>
            <w:tcW w:w="3740" w:type="dxa"/>
            <w:vAlign w:val="bottom"/>
          </w:tcPr>
          <w:p>
            <w:pPr>
              <w:ind w:left="2180"/>
              <w:spacing w:after="0"/>
              <w:rPr>
                <w:sz w:val="20"/>
                <w:szCs w:val="20"/>
                <w:color w:val="auto"/>
              </w:rPr>
            </w:pPr>
            <w:r>
              <w:rPr>
                <w:rFonts w:ascii="Times New Roman" w:cs="Times New Roman" w:eastAsia="Times New Roman" w:hAnsi="Times New Roman"/>
                <w:sz w:val="10"/>
                <w:szCs w:val="10"/>
                <w:color w:val="auto"/>
              </w:rPr>
              <w:t>(7)</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2"/>
        </w:trPr>
        <w:tc>
          <w:tcPr>
            <w:tcW w:w="3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r>
      <w:tr>
        <w:trPr>
          <w:trHeight w:val="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Capital commitments to Carlyle funds</w:t>
            </w: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3"/>
                <w:szCs w:val="3"/>
                <w:color w:val="auto"/>
              </w:rPr>
              <w:t>(3,479.7)</w:t>
            </w: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3"/>
                <w:szCs w:val="3"/>
                <w:color w:val="auto"/>
              </w:rPr>
              <w:t>(3,479.7)</w:t>
            </w:r>
          </w:p>
        </w:tc>
      </w:tr>
      <w:tr>
        <w:trPr>
          <w:trHeight w:val="124"/>
        </w:trPr>
        <w:tc>
          <w:tcPr>
            <w:tcW w:w="374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82"/>
        </w:trPr>
        <w:tc>
          <w:tcPr>
            <w:tcW w:w="37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r>
      <w:tr>
        <w:trPr>
          <w:trHeight w:val="34"/>
        </w:trPr>
        <w:tc>
          <w:tcPr>
            <w:tcW w:w="3740" w:type="dxa"/>
            <w:vAlign w:val="bottom"/>
          </w:tcPr>
          <w:p>
            <w:pPr>
              <w:spacing w:after="0"/>
              <w:rPr>
                <w:sz w:val="20"/>
                <w:szCs w:val="20"/>
                <w:color w:val="auto"/>
              </w:rPr>
            </w:pPr>
            <w:r>
              <w:rPr>
                <w:rFonts w:ascii="Times New Roman" w:cs="Times New Roman" w:eastAsia="Times New Roman" w:hAnsi="Times New Roman"/>
                <w:sz w:val="3"/>
                <w:szCs w:val="3"/>
                <w:color w:val="auto"/>
              </w:rPr>
              <w:t>Unfunded commitments of the CLOs</w:t>
            </w:r>
          </w:p>
        </w:tc>
        <w:tc>
          <w:tcPr>
            <w:tcW w:w="180" w:type="dxa"/>
            <w:vAlign w:val="bottom"/>
          </w:tcPr>
          <w:p>
            <w:pPr>
              <w:spacing w:after="0"/>
              <w:rPr>
                <w:sz w:val="2"/>
                <w:szCs w:val="2"/>
                <w:color w:val="auto"/>
              </w:rPr>
            </w:pP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3"/>
                <w:szCs w:val="3"/>
                <w:color w:val="auto"/>
              </w:rPr>
              <w:t>(11.9)</w:t>
            </w: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3"/>
                <w:szCs w:val="3"/>
                <w:color w:val="auto"/>
              </w:rPr>
              <w:t>(11.9)</w:t>
            </w:r>
          </w:p>
        </w:tc>
      </w:tr>
      <w:tr>
        <w:trPr>
          <w:trHeight w:val="124"/>
        </w:trPr>
        <w:tc>
          <w:tcPr>
            <w:tcW w:w="3740" w:type="dxa"/>
            <w:vAlign w:val="bottom"/>
          </w:tcPr>
          <w:p>
            <w:pPr>
              <w:ind w:left="2140"/>
              <w:spacing w:after="0"/>
              <w:rPr>
                <w:sz w:val="20"/>
                <w:szCs w:val="20"/>
                <w:color w:val="auto"/>
              </w:rPr>
            </w:pPr>
            <w:r>
              <w:rPr>
                <w:rFonts w:ascii="Times New Roman" w:cs="Times New Roman" w:eastAsia="Times New Roman" w:hAnsi="Times New Roman"/>
                <w:sz w:val="10"/>
                <w:szCs w:val="10"/>
                <w:color w:val="auto"/>
              </w:rPr>
              <w:t>(8)</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2"/>
        </w:trPr>
        <w:tc>
          <w:tcPr>
            <w:tcW w:w="37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r>
      <w:tr>
        <w:trPr>
          <w:trHeight w:val="200"/>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Carlyle Operating Entities contractual obligations</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915.0</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487.6</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440.6</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3,825.6</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5,668.8</w:t>
            </w:r>
          </w:p>
        </w:tc>
      </w:tr>
    </w:tbl>
    <w:p>
      <w:pPr>
        <w:ind w:right="1460"/>
        <w:spacing w:after="0" w:line="206" w:lineRule="auto"/>
        <w:rPr>
          <w:sz w:val="20"/>
          <w:szCs w:val="20"/>
          <w:color w:val="auto"/>
        </w:rPr>
      </w:pPr>
      <w:r>
        <w:rPr>
          <w:rFonts w:ascii="Times New Roman" w:cs="Times New Roman" w:eastAsia="Times New Roman" w:hAnsi="Times New Roman"/>
          <w:sz w:val="13"/>
          <w:szCs w:val="13"/>
          <w:color w:val="auto"/>
        </w:rPr>
        <w:t>(1)The table above assumes that no prepayments are made on the senior and subordinated notes and that the outstanding balances, if any, on the senior credit facility and Global Credit Revolving Credit Facility are repaid on the maturity dates of credit facilities. The CLO term loans are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-154940</wp:posOffset>
            </wp:positionV>
            <wp:extent cx="28962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896235" cy="7620"/>
                    </a:xfrm>
                    <a:prstGeom prst="rect">
                      <a:avLst/>
                    </a:prstGeom>
                    <a:noFill/>
                  </pic:spPr>
                </pic:pic>
              </a:graphicData>
            </a:graphic>
          </wp:anchor>
        </w:drawing>
      </w:r>
    </w:p>
    <w:p>
      <w:pPr>
        <w:ind w:right="1400"/>
        <w:spacing w:after="0" w:line="212" w:lineRule="auto"/>
        <w:rPr>
          <w:sz w:val="20"/>
          <w:szCs w:val="20"/>
          <w:color w:val="auto"/>
        </w:rPr>
      </w:pPr>
      <w:r>
        <w:rPr>
          <w:rFonts w:ascii="Times New Roman" w:cs="Times New Roman" w:eastAsia="Times New Roman" w:hAnsi="Times New Roman"/>
          <w:sz w:val="13"/>
          <w:szCs w:val="13"/>
          <w:color w:val="auto"/>
        </w:rPr>
        <w:t>table above based on the earlier of the stated maturity date or the date the CLO is expected to be dissolved. See Note 6, Borrowings</w:t>
      </w:r>
      <w:r>
        <w:rPr>
          <w:rFonts w:ascii="Times New Roman" w:cs="Times New Roman" w:eastAsia="Times New Roman" w:hAnsi="Times New Roman"/>
          <w:sz w:val="15"/>
          <w:szCs w:val="15"/>
          <w:color w:val="auto"/>
        </w:rPr>
        <w:t>,</w:t>
      </w:r>
      <w:r>
        <w:rPr>
          <w:rFonts w:ascii="Times New Roman" w:cs="Times New Roman" w:eastAsia="Times New Roman" w:hAnsi="Times New Roman"/>
          <w:sz w:val="13"/>
          <w:szCs w:val="13"/>
          <w:color w:val="auto"/>
        </w:rPr>
        <w:t xml:space="preserve"> to the consolidated financial statements for the various maturity dates of our borrowings.</w:t>
      </w:r>
    </w:p>
    <w:p>
      <w:pPr>
        <w:spacing w:after="0" w:line="1" w:lineRule="exact"/>
        <w:rPr>
          <w:sz w:val="20"/>
          <w:szCs w:val="20"/>
          <w:color w:val="auto"/>
        </w:rPr>
      </w:pPr>
    </w:p>
    <w:p>
      <w:pPr>
        <w:ind w:right="1360"/>
        <w:spacing w:after="0" w:line="192" w:lineRule="auto"/>
        <w:rPr>
          <w:sz w:val="20"/>
          <w:szCs w:val="20"/>
          <w:color w:val="auto"/>
        </w:rPr>
      </w:pPr>
      <w:r>
        <w:rPr>
          <w:rFonts w:ascii="Times New Roman" w:cs="Times New Roman" w:eastAsia="Times New Roman" w:hAnsi="Times New Roman"/>
          <w:sz w:val="13"/>
          <w:szCs w:val="13"/>
          <w:color w:val="auto"/>
        </w:rPr>
        <w:t>(2)The interest rates on the debt obligations as of December 31, 2024 consist of: 3.500% on $425.0 million of senior notes, 5.650% on $350.0 million of senior notes, 5.625% on $600.0 million of senior notes, 4.625% on $500.0 million of subordinated notes, and a range of approximately 4.42% to</w:t>
      </w:r>
    </w:p>
    <w:p>
      <w:pPr>
        <w:spacing w:after="0" w:line="1" w:lineRule="exact"/>
        <w:rPr>
          <w:sz w:val="20"/>
          <w:szCs w:val="20"/>
          <w:color w:val="auto"/>
        </w:rPr>
      </w:pPr>
    </w:p>
    <w:p>
      <w:pPr>
        <w:ind w:right="1600"/>
        <w:spacing w:after="0" w:line="192" w:lineRule="auto"/>
        <w:rPr>
          <w:sz w:val="20"/>
          <w:szCs w:val="20"/>
          <w:color w:val="auto"/>
        </w:rPr>
      </w:pPr>
      <w:r>
        <w:rPr>
          <w:rFonts w:ascii="Times New Roman" w:cs="Times New Roman" w:eastAsia="Times New Roman" w:hAnsi="Times New Roman"/>
          <w:sz w:val="13"/>
          <w:szCs w:val="13"/>
          <w:color w:val="auto"/>
        </w:rPr>
        <w:t>10.99% for our CLO term loans. Interest payments assume that no prepayments are made and loans are held until maturity with the exception of the CLO term loans, which are based on the earlier of the stated maturity date or the date the CLO is expected to be dissolved.</w:t>
      </w:r>
    </w:p>
    <w:p>
      <w:pPr>
        <w:spacing w:after="0" w:line="1" w:lineRule="exact"/>
        <w:rPr>
          <w:sz w:val="20"/>
          <w:szCs w:val="20"/>
          <w:color w:val="auto"/>
        </w:rPr>
      </w:pPr>
    </w:p>
    <w:p>
      <w:pPr>
        <w:ind w:right="1340"/>
        <w:spacing w:after="0" w:line="192" w:lineRule="auto"/>
        <w:rPr>
          <w:sz w:val="20"/>
          <w:szCs w:val="20"/>
          <w:color w:val="auto"/>
        </w:rPr>
      </w:pPr>
      <w:r>
        <w:rPr>
          <w:rFonts w:ascii="Times New Roman" w:cs="Times New Roman" w:eastAsia="Times New Roman" w:hAnsi="Times New Roman"/>
          <w:sz w:val="13"/>
          <w:szCs w:val="13"/>
          <w:color w:val="auto"/>
        </w:rPr>
        <w:t>(3)These obligations represent our estimate of amounts to be paid on the contingent cash obligations associated with our acquisitions of Carlyle Aviation Partners and Abingworth. The payment obligations are unsecured obligations of the Company or a subsidiary thereof, subordinated in right of payment to indebtedness of the Company and its subsidiaries, and do not bear interest.</w:t>
      </w:r>
    </w:p>
    <w:p>
      <w:pPr>
        <w:spacing w:after="0" w:line="1" w:lineRule="exact"/>
        <w:rPr>
          <w:sz w:val="20"/>
          <w:szCs w:val="20"/>
          <w:color w:val="auto"/>
        </w:rPr>
      </w:pPr>
    </w:p>
    <w:p>
      <w:pPr>
        <w:jc w:val="both"/>
        <w:ind w:right="1360"/>
        <w:spacing w:after="0" w:line="192" w:lineRule="auto"/>
        <w:rPr>
          <w:sz w:val="20"/>
          <w:szCs w:val="20"/>
          <w:color w:val="auto"/>
        </w:rPr>
      </w:pPr>
      <w:r>
        <w:rPr>
          <w:rFonts w:ascii="Times New Roman" w:cs="Times New Roman" w:eastAsia="Times New Roman" w:hAnsi="Times New Roman"/>
          <w:sz w:val="13"/>
          <w:szCs w:val="13"/>
          <w:color w:val="auto"/>
        </w:rPr>
        <w:t>(4)We lease office space in various countries around the world, including our largest offices in Washington, D.C., New York City, London, Amsterdam, and Hong Kong, which have non -cancelable lease agreements expiring in various years through 2036. The amounts in this table represent the minimum lease payments required over the term of the lease.</w:t>
      </w:r>
    </w:p>
    <w:p>
      <w:pPr>
        <w:spacing w:after="0" w:line="1" w:lineRule="exact"/>
        <w:rPr>
          <w:sz w:val="20"/>
          <w:szCs w:val="20"/>
          <w:color w:val="auto"/>
        </w:rPr>
      </w:pPr>
    </w:p>
    <w:p>
      <w:pPr>
        <w:ind w:right="1440"/>
        <w:spacing w:after="0" w:line="222" w:lineRule="auto"/>
        <w:rPr>
          <w:sz w:val="20"/>
          <w:szCs w:val="20"/>
          <w:color w:val="auto"/>
        </w:rPr>
      </w:pPr>
      <w:r>
        <w:rPr>
          <w:rFonts w:ascii="Times New Roman" w:cs="Times New Roman" w:eastAsia="Times New Roman" w:hAnsi="Times New Roman"/>
          <w:sz w:val="13"/>
          <w:szCs w:val="13"/>
          <w:color w:val="auto"/>
        </w:rPr>
        <w:t>(5)These obligations generally represent commitments by us to fund a portion of the purchase price paid for each investment made by our funds. These amounts are generally due on demand and are therefore presented in the less than one year category. A substantial majority of these investments is</w:t>
      </w:r>
    </w:p>
    <w:p>
      <w:pPr>
        <w:sectPr>
          <w:pgSz w:w="11900" w:h="16840" w:orient="portrait"/>
          <w:cols w:equalWidth="0" w:num="1">
            <w:col w:w="9400"/>
          </w:cols>
          <w:pgMar w:left="1060" w:top="547" w:right="1440" w:bottom="26" w:gutter="0" w:footer="0" w:header="0"/>
        </w:sectPr>
      </w:pPr>
    </w:p>
    <w:bookmarkStart w:id="121" w:name="page122"/>
    <w:bookmarkEnd w:id="121"/>
    <w:p>
      <w:pPr>
        <w:ind w:right="1400"/>
        <w:spacing w:after="0" w:line="198" w:lineRule="auto"/>
        <w:rPr>
          <w:sz w:val="20"/>
          <w:szCs w:val="20"/>
          <w:color w:val="auto"/>
        </w:rPr>
      </w:pPr>
      <w:r>
        <w:rPr>
          <w:rFonts w:ascii="Times New Roman" w:cs="Times New Roman" w:eastAsia="Times New Roman" w:hAnsi="Times New Roman"/>
          <w:sz w:val="13"/>
          <w:szCs w:val="13"/>
          <w:color w:val="auto"/>
        </w:rPr>
        <w:t>expected to be funded by senior Carlyle professionals and other professionals through our internal co-investment program. Of the $4.2 billion of unfunded commitments to the funds, approximately $ 3.5 billion is subscribed individually by senior Carlyle professionals, advisors and other professionals, with the balance funded directly by the Company. Additionally, these obligations include accrued giveback that has been realized but not yet paid to the respective funds, a portion of which is payable by current and former senior Carlyle professionals.</w:t>
      </w:r>
    </w:p>
    <w:p>
      <w:pPr>
        <w:spacing w:after="0" w:line="1" w:lineRule="exact"/>
        <w:rPr>
          <w:sz w:val="20"/>
          <w:szCs w:val="20"/>
          <w:color w:val="auto"/>
        </w:rPr>
      </w:pPr>
    </w:p>
    <w:p>
      <w:pPr>
        <w:ind w:right="1300"/>
        <w:spacing w:after="0" w:line="192" w:lineRule="auto"/>
        <w:rPr>
          <w:sz w:val="20"/>
          <w:szCs w:val="20"/>
          <w:color w:val="auto"/>
        </w:rPr>
      </w:pPr>
      <w:r>
        <w:rPr>
          <w:rFonts w:ascii="Times New Roman" w:cs="Times New Roman" w:eastAsia="Times New Roman" w:hAnsi="Times New Roman"/>
          <w:sz w:val="13"/>
          <w:szCs w:val="13"/>
          <w:color w:val="auto"/>
        </w:rPr>
        <w:t>(6)In connection with our initial public offering, we entered into a tax receivable agreement with the limited partners of the Carlyle Holdings partnerships whereby we agreed to pay such limited partners 85% of the amount of cash tax savings, if any, in U.S. federal, state and local income tax realized as a result of increases in tax basis resulting from exchanges of Carlyle Holdings partnership units for common units of The Carlyle Group L.P. From and after the consummation of the Conversion, former holders of Carlyle Holdings partnership units do not have any rights to payments under the tax receivable agreement except for payment obligations pre-existing at the time of the Conversion with respect to exchanges that occurred prior to the Conversion. These obligations are more than offset by the future cash tax savings that we are expected to realize.</w:t>
      </w:r>
    </w:p>
    <w:p>
      <w:pPr>
        <w:spacing w:after="0" w:line="3" w:lineRule="exact"/>
        <w:rPr>
          <w:sz w:val="20"/>
          <w:szCs w:val="20"/>
          <w:color w:val="auto"/>
        </w:rPr>
      </w:pPr>
    </w:p>
    <w:p>
      <w:pPr>
        <w:ind w:right="1300"/>
        <w:spacing w:after="0" w:line="192" w:lineRule="auto"/>
        <w:rPr>
          <w:sz w:val="20"/>
          <w:szCs w:val="20"/>
          <w:color w:val="auto"/>
        </w:rPr>
      </w:pPr>
      <w:r>
        <w:rPr>
          <w:rFonts w:ascii="Times New Roman" w:cs="Times New Roman" w:eastAsia="Times New Roman" w:hAnsi="Times New Roman"/>
          <w:sz w:val="13"/>
          <w:szCs w:val="13"/>
          <w:color w:val="auto"/>
        </w:rPr>
        <w:t>(7)These obligations represent amounts due to holders of debt securities issued by the consolidated CLO vehicles. These obligations include interest to be paid on debt securities issued by the consolidated CLO vehicles. Interest payments assume that no prepayments are made and loans are held until maturity. For debt securities with rights only to the residual value of the CLO and no stated interest, no interest payments were included in this calculation. Interest payments on variable-rate debt securities are based on interest rates in effect as of December 31, 2024, at spreads to market rates pursuant to the debt agreements, and range from 1.65% to 12.18%.</w:t>
      </w:r>
    </w:p>
    <w:p>
      <w:pPr>
        <w:spacing w:after="0" w:line="2" w:lineRule="exact"/>
        <w:rPr>
          <w:sz w:val="20"/>
          <w:szCs w:val="20"/>
          <w:color w:val="auto"/>
        </w:rPr>
      </w:pPr>
    </w:p>
    <w:p>
      <w:pPr>
        <w:ind w:right="1560"/>
        <w:spacing w:after="0" w:line="194" w:lineRule="auto"/>
        <w:rPr>
          <w:sz w:val="20"/>
          <w:szCs w:val="20"/>
          <w:color w:val="auto"/>
        </w:rPr>
      </w:pPr>
      <w:r>
        <w:rPr>
          <w:rFonts w:ascii="Times New Roman" w:cs="Times New Roman" w:eastAsia="Times New Roman" w:hAnsi="Times New Roman"/>
          <w:sz w:val="13"/>
          <w:szCs w:val="13"/>
          <w:color w:val="auto"/>
        </w:rPr>
        <w:t>(8)These obligations represent commitments of the CLOs to fund certain investments. These amounts are generally due on demand and are therefore presented in the less than one year category.</w:t>
      </w:r>
    </w:p>
    <w:p>
      <w:pPr>
        <w:spacing w:after="0" w:line="1" w:lineRule="exact"/>
        <w:rPr>
          <w:sz w:val="20"/>
          <w:szCs w:val="20"/>
          <w:color w:val="auto"/>
        </w:rPr>
      </w:pPr>
    </w:p>
    <w:p>
      <w:pPr>
        <w:ind w:right="2120"/>
        <w:spacing w:after="0" w:line="203" w:lineRule="auto"/>
        <w:rPr>
          <w:sz w:val="20"/>
          <w:szCs w:val="20"/>
          <w:color w:val="auto"/>
        </w:rPr>
      </w:pPr>
      <w:r>
        <w:rPr>
          <w:rFonts w:ascii="Times New Roman" w:cs="Times New Roman" w:eastAsia="Times New Roman" w:hAnsi="Times New Roman"/>
          <w:sz w:val="16"/>
          <w:szCs w:val="16"/>
          <w:color w:val="auto"/>
        </w:rPr>
        <w:t>Excluded from the table above are liabilities for uncertain tax positions of $38.0 million at December 31, 2024 as we are unable to estimate when such amounts may be paid.</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Contingent Cash Payments For Business Acquisitions and Strategic Investments</w:t>
      </w:r>
    </w:p>
    <w:p>
      <w:pPr>
        <w:ind w:right="1820"/>
        <w:spacing w:after="0" w:line="268" w:lineRule="auto"/>
        <w:rPr>
          <w:sz w:val="20"/>
          <w:szCs w:val="20"/>
          <w:color w:val="auto"/>
        </w:rPr>
      </w:pPr>
      <w:r>
        <w:rPr>
          <w:rFonts w:ascii="Times New Roman" w:cs="Times New Roman" w:eastAsia="Times New Roman" w:hAnsi="Times New Roman"/>
          <w:sz w:val="14"/>
          <w:szCs w:val="14"/>
          <w:color w:val="auto"/>
        </w:rPr>
        <w:t>We have certain contingent cash obligations associated with our acquisition of Abingworth, which are accounted for as compensation expense, and are accrued over the service period. If earned, payments are made in the quarter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jc w:val="both"/>
        <w:ind w:right="1620"/>
        <w:spacing w:after="0" w:line="203" w:lineRule="auto"/>
        <w:rPr>
          <w:sz w:val="20"/>
          <w:szCs w:val="20"/>
          <w:color w:val="auto"/>
        </w:rPr>
      </w:pPr>
      <w:r>
        <w:rPr>
          <w:rFonts w:ascii="Times New Roman" w:cs="Times New Roman" w:eastAsia="Times New Roman" w:hAnsi="Times New Roman"/>
          <w:sz w:val="16"/>
          <w:szCs w:val="16"/>
          <w:color w:val="auto"/>
        </w:rPr>
        <w:t>performance year to which the payments relate. The contingent cash obligations relate to future incentive payments of up to $130.0 million that are payable upon the achievement of certain performance targets during 2025 through 2028, which is the maximum amount that could be paid as of December 31, 2024. Through December 31, 2024, we paid $2.7 million, and as of December 31, 2024, we recognized $ 2.0 million on the balance sheet related to these contingent obligations.</w:t>
      </w:r>
    </w:p>
    <w:p>
      <w:pPr>
        <w:spacing w:after="0" w:line="205" w:lineRule="auto"/>
        <w:rPr>
          <w:sz w:val="20"/>
          <w:szCs w:val="20"/>
          <w:color w:val="auto"/>
        </w:rPr>
      </w:pPr>
      <w:r>
        <w:rPr>
          <w:rFonts w:ascii="Times New Roman" w:cs="Times New Roman" w:eastAsia="Times New Roman" w:hAnsi="Times New Roman"/>
          <w:sz w:val="16"/>
          <w:szCs w:val="16"/>
          <w:color w:val="auto"/>
        </w:rPr>
        <w:t>In connection with our acquisition of Carlyle Aviation Partners, we had contingent cash payments related to an earn-</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out of up to $ 150.0 million that were payable upon the achievement of certain revenue and earnings performance targets during 2020 through 2025. Through December 31, 2022, we paid $53.6 million related to this earn-out. During the first quarter of 2023, we entered into a termination and settlement agreement with respect to the earn- out, pursuant to which we paid $68.6 million, and agreed to pay an aggregate $2.4 million in installments in 2024 and 2025. Pursuant to the termination and settlement agreement, we paid the first installment of $ 1.5 million in 2024.</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Risk Retention Rules</w:t>
      </w:r>
    </w:p>
    <w:p>
      <w:pPr>
        <w:ind w:right="1420" w:firstLine="576"/>
        <w:spacing w:after="0" w:line="232" w:lineRule="auto"/>
        <w:rPr>
          <w:sz w:val="20"/>
          <w:szCs w:val="20"/>
          <w:color w:val="auto"/>
        </w:rPr>
      </w:pPr>
      <w:r>
        <w:rPr>
          <w:rFonts w:ascii="Times New Roman" w:cs="Times New Roman" w:eastAsia="Times New Roman" w:hAnsi="Times New Roman"/>
          <w:sz w:val="14"/>
          <w:szCs w:val="14"/>
          <w:color w:val="auto"/>
        </w:rPr>
        <w:t>We will continue to comply with the risk retention rules governing CLOs issued in Europe for which we are a sponsor, which require a combination of capital from our balance sheet, commitments from senior Carlyle professionals, and/or third-party financing. For additional information related to the U.S. Risk Retention Rules, see Part I, Item 1A “Risk Factors—Risks Related to Regulation and Litigation—Financial regulations and changes thereto in the United States could adversely affect our business and the possibility of increased regulatory focus could result in additional burdens and expenses on our business.”</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Guarantees</w:t>
      </w:r>
    </w:p>
    <w:p>
      <w:pPr>
        <w:ind w:right="2060"/>
        <w:spacing w:after="0" w:line="203" w:lineRule="auto"/>
        <w:rPr>
          <w:sz w:val="20"/>
          <w:szCs w:val="20"/>
          <w:color w:val="auto"/>
        </w:rPr>
      </w:pPr>
      <w:r>
        <w:rPr>
          <w:rFonts w:ascii="Times New Roman" w:cs="Times New Roman" w:eastAsia="Times New Roman" w:hAnsi="Times New Roman"/>
          <w:sz w:val="16"/>
          <w:szCs w:val="16"/>
          <w:color w:val="auto"/>
        </w:rPr>
        <w:t>See Note 8, Commitments and Contingencies, to the consolidated financial statements included in this Annual Report on Form 10-K for information related to all of our material guarantees.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Indemnifications</w:t>
      </w:r>
    </w:p>
    <w:p>
      <w:pPr>
        <w:spacing w:after="0" w:line="1" w:lineRule="exact"/>
        <w:rPr>
          <w:sz w:val="20"/>
          <w:szCs w:val="20"/>
          <w:color w:val="auto"/>
        </w:rPr>
      </w:pPr>
    </w:p>
    <w:p>
      <w:pPr>
        <w:ind w:right="1840"/>
        <w:spacing w:after="0" w:line="203" w:lineRule="auto"/>
        <w:rPr>
          <w:sz w:val="20"/>
          <w:szCs w:val="20"/>
          <w:color w:val="auto"/>
        </w:rPr>
      </w:pPr>
      <w:r>
        <w:rPr>
          <w:rFonts w:ascii="Times New Roman" w:cs="Times New Roman" w:eastAsia="Times New Roman" w:hAnsi="Times New Roman"/>
          <w:sz w:val="16"/>
          <w:szCs w:val="16"/>
          <w:color w:val="auto"/>
        </w:rPr>
        <w:t>In many of our service contracts, we agree to indemnify the third-party service provider under certain circumstances. The terms of the indemnities vary from contract to contract, and the amount of indemnification liability, if any, cannot be determined and has not been included in the table above or recorded in our consolidated financial statements as of December 31, 2024.</w:t>
      </w:r>
    </w:p>
    <w:p>
      <w:pPr>
        <w:spacing w:after="0" w:line="2" w:lineRule="exact"/>
        <w:rPr>
          <w:sz w:val="20"/>
          <w:szCs w:val="20"/>
          <w:color w:val="auto"/>
        </w:rPr>
      </w:pPr>
    </w:p>
    <w:p>
      <w:pPr>
        <w:ind w:right="2060"/>
        <w:spacing w:after="0" w:line="203" w:lineRule="auto"/>
        <w:rPr>
          <w:sz w:val="20"/>
          <w:szCs w:val="20"/>
          <w:color w:val="auto"/>
        </w:rPr>
      </w:pPr>
      <w:r>
        <w:rPr>
          <w:rFonts w:ascii="Times New Roman" w:cs="Times New Roman" w:eastAsia="Times New Roman" w:hAnsi="Times New Roman"/>
          <w:sz w:val="16"/>
          <w:szCs w:val="16"/>
          <w:color w:val="auto"/>
        </w:rPr>
        <w:t>See Note 8, Commitments and Contingencies, to the consolidated financial statements included in this Annual Report on Form 10-K for information related to indemnifications.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Contingent Obligations (Giveback)</w:t>
      </w:r>
    </w:p>
    <w:p>
      <w:pPr>
        <w:spacing w:after="0" w:line="1" w:lineRule="exact"/>
        <w:rPr>
          <w:sz w:val="20"/>
          <w:szCs w:val="20"/>
          <w:color w:val="auto"/>
        </w:rPr>
      </w:pPr>
    </w:p>
    <w:p>
      <w:pPr>
        <w:ind w:right="1400" w:firstLine="576"/>
        <w:spacing w:after="0" w:line="232" w:lineRule="auto"/>
        <w:rPr>
          <w:sz w:val="20"/>
          <w:szCs w:val="20"/>
          <w:color w:val="auto"/>
        </w:rPr>
      </w:pPr>
      <w:r>
        <w:rPr>
          <w:rFonts w:ascii="Times New Roman" w:cs="Times New Roman" w:eastAsia="Times New Roman" w:hAnsi="Times New Roman"/>
          <w:sz w:val="14"/>
          <w:szCs w:val="14"/>
          <w:color w:val="auto"/>
        </w:rPr>
        <w:t>Carried interest is ultimately realized when: (1) an underlying investment is profitably disposed of, (2) certain costs borne by the limited partner investors have been reimbursed, (3) the fund’s cumulative returns are in excess of the preferred return, and (4) we have decided to collect carry rather than return additional capital to limited partner investors. Realized carried interest may be required to be returned by us in future periods if the fund’s investment values decline below certain levels. When the fair value of a fund’s investments remains constant or falls below certain return hurdles, previously recognized performance allocations are reversed. See Note 8, Commitments and Contingencies, to the consolidated financial statements included in this Annual Report on Form 10-K for additional information related to our contingent obligations (giveback).</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Other Contingencies</w:t>
      </w:r>
    </w:p>
    <w:p>
      <w:pPr>
        <w:ind w:right="1760"/>
        <w:spacing w:after="0" w:line="216" w:lineRule="auto"/>
        <w:rPr>
          <w:sz w:val="20"/>
          <w:szCs w:val="20"/>
          <w:color w:val="auto"/>
        </w:rPr>
      </w:pPr>
      <w:r>
        <w:rPr>
          <w:rFonts w:ascii="Times New Roman" w:cs="Times New Roman" w:eastAsia="Times New Roman" w:hAnsi="Times New Roman"/>
          <w:sz w:val="16"/>
          <w:szCs w:val="16"/>
          <w:color w:val="auto"/>
        </w:rPr>
        <w:t>In the ordinary course of business, we are a party to litigation, investigations, inquiries, employment- related matters, disputes and other potential claims. We discuss certain of these matters in Note 8, Commitments and Contingencies, to the consolidated financial statements included in this Annual Report on Form 10-K.</w:t>
      </w:r>
    </w:p>
    <w:p>
      <w:pPr>
        <w:sectPr>
          <w:pgSz w:w="11900" w:h="16840" w:orient="portrait"/>
          <w:cols w:equalWidth="0" w:num="1">
            <w:col w:w="9400"/>
          </w:cols>
          <w:pgMar w:left="1060" w:top="558" w:right="144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Carlyle Common Stock</w:t>
      </w:r>
    </w:p>
    <w:p>
      <w:pPr>
        <w:spacing w:after="0" w:line="217" w:lineRule="auto"/>
        <w:rPr>
          <w:sz w:val="20"/>
          <w:szCs w:val="20"/>
          <w:color w:val="auto"/>
        </w:rPr>
      </w:pPr>
      <w:r>
        <w:rPr>
          <w:rFonts w:ascii="Times New Roman" w:cs="Times New Roman" w:eastAsia="Times New Roman" w:hAnsi="Times New Roman"/>
          <w:sz w:val="16"/>
          <w:szCs w:val="16"/>
          <w:color w:val="auto"/>
        </w:rPr>
        <w:t>A rollforward of our common stock outstanding for the years ended December 31, 2024 and 2023 are as follows:</w:t>
      </w: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Ended December 31,</w:t>
            </w:r>
          </w:p>
        </w:tc>
      </w:tr>
      <w:tr>
        <w:trPr>
          <w:trHeight w:val="188"/>
        </w:trPr>
        <w:tc>
          <w:tcPr>
            <w:tcW w:w="5120" w:type="dxa"/>
            <w:vAlign w:val="bottom"/>
          </w:tcPr>
          <w:p>
            <w:pPr>
              <w:spacing w:after="0"/>
              <w:rPr>
                <w:sz w:val="16"/>
                <w:szCs w:val="16"/>
                <w:color w:val="auto"/>
              </w:rPr>
            </w:pPr>
          </w:p>
        </w:tc>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bottom w:val="single" w:sz="8" w:color="auto"/>
            </w:tcBorders>
            <w:gridSpan w:val="2"/>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5120" w:type="dxa"/>
            <w:vAlign w:val="bottom"/>
          </w:tcPr>
          <w:p>
            <w:pPr>
              <w:spacing w:after="0"/>
              <w:rPr>
                <w:sz w:val="16"/>
                <w:szCs w:val="16"/>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361,326,172</w:t>
            </w:r>
          </w:p>
        </w:tc>
        <w:tc>
          <w:tcPr>
            <w:tcW w:w="1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362,298,650</w:t>
            </w:r>
          </w:p>
        </w:tc>
      </w:tr>
      <w:tr>
        <w:trPr>
          <w:trHeight w:val="197"/>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Shares issued</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4,842,417</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5,532,559</w:t>
            </w:r>
          </w:p>
        </w:tc>
      </w:tr>
      <w:tr>
        <w:trPr>
          <w:trHeight w:val="21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repurchased/retired</w:t>
            </w: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(8,984,957)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(6,505,037)</w:t>
            </w:r>
          </w:p>
        </w:tc>
      </w:tr>
      <w:tr>
        <w:trPr>
          <w:trHeight w:val="160"/>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Balance, end of period</w:t>
            </w:r>
          </w:p>
        </w:tc>
        <w:tc>
          <w:tcPr>
            <w:tcW w:w="1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357,183,632</w:t>
            </w:r>
          </w:p>
        </w:tc>
        <w:tc>
          <w:tcPr>
            <w:tcW w:w="20" w:type="dxa"/>
            <w:vAlign w:val="bottom"/>
          </w:tcPr>
          <w:p>
            <w:pPr>
              <w:spacing w:after="0"/>
              <w:rPr>
                <w:sz w:val="13"/>
                <w:szCs w:val="13"/>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361,326,172</w:t>
            </w:r>
          </w:p>
        </w:tc>
      </w:tr>
    </w:tbl>
    <w:p>
      <w:pPr>
        <w:spacing w:after="0" w:line="11" w:lineRule="exact"/>
        <w:rPr>
          <w:sz w:val="20"/>
          <w:szCs w:val="20"/>
          <w:color w:val="auto"/>
        </w:rPr>
      </w:pPr>
    </w:p>
    <w:p>
      <w:pPr>
        <w:ind w:right="1520"/>
        <w:spacing w:after="0" w:line="208" w:lineRule="auto"/>
        <w:rPr>
          <w:sz w:val="20"/>
          <w:szCs w:val="20"/>
          <w:color w:val="auto"/>
        </w:rPr>
      </w:pPr>
      <w:r>
        <w:rPr>
          <w:rFonts w:ascii="Times New Roman" w:cs="Times New Roman" w:eastAsia="Times New Roman" w:hAnsi="Times New Roman"/>
          <w:sz w:val="16"/>
          <w:szCs w:val="16"/>
          <w:color w:val="auto"/>
        </w:rPr>
        <w:t>Shares of The Carlyle Group Inc. common stock issued during the period presented in the tables above relate to the vesting of the Company’s restricted stock units and shares issued and delivered in connection with our equity method investment in NGP during the years ended December 31, 2024 and 2023. Shares of The Carlyle Group Inc. common stock issued and repurchased/retired during the years ended December 31, 2024 and 2023 do not include shares retired as part of the net share settlement of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-497205</wp:posOffset>
            </wp:positionV>
            <wp:extent cx="19818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981835" cy="7620"/>
                    </a:xfrm>
                    <a:prstGeom prst="rect">
                      <a:avLst/>
                    </a:prstGeom>
                    <a:noFill/>
                  </pic:spPr>
                </pic:pic>
              </a:graphicData>
            </a:graphic>
          </wp:anchor>
        </w:drawing>
      </w:r>
    </w:p>
    <w:p>
      <w:pPr>
        <w:ind w:right="1820"/>
        <w:spacing w:after="0" w:line="203" w:lineRule="auto"/>
        <w:rPr>
          <w:sz w:val="20"/>
          <w:szCs w:val="20"/>
          <w:color w:val="auto"/>
        </w:rPr>
      </w:pPr>
      <w:r>
        <w:rPr>
          <w:rFonts w:ascii="Times New Roman" w:cs="Times New Roman" w:eastAsia="Times New Roman" w:hAnsi="Times New Roman"/>
          <w:sz w:val="16"/>
          <w:szCs w:val="16"/>
          <w:color w:val="auto"/>
        </w:rPr>
        <w:t>The Carlyle Group Inc. common stock repurchased during the period presented in the tables above relate to shares repurchased during the years ended December 31, 2024 and 2023 and subsequently retired as part of our share repurchase programs.</w:t>
      </w:r>
    </w:p>
    <w:p>
      <w:pPr>
        <w:spacing w:after="0" w:line="1"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The total shares as of December 31, 2024 as shown above exclude approximately 4.2 million net common shares in connection with the vesting of restricted stock units subsequent to December 31, 2024 that will participate in the common shareholder dividend that will be paid on February 28, 2025.</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The preparation of our consolidated financial statements in conformity with U.S. GAAP requires our management to make estimates and judgments that affect the reported amounts of assets and liabilities, revenues and expenses, and related disclosures of contingent assets and liabilities. These estimates and judgments are based on historical information, information currently available to us and on various other assumptions management believes to be reasonable under the circumstances. Actual results could vary from those estimates and we may change our estimates and assumptions in future evaluations. Changes in these estimates and assumptions may have a material effect on our results of operations and financial condition. We believe the critical accounting policies discussed below affect our more significant judgments and estimates used in the preparation of our consolidated financial statements and should be read in conjunction with our consolidated financial statements and related notes included in this report.</w:t>
      </w:r>
    </w:p>
    <w:p>
      <w:pPr>
        <w:spacing w:after="0" w:line="208" w:lineRule="auto"/>
        <w:rPr>
          <w:sz w:val="20"/>
          <w:szCs w:val="20"/>
          <w:color w:val="auto"/>
        </w:rPr>
      </w:pPr>
      <w:r>
        <w:rPr>
          <w:rFonts w:ascii="Times New Roman" w:cs="Times New Roman" w:eastAsia="Times New Roman" w:hAnsi="Times New Roman"/>
          <w:sz w:val="16"/>
          <w:szCs w:val="16"/>
          <w:i w:val="1"/>
          <w:iCs w:val="1"/>
          <w:color w:val="auto"/>
        </w:rPr>
        <w:t>Basis of Accounting</w:t>
      </w:r>
      <w:r>
        <w:rPr>
          <w:rFonts w:ascii="Times New Roman" w:cs="Times New Roman" w:eastAsia="Times New Roman" w:hAnsi="Times New Roman"/>
          <w:sz w:val="16"/>
          <w:szCs w:val="16"/>
          <w:color w:val="auto"/>
        </w:rPr>
        <w:t>. The Company’s financial statements are prepared in accordance with U.S. GAAP. Management</w:t>
      </w:r>
    </w:p>
    <w:p>
      <w:pPr>
        <w:ind w:right="1440"/>
        <w:spacing w:after="0" w:line="203" w:lineRule="auto"/>
        <w:rPr>
          <w:sz w:val="20"/>
          <w:szCs w:val="20"/>
          <w:color w:val="auto"/>
        </w:rPr>
      </w:pPr>
      <w:r>
        <w:rPr>
          <w:rFonts w:ascii="Times New Roman" w:cs="Times New Roman" w:eastAsia="Times New Roman" w:hAnsi="Times New Roman"/>
          <w:sz w:val="16"/>
          <w:szCs w:val="16"/>
          <w:color w:val="auto"/>
        </w:rPr>
        <w:t>has determined that the Company’s 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 Additionally, the funds do not consolidate their majority-owned and controlled investments (the “Portfolio Companies”). In the preparation of its consolidated financial statements, the Company has retained the specialized accounting for the Funds.</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Principles of Consolidation. </w:t>
      </w:r>
      <w:r>
        <w:rPr>
          <w:rFonts w:ascii="Times New Roman" w:cs="Times New Roman" w:eastAsia="Times New Roman" w:hAnsi="Times New Roman"/>
          <w:sz w:val="16"/>
          <w:szCs w:val="16"/>
          <w:color w:val="auto"/>
        </w:rPr>
        <w:t>The Company consolidates all entities that it controls either through a majority voting</w:t>
      </w:r>
    </w:p>
    <w:p>
      <w:pPr>
        <w:ind w:right="1480"/>
        <w:spacing w:after="0" w:line="203" w:lineRule="auto"/>
        <w:rPr>
          <w:sz w:val="20"/>
          <w:szCs w:val="20"/>
          <w:color w:val="auto"/>
        </w:rPr>
      </w:pPr>
      <w:r>
        <w:rPr>
          <w:rFonts w:ascii="Times New Roman" w:cs="Times New Roman" w:eastAsia="Times New Roman" w:hAnsi="Times New Roman"/>
          <w:sz w:val="16"/>
          <w:szCs w:val="16"/>
          <w:color w:val="auto"/>
        </w:rPr>
        <w:t>interest or as the primary beneficiary of variable interest entities (“VIEs”). The Company describes the policies and procedures it uses in evaluating whether an entity is consolidated in Note 2, Summary of Significant Accounting Policies, to the consolidated financial statements included in this Annual Report on Form 10- K. As part of its consolidation procedures, the Company evaluates: (1) whether it holds a variable interest in an entity, (2) whether the entity is a VIE, and (3) whether the Company’s involvement would make it the primary beneficiary.</w:t>
      </w:r>
    </w:p>
    <w:p>
      <w:pPr>
        <w:spacing w:after="0" w:line="2" w:lineRule="exact"/>
        <w:rPr>
          <w:sz w:val="20"/>
          <w:szCs w:val="20"/>
          <w:color w:val="auto"/>
        </w:rPr>
      </w:pPr>
    </w:p>
    <w:p>
      <w:pPr>
        <w:ind w:right="2260"/>
        <w:spacing w:after="0" w:line="238" w:lineRule="auto"/>
        <w:rPr>
          <w:sz w:val="20"/>
          <w:szCs w:val="20"/>
          <w:color w:val="auto"/>
        </w:rPr>
      </w:pPr>
      <w:r>
        <w:rPr>
          <w:rFonts w:ascii="Times New Roman" w:cs="Times New Roman" w:eastAsia="Times New Roman" w:hAnsi="Times New Roman"/>
          <w:sz w:val="14"/>
          <w:szCs w:val="14"/>
          <w:color w:val="auto"/>
        </w:rPr>
        <w:t>•In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 •For those entities where the Company holds a variable interest, the Company determines whether each of these entities qualifies as a VIE and, if so, whether or not the Company is the primary beneficiary. The assessment of</w:t>
      </w:r>
    </w:p>
    <w:p>
      <w:pPr>
        <w:sectPr>
          <w:pgSz w:w="11900" w:h="16840" w:orient="portrait"/>
          <w:cols w:equalWidth="0" w:num="1">
            <w:col w:w="9400"/>
          </w:cols>
          <w:pgMar w:left="1060" w:top="1440" w:right="1440" w:bottom="1440" w:gutter="0" w:footer="0" w:header="0"/>
        </w:sectPr>
      </w:pPr>
    </w:p>
    <w:bookmarkStart w:id="123" w:name="page124"/>
    <w:bookmarkEnd w:id="123"/>
    <w:p>
      <w:pPr>
        <w:ind w:left="10"/>
        <w:spacing w:after="0"/>
        <w:rPr>
          <w:sz w:val="20"/>
          <w:szCs w:val="20"/>
          <w:color w:val="auto"/>
        </w:rPr>
      </w:pPr>
      <w:r>
        <w:rPr>
          <w:rFonts w:ascii="Times New Roman" w:cs="Times New Roman" w:eastAsia="Times New Roman" w:hAnsi="Times New Roman"/>
          <w:sz w:val="16"/>
          <w:szCs w:val="16"/>
          <w:color w:val="auto"/>
        </w:rPr>
        <w:t>151</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2320"/>
        <w:spacing w:after="0" w:line="203" w:lineRule="auto"/>
        <w:rPr>
          <w:sz w:val="20"/>
          <w:szCs w:val="20"/>
          <w:color w:val="auto"/>
        </w:rPr>
      </w:pPr>
      <w:r>
        <w:rPr>
          <w:rFonts w:ascii="Times New Roman" w:cs="Times New Roman" w:eastAsia="Times New Roman" w:hAnsi="Times New Roman"/>
          <w:sz w:val="16"/>
          <w:szCs w:val="16"/>
          <w:color w:val="auto"/>
        </w:rPr>
        <w:t>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 determining whether the equity investors have proportionate voting rights to their obligations to absorb losses or rights to receive returns from an entity.</w:t>
      </w:r>
    </w:p>
    <w:p>
      <w:pPr>
        <w:spacing w:after="0" w:line="3" w:lineRule="exact"/>
        <w:rPr>
          <w:sz w:val="20"/>
          <w:szCs w:val="20"/>
          <w:color w:val="auto"/>
        </w:rPr>
      </w:pPr>
    </w:p>
    <w:p>
      <w:pPr>
        <w:ind w:left="10" w:right="2380"/>
        <w:spacing w:after="0" w:line="203" w:lineRule="auto"/>
        <w:rPr>
          <w:sz w:val="20"/>
          <w:szCs w:val="20"/>
          <w:color w:val="auto"/>
        </w:rPr>
      </w:pPr>
      <w:r>
        <w:rPr>
          <w:rFonts w:ascii="Times New Roman" w:cs="Times New Roman" w:eastAsia="Times New Roman" w:hAnsi="Times New Roman"/>
          <w:sz w:val="16"/>
          <w:szCs w:val="16"/>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 evaluating whether the Company is the primary beneficiary, the Company evaluates its economic interests in the entity held either directly or indirectly by the Company, such as the Company’s 10.5% indirect ownership interest in Fortitude.</w:t>
      </w:r>
    </w:p>
    <w:p>
      <w:pPr>
        <w:ind w:left="10"/>
        <w:spacing w:after="0" w:line="207" w:lineRule="auto"/>
        <w:rPr>
          <w:sz w:val="20"/>
          <w:szCs w:val="20"/>
          <w:color w:val="auto"/>
        </w:rPr>
      </w:pPr>
      <w:r>
        <w:rPr>
          <w:rFonts w:ascii="Times New Roman" w:cs="Times New Roman" w:eastAsia="Times New Roman" w:hAnsi="Times New Roman"/>
          <w:sz w:val="16"/>
          <w:szCs w:val="16"/>
          <w:color w:val="auto"/>
        </w:rPr>
        <w:t>Changes to these judgments could result in a change in the consolidation conclusion for a legal entity.</w:t>
      </w:r>
    </w:p>
    <w:p>
      <w:pPr>
        <w:ind w:left="10" w:right="1980"/>
        <w:spacing w:after="0" w:line="203" w:lineRule="auto"/>
        <w:rPr>
          <w:sz w:val="20"/>
          <w:szCs w:val="20"/>
          <w:color w:val="auto"/>
        </w:rPr>
      </w:pPr>
      <w:r>
        <w:rPr>
          <w:rFonts w:ascii="Times New Roman" w:cs="Times New Roman" w:eastAsia="Times New Roman" w:hAnsi="Times New Roman"/>
          <w:sz w:val="16"/>
          <w:szCs w:val="16"/>
          <w:color w:val="auto"/>
        </w:rPr>
        <w:t xml:space="preserve">Entities that do not qualify as VIEs are generally assessed for consolidation as voting interest entities. Under the voting interest entity model, the Company consolidates those entities it controls through a majority voting interest. </w:t>
      </w:r>
      <w:r>
        <w:rPr>
          <w:rFonts w:ascii="Times New Roman" w:cs="Times New Roman" w:eastAsia="Times New Roman" w:hAnsi="Times New Roman"/>
          <w:sz w:val="16"/>
          <w:szCs w:val="16"/>
          <w:i w:val="1"/>
          <w:iCs w:val="1"/>
          <w:color w:val="auto"/>
        </w:rPr>
        <w:t xml:space="preserve">Performance Allocations. </w:t>
      </w:r>
      <w:r>
        <w:rPr>
          <w:rFonts w:ascii="Times New Roman" w:cs="Times New Roman" w:eastAsia="Times New Roman" w:hAnsi="Times New Roman"/>
          <w:sz w:val="16"/>
          <w:szCs w:val="16"/>
          <w:color w:val="auto"/>
        </w:rPr>
        <w:t>As of December 31, 2024, we had accrued performance allocations of $7.1 billion.</w:t>
      </w:r>
    </w:p>
    <w:p>
      <w:pPr>
        <w:spacing w:after="0" w:line="1" w:lineRule="exact"/>
        <w:rPr>
          <w:sz w:val="20"/>
          <w:szCs w:val="20"/>
          <w:color w:val="auto"/>
        </w:rPr>
      </w:pPr>
    </w:p>
    <w:p>
      <w:pPr>
        <w:ind w:left="10" w:right="1420"/>
        <w:spacing w:after="0" w:line="232" w:lineRule="auto"/>
        <w:rPr>
          <w:sz w:val="20"/>
          <w:szCs w:val="20"/>
          <w:color w:val="auto"/>
        </w:rPr>
      </w:pPr>
      <w:r>
        <w:rPr>
          <w:rFonts w:ascii="Times New Roman" w:cs="Times New Roman" w:eastAsia="Times New Roman" w:hAnsi="Times New Roman"/>
          <w:sz w:val="14"/>
          <w:szCs w:val="14"/>
          <w:color w:val="auto"/>
        </w:rPr>
        <w:t>Performance allocations consist principally of the performance- based allocation of profits from certain of the funds to which the Company is entitled (commonly referred to as carried interest). The Company is generally entitled to a 20% allocation (which can vary by fund) of the net realized income or gain as a carried interest after returning the invested capital, the allocation of preferred returns and return of certain fund costs (generally subject to catch-up provisions as set forth in the fund limited partnership agreement). Carried interest is ultimately realized when: (i) an underlying investment is profitably disposed of,</w:t>
      </w:r>
    </w:p>
    <w:p>
      <w:pPr>
        <w:spacing w:after="0" w:line="2" w:lineRule="exact"/>
        <w:rPr>
          <w:sz w:val="20"/>
          <w:szCs w:val="20"/>
          <w:color w:val="auto"/>
        </w:rPr>
      </w:pPr>
    </w:p>
    <w:p>
      <w:pPr>
        <w:ind w:left="10" w:right="1420" w:hanging="10"/>
        <w:spacing w:after="0" w:line="203" w:lineRule="auto"/>
        <w:tabs>
          <w:tab w:leader="none" w:pos="23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borne by the limited partner investors have been reimbursed, (iii) the fund’s cumulative returns are in excess of the preferred return, and (iv) the Company has decided to collect carry rather than return additional capital to limited partner investors.</w:t>
      </w:r>
    </w:p>
    <w:p>
      <w:pPr>
        <w:spacing w:after="0" w:line="1"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Carried interest is recognized upon appreciation of the funds’ investment values above certain return hurdles set forth</w:t>
      </w:r>
    </w:p>
    <w:p>
      <w:pPr>
        <w:ind w:left="10" w:right="140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each respective partnership agreement, the Company recognizes revenues attributable to performance allocations based upon the amount that would be due pursuant to the fund partnership agreement at each period end as if the funds were terminated at that date. Accordingly, the amount recognized as investment income related to performance allocations reflects the Company’s share of the gains and losses of the associated funds’ underlying investments measured at their then-current fair values relative to the fair values as of the end of the prior period. Because of the inherent uncertainty in measuring the fair value of investments in the absence of observable market prices as discussed below, these estimated values may differ significantly from the values that would have been used had a ready market for the investments existed, and it is reasonably possible that the difference could be material. If, at December 31, 2024, all of the investments held by the Company’s funds were deemed worthless, a possibility that management views as remote, the amount of realized and distributed carried interest subject to potential giveback would be $1.4 billion, on an after-tax basis where applicable, of which approximately $0.5 billion would be the responsibility of current and former senior Carlyle professionals.</w:t>
      </w:r>
    </w:p>
    <w:p>
      <w:pPr>
        <w:spacing w:after="0" w:line="4"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2, Summary of Significant Accounting Policies, to the consolidated financial statements included in this</w:t>
      </w:r>
    </w:p>
    <w:p>
      <w:pPr>
        <w:ind w:left="10" w:right="148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 on Form 10-K for information related to performance allocations for various fund types, preferred return hurdle rates, the timing of performance allocation recognition in investment income, and the potential for performance allocation income reversal.</w:t>
      </w:r>
    </w:p>
    <w:p>
      <w:pPr>
        <w:spacing w:after="0" w:line="1"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Performance Allocation Related Compensation. </w:t>
      </w:r>
      <w:r>
        <w:rPr>
          <w:rFonts w:ascii="Times New Roman" w:cs="Times New Roman" w:eastAsia="Times New Roman" w:hAnsi="Times New Roman"/>
          <w:sz w:val="16"/>
          <w:szCs w:val="16"/>
          <w:color w:val="auto"/>
        </w:rPr>
        <w:t>As of December 31, 2024, we had accrued performance allocations</w:t>
      </w:r>
    </w:p>
    <w:p>
      <w:pPr>
        <w:ind w:left="10" w:right="142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incentive fee related compensation of $4.8 billion. A portion of the performance allocations earned is due to employees and advisers of the Company. These amounts are accounted for as compensation expense in conjunction with the recognition of the related performance allocation revenue and, until paid, are recognized as a component of the accrued compensation and benefits liability. Accordingly, upon a reversal of performance allocation revenue, the related compensation expense, if any, is also reversed.</w:t>
      </w:r>
    </w:p>
    <w:p>
      <w:pPr>
        <w:spacing w:after="0" w:line="2" w:lineRule="exact"/>
        <w:rPr>
          <w:rFonts w:ascii="Times New Roman" w:cs="Times New Roman" w:eastAsia="Times New Roman" w:hAnsi="Times New Roman"/>
          <w:sz w:val="16"/>
          <w:szCs w:val="16"/>
          <w:color w:val="auto"/>
        </w:rPr>
      </w:pP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The Carlyle Group Inc. is a corporation for U.S. federal income tax purposes and thus is subject to U.S.</w:t>
      </w:r>
    </w:p>
    <w:p>
      <w:pPr>
        <w:ind w:left="10" w:right="1420"/>
        <w:spacing w:after="0" w:line="2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(and state and local) corporate income taxes. Based on applicable federal, foreign, state and local tax laws, the Company records a provision for income taxes for certain entities. Tax positions taken by the Company are subject to periodic audit by U.S. federal, state, local and foreign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152</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right="1480" w:firstLine="576"/>
        <w:spacing w:after="0" w:line="203" w:lineRule="auto"/>
        <w:rPr>
          <w:sz w:val="20"/>
          <w:szCs w:val="20"/>
          <w:color w:val="auto"/>
        </w:rPr>
      </w:pPr>
      <w:r>
        <w:rPr>
          <w:rFonts w:ascii="Times New Roman" w:cs="Times New Roman" w:eastAsia="Times New Roman" w:hAnsi="Times New Roman"/>
          <w:sz w:val="16"/>
          <w:szCs w:val="16"/>
          <w:color w:val="auto"/>
        </w:rPr>
        <w:t>As of December 31, 2024, we had gross deferred tax assets of $1.7 billion. The Company accounts for income taxes using the asset and liability method, which requires the recognition of deferred tax assets and liabilities for the expected future consequences of events that have been included in the financial statements or tax returns. A valuation allowance is recorded on the Company’s gross deferred tax assets when it is “more likely than not” that such asset will not be realized. When evaluating the realizability of the Company’s deferred tax assets, all evidence, both positive and negative, is evaluated. As of December 31, 2024, we recorded a valuation allowance of $62.7 million on our gross deferred tax assets. Items considered in this analysis include the ability to carry back losses, the reversal of temporary differences, tax planning strategies, and expectations of future earnings. Lastly, the Company accounts for the tax on global intangible low -taxed income (“GILTI”) as incurred and therefore has not recorded deferred taxes related to GILTI on its foreign subsidiaries. Changes in judgment as it relates to the realizability of these assets, as well as potential changes in corporate tax rates would have the effect of significantly reducing the value of the deferred tax assets.</w:t>
      </w:r>
    </w:p>
    <w:p>
      <w:pPr>
        <w:spacing w:after="0" w:line="5" w:lineRule="exact"/>
        <w:rPr>
          <w:sz w:val="20"/>
          <w:szCs w:val="20"/>
          <w:color w:val="auto"/>
        </w:rPr>
      </w:pPr>
    </w:p>
    <w:p>
      <w:pPr>
        <w:ind w:left="570"/>
        <w:spacing w:after="0"/>
        <w:rPr>
          <w:sz w:val="20"/>
          <w:szCs w:val="20"/>
          <w:color w:val="auto"/>
        </w:rPr>
      </w:pPr>
      <w:r>
        <w:rPr>
          <w:rFonts w:ascii="Times New Roman" w:cs="Times New Roman" w:eastAsia="Times New Roman" w:hAnsi="Times New Roman"/>
          <w:sz w:val="14"/>
          <w:szCs w:val="14"/>
          <w:color w:val="auto"/>
        </w:rPr>
        <w:t>Under U.S. GAAP for income taxes, the amount of tax benefit to be recognized is the amount of benefit that is “more</w:t>
      </w:r>
    </w:p>
    <w:p>
      <w:pPr>
        <w:sectPr>
          <w:pgSz w:w="11900" w:h="16840" w:orient="portrait"/>
          <w:cols w:equalWidth="0" w:num="1">
            <w:col w:w="9410"/>
          </w:cols>
          <w:pgMar w:left="1050" w:top="1171" w:right="1440" w:bottom="91" w:gutter="0" w:footer="0" w:header="0"/>
        </w:sectPr>
      </w:pPr>
    </w:p>
    <w:bookmarkStart w:id="124" w:name="page125"/>
    <w:bookmarkEnd w:id="124"/>
    <w:p>
      <w:pPr>
        <w:ind w:right="1440"/>
        <w:spacing w:after="0" w:line="206" w:lineRule="auto"/>
        <w:rPr>
          <w:sz w:val="20"/>
          <w:szCs w:val="20"/>
          <w:color w:val="auto"/>
        </w:rPr>
      </w:pPr>
      <w:r>
        <w:rPr>
          <w:rFonts w:ascii="Times New Roman" w:cs="Times New Roman" w:eastAsia="Times New Roman" w:hAnsi="Times New Roman"/>
          <w:sz w:val="16"/>
          <w:szCs w:val="16"/>
          <w:color w:val="auto"/>
        </w:rPr>
        <w:t>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consolidated financial statements. The Company recognizes accrued interest and penalties related to unrecognized tax positions in the provision for income taxes. If recognized, the entire amount of unrecognized tax positions would be recorded as a reduction in the provision for income taxes. As of December 31, 2024, we had unrecognized tax benefits of $38.0 million, which if recognized would result in a reduction in the provision for income taxes of $27.0 million.</w:t>
      </w:r>
    </w:p>
    <w:p>
      <w:pPr>
        <w:spacing w:after="0" w:line="207" w:lineRule="auto"/>
        <w:rPr>
          <w:sz w:val="20"/>
          <w:szCs w:val="20"/>
          <w:color w:val="auto"/>
        </w:rPr>
      </w:pPr>
      <w:r>
        <w:rPr>
          <w:rFonts w:ascii="Times New Roman" w:cs="Times New Roman" w:eastAsia="Times New Roman" w:hAnsi="Times New Roman"/>
          <w:sz w:val="16"/>
          <w:szCs w:val="16"/>
          <w:i w:val="1"/>
          <w:iCs w:val="1"/>
          <w:color w:val="auto"/>
        </w:rPr>
        <w:t xml:space="preserve">Fair Value Measurement. </w:t>
      </w:r>
      <w:r>
        <w:rPr>
          <w:rFonts w:ascii="Times New Roman" w:cs="Times New Roman" w:eastAsia="Times New Roman" w:hAnsi="Times New Roman"/>
          <w:sz w:val="16"/>
          <w:szCs w:val="16"/>
          <w:color w:val="auto"/>
        </w:rPr>
        <w:t>In the absence of observable market prices, the Company values its investments and its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funds’ investments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of operating companies and real estate properties, and certain debt positions. The valuation technique for each of these investments is described in Note 2, Summary of Significant Accounting Policies, to the consolidated financial statements included in this Annual Report on Form 10-K.</w:t>
      </w:r>
    </w:p>
    <w:p>
      <w:pPr>
        <w:spacing w:after="0" w:line="3"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Valuations of the funds’ investments are used in the calculation of accrued performance allocations, discussed above. The valuation methodologies can involve subjective judgments, and the fair value of assets established pursuant to such methodologies may be incorrect, which could result in the misstatement of fund performance and accrued performance allocations. Because there is significant uncertainty in the valuation of, or in the stability of the value of, illiquid investments, the fair values of such investments as reflected in an investment fund’s net asset value do not necessarily reflect the prices that would be obtained by us on behalf of the investment fund when such investments are realized. Realizations at values significantly lower than the values at which investments have been reflected in prior fund net asset values would result in reduced earnings or losses for the applicable fund, the loss of potential performance allocations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fund net asset values could cause investors to lose confidence in us, which could in turn result in difficulty in raising additional funds. See Part I, Item 1A “Risk Factors—Risks Related to Our Business Operations—Risks Related to the Assets We Manage—Valuation methodologies for certain assets in our funds can involve subjective judgments, and the fair value of assets established pursuant to such methodologies may be incorrect, which could result in the misstatement of fund performance and accrued performance allocations.”</w:t>
      </w:r>
    </w:p>
    <w:p>
      <w:pPr>
        <w:spacing w:after="0" w:line="211" w:lineRule="auto"/>
        <w:rPr>
          <w:sz w:val="20"/>
          <w:szCs w:val="20"/>
          <w:color w:val="auto"/>
        </w:rPr>
      </w:pPr>
      <w:r>
        <w:rPr>
          <w:rFonts w:ascii="Times New Roman" w:cs="Times New Roman" w:eastAsia="Times New Roman" w:hAnsi="Times New Roman"/>
          <w:sz w:val="16"/>
          <w:szCs w:val="16"/>
          <w:i w:val="1"/>
          <w:iCs w:val="1"/>
          <w:color w:val="auto"/>
        </w:rPr>
        <w:t xml:space="preserve">Principal Equity-Method Investments. </w:t>
      </w:r>
      <w:r>
        <w:rPr>
          <w:rFonts w:ascii="Times New Roman" w:cs="Times New Roman" w:eastAsia="Times New Roman" w:hAnsi="Times New Roman"/>
          <w:sz w:val="16"/>
          <w:szCs w:val="16"/>
          <w:color w:val="auto"/>
        </w:rPr>
        <w:t>The Company accounts for all investments in which it has or is otherwise</w:t>
      </w:r>
    </w:p>
    <w:p>
      <w:pPr>
        <w:spacing w:after="0" w:line="1" w:lineRule="exact"/>
        <w:rPr>
          <w:sz w:val="20"/>
          <w:szCs w:val="20"/>
          <w:color w:val="auto"/>
        </w:rPr>
      </w:pPr>
    </w:p>
    <w:p>
      <w:pPr>
        <w:ind w:right="1440"/>
        <w:spacing w:after="0" w:line="232" w:lineRule="auto"/>
        <w:rPr>
          <w:sz w:val="20"/>
          <w:szCs w:val="20"/>
          <w:color w:val="auto"/>
        </w:rPr>
      </w:pPr>
      <w:r>
        <w:rPr>
          <w:rFonts w:ascii="Times New Roman" w:cs="Times New Roman" w:eastAsia="Times New Roman" w:hAnsi="Times New Roman"/>
          <w:sz w:val="14"/>
          <w:szCs w:val="14"/>
          <w:color w:val="auto"/>
        </w:rPr>
        <w:t>presumed to have significant influence, including investments in the unconsolidated funds and strategic investments, using the equity method of accounting. The carrying value of equity-method investments is determined based on amounts invested by the Company, adjusted for the equity in earnings or losses of the investee allocated based on the respective partnership or other agreement, less distributions received. The Company evaluates its equity-method investments for impairment whenever events or changes in circumstances indicate that the carrying amounts of such investments may not be recoverable.</w:t>
      </w:r>
    </w:p>
    <w:p>
      <w:pPr>
        <w:spacing w:after="0" w:line="2" w:lineRule="exact"/>
        <w:rPr>
          <w:sz w:val="20"/>
          <w:szCs w:val="20"/>
          <w:color w:val="auto"/>
        </w:rPr>
      </w:pPr>
    </w:p>
    <w:p>
      <w:pPr>
        <w:ind w:right="1840"/>
        <w:spacing w:after="0" w:line="244" w:lineRule="auto"/>
        <w:rPr>
          <w:sz w:val="20"/>
          <w:szCs w:val="20"/>
          <w:color w:val="auto"/>
        </w:rPr>
      </w:pPr>
      <w:r>
        <w:rPr>
          <w:rFonts w:ascii="Times New Roman" w:cs="Times New Roman" w:eastAsia="Times New Roman" w:hAnsi="Times New Roman"/>
          <w:sz w:val="14"/>
          <w:szCs w:val="14"/>
          <w:color w:val="auto"/>
        </w:rPr>
        <w:t>Our equity-method investment in NGP entitles us to 55% of the management fee related revenue of the NGP entities that serve as advisors to the NGP Energy Funds and is subject to impairment under the U.S. GAAP accounting for equity method investments. We evaluate our equity method investment in NGP for impairment whenever events or changes in circumstances indicate that the carrying amount of the investment may not be recoverable, but no less than quarterly.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480"/>
        <w:spacing w:after="0" w:line="203" w:lineRule="auto"/>
        <w:rPr>
          <w:sz w:val="20"/>
          <w:szCs w:val="20"/>
          <w:color w:val="auto"/>
        </w:rPr>
      </w:pPr>
      <w:r>
        <w:rPr>
          <w:rFonts w:ascii="Times New Roman" w:cs="Times New Roman" w:eastAsia="Times New Roman" w:hAnsi="Times New Roman"/>
          <w:sz w:val="16"/>
          <w:szCs w:val="16"/>
          <w:color w:val="auto"/>
        </w:rPr>
        <w:t>example, challenges with fundraising, lower future management fees, or a change in our economic arrangement could cause an impairment of our investment in NGP in the future. As of December 31, 2024, we continue to believe that our investment in NGP is not impaired.</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During the year ended December 31, 2024, we recognized $467.9 million in equity-based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expense. Compensation expense relating to the issuance of equity-based awards to Carlyle employees is measured at fair value on the grant date. In determining the aggregate grant date fair value of awards with market-based conditions, we use a Monte Carlo simulation which requires certain assumptions and estimates such as the volatility of our future share price, and changes in those assumptions could result in materially different results. Of the $467.9 million in equity-based compensation expense recognized during the year ended December 31, 2024, approximately $231.6 million related to awards with market- based conditions.</w:t>
      </w:r>
    </w:p>
    <w:p>
      <w:pPr>
        <w:spacing w:after="0" w:line="207" w:lineRule="auto"/>
        <w:rPr>
          <w:sz w:val="20"/>
          <w:szCs w:val="20"/>
          <w:color w:val="auto"/>
        </w:rPr>
      </w:pPr>
      <w:r>
        <w:rPr>
          <w:rFonts w:ascii="Times New Roman" w:cs="Times New Roman" w:eastAsia="Times New Roman" w:hAnsi="Times New Roman"/>
          <w:sz w:val="16"/>
          <w:szCs w:val="16"/>
          <w:i w:val="1"/>
          <w:iCs w:val="1"/>
          <w:color w:val="auto"/>
        </w:rPr>
        <w:t xml:space="preserve">Intangible Assets and Goodwill. </w:t>
      </w:r>
      <w:r>
        <w:rPr>
          <w:rFonts w:ascii="Times New Roman" w:cs="Times New Roman" w:eastAsia="Times New Roman" w:hAnsi="Times New Roman"/>
          <w:sz w:val="16"/>
          <w:szCs w:val="16"/>
          <w:color w:val="auto"/>
        </w:rPr>
        <w:t>The Company’s intangible assets consist of acquired contractual rights to earn future</w:t>
      </w:r>
    </w:p>
    <w:p>
      <w:pPr>
        <w:ind w:right="1420"/>
        <w:spacing w:after="0" w:line="232" w:lineRule="auto"/>
        <w:rPr>
          <w:sz w:val="20"/>
          <w:szCs w:val="20"/>
          <w:color w:val="auto"/>
        </w:rPr>
      </w:pPr>
      <w:r>
        <w:rPr>
          <w:rFonts w:ascii="Times New Roman" w:cs="Times New Roman" w:eastAsia="Times New Roman" w:hAnsi="Times New Roman"/>
          <w:sz w:val="14"/>
          <w:szCs w:val="14"/>
          <w:color w:val="auto"/>
        </w:rPr>
        <w:t>fee income, including management and advisory fees, customer relationships, and acquired trademarks. We allocate the fair value of purchase consideration to the tangible assets acquired, liabilities assumed, and intangible assets acquired based on their estimated fair values. The excess of the fair value of purchase consideration over the fair value of these identifiable assets and liabilities is recorded as goodwill. These valuations require management to make significant judgements, assumptions and estimates. The allocation of purchase consideration to identifiable assets and liabilities affects our amortization expense, as acquired finite -lived intangible assets are amortized over their estimated useful lives, whereas goodwill is not amortized. As of December 31, 2024, we had intangible assets, net of accumulated amortization, of $634.1 million, including</w:t>
      </w:r>
    </w:p>
    <w:p>
      <w:pPr>
        <w:spacing w:after="0" w:line="3" w:lineRule="exact"/>
        <w:rPr>
          <w:sz w:val="20"/>
          <w:szCs w:val="20"/>
          <w:color w:val="auto"/>
        </w:rPr>
      </w:pPr>
    </w:p>
    <w:p>
      <w:pPr>
        <w:ind w:right="1460"/>
        <w:spacing w:after="0" w:line="232" w:lineRule="auto"/>
        <w:rPr>
          <w:sz w:val="20"/>
          <w:szCs w:val="20"/>
          <w:color w:val="auto"/>
        </w:rPr>
      </w:pPr>
      <w:r>
        <w:rPr>
          <w:rFonts w:ascii="Times New Roman" w:cs="Times New Roman" w:eastAsia="Times New Roman" w:hAnsi="Times New Roman"/>
          <w:sz w:val="14"/>
          <w:szCs w:val="14"/>
          <w:color w:val="auto"/>
        </w:rPr>
        <w:t>$103.6 million of goodwill. Our finite-lived intangible assets have estimated useful lives which range from four to eight years, and are reviewed for impairment whenever events or changes in circumstances indicate that the carrying amount of the asset may not be recoverable. 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 Impairment testing requires the assessment of both qualitative and quantitative factors, including, but not limited to</w:t>
      </w:r>
    </w:p>
    <w:p>
      <w:pPr>
        <w:spacing w:after="0" w:line="3"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color w:val="auto"/>
        </w:rPr>
        <w:t>whether there has been a significant or adverse change in the business climate that could affect the value of an asset and/or significant or adverse changes in cash flow projections or earnings forecasts. These assessments require management to make judgements, assumptions and estimates. As of December 31, 2024, we continue to believe our intangible assets and goodwill are not impaired.</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 w:lineRule="exact"/>
        <w:rPr>
          <w:sz w:val="20"/>
          <w:szCs w:val="20"/>
          <w:color w:val="auto"/>
        </w:rPr>
      </w:pPr>
    </w:p>
    <w:p>
      <w:pPr>
        <w:ind w:right="2560"/>
        <w:spacing w:after="0" w:line="222" w:lineRule="auto"/>
        <w:rPr>
          <w:sz w:val="20"/>
          <w:szCs w:val="20"/>
          <w:color w:val="auto"/>
        </w:rPr>
      </w:pPr>
      <w:r>
        <w:rPr>
          <w:rFonts w:ascii="Times New Roman" w:cs="Times New Roman" w:eastAsia="Times New Roman" w:hAnsi="Times New Roman"/>
          <w:sz w:val="16"/>
          <w:szCs w:val="16"/>
          <w:color w:val="auto"/>
        </w:rPr>
        <w:t>We discuss recent accounting pronouncements in Note 2, Summary of Significant Accounting Policies, to the consolidated financial statements included in this Annual Report on Form 10-K.</w:t>
      </w:r>
    </w:p>
    <w:p>
      <w:pPr>
        <w:sectPr>
          <w:pgSz w:w="11900" w:h="16840" w:orient="portrait"/>
          <w:cols w:equalWidth="0" w:num="1">
            <w:col w:w="9400"/>
          </w:cols>
          <w:pgMar w:left="1060" w:top="557" w:right="1440" w:bottom="8" w:gutter="0" w:footer="0" w:header="0"/>
        </w:sectPr>
      </w:pPr>
    </w:p>
    <w:bookmarkStart w:id="125" w:name="page126"/>
    <w:bookmarkEnd w:id="125"/>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ind w:right="1920"/>
        <w:spacing w:after="0" w:line="203" w:lineRule="auto"/>
        <w:rPr>
          <w:sz w:val="20"/>
          <w:szCs w:val="20"/>
          <w:color w:val="auto"/>
        </w:rPr>
      </w:pPr>
      <w:r>
        <w:rPr>
          <w:rFonts w:ascii="Times New Roman" w:cs="Times New Roman" w:eastAsia="Times New Roman" w:hAnsi="Times New Roman"/>
          <w:sz w:val="16"/>
          <w:szCs w:val="16"/>
          <w:color w:val="auto"/>
        </w:rPr>
        <w:t>Our primary exposure to market risk is related to our role as general partner or investment advisor to our investment funds and the sensitivities to movements in the fair value of their investments, including the effect on management fees, incentive fees, performance allocations and principal investment income.</w:t>
      </w:r>
    </w:p>
    <w:p>
      <w:pPr>
        <w:spacing w:after="0" w:line="1" w:lineRule="exact"/>
        <w:rPr>
          <w:sz w:val="20"/>
          <w:szCs w:val="20"/>
          <w:color w:val="auto"/>
        </w:rPr>
      </w:pPr>
    </w:p>
    <w:p>
      <w:pPr>
        <w:ind w:right="1480"/>
        <w:spacing w:after="0" w:line="232" w:lineRule="auto"/>
        <w:rPr>
          <w:sz w:val="20"/>
          <w:szCs w:val="20"/>
          <w:color w:val="auto"/>
        </w:rPr>
      </w:pPr>
      <w:r>
        <w:rPr>
          <w:rFonts w:ascii="Times New Roman" w:cs="Times New Roman" w:eastAsia="Times New Roman" w:hAnsi="Times New Roman"/>
          <w:sz w:val="14"/>
          <w:szCs w:val="14"/>
          <w:color w:val="auto"/>
        </w:rPr>
        <w:t>Although our investment funds share many common themes, each of our asset management asset classes runs its own investment and risk management processes, subject to our overall risk tolerance and philosophy. The investment process of our investment funds involves a comprehensive due diligence approach, including review of the reputation of shareholders and management, company size and sensitivity of cash flow generation, business sector and competitive risks, portfolio fit, exit risks and other key factors highlighted by the deal team. Key investment decisions are subject to approval by both the fund-level managing directors, as well as the investment committee, which is generally composed of one or more of the three founding partners, one “sector” head, one or more advisors and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w:t>
      </w:r>
    </w:p>
    <w:p>
      <w:pPr>
        <w:spacing w:after="0" w:line="208" w:lineRule="auto"/>
        <w:rPr>
          <w:sz w:val="20"/>
          <w:szCs w:val="20"/>
          <w:color w:val="auto"/>
        </w:rPr>
      </w:pPr>
      <w:r>
        <w:rPr>
          <w:rFonts w:ascii="Times New Roman" w:cs="Times New Roman" w:eastAsia="Times New Roman" w:hAnsi="Times New Roman"/>
          <w:sz w:val="16"/>
          <w:szCs w:val="16"/>
          <w:b w:val="1"/>
          <w:bCs w:val="1"/>
          <w:i w:val="1"/>
          <w:iCs w:val="1"/>
          <w:color w:val="auto"/>
        </w:rPr>
        <w:t>Effect on Fund Management Fees</w:t>
      </w:r>
    </w:p>
    <w:p>
      <w:pPr>
        <w:ind w:right="1440"/>
        <w:spacing w:after="0" w:line="244" w:lineRule="auto"/>
        <w:rPr>
          <w:sz w:val="20"/>
          <w:szCs w:val="20"/>
          <w:color w:val="auto"/>
        </w:rPr>
      </w:pPr>
      <w:r>
        <w:rPr>
          <w:rFonts w:ascii="Times New Roman" w:cs="Times New Roman" w:eastAsia="Times New Roman" w:hAnsi="Times New Roman"/>
          <w:sz w:val="14"/>
          <w:szCs w:val="14"/>
          <w:color w:val="auto"/>
        </w:rPr>
        <w:t>Management fees will only be directly affected by short-term changes in market conditions to the extent they are based on NAV or represent permanent impairments of value. These management fees will be increased (or reduced) in direct proportion to the effect of changes in the market value of our investments in the related funds. In addition, the terms of the governing agreements with respect to certain of our carry funds provide that the management fee base will be reduced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520"/>
        <w:spacing w:after="0" w:line="232" w:lineRule="auto"/>
        <w:rPr>
          <w:sz w:val="20"/>
          <w:szCs w:val="20"/>
          <w:color w:val="auto"/>
        </w:rPr>
      </w:pPr>
      <w:r>
        <w:rPr>
          <w:rFonts w:ascii="Times New Roman" w:cs="Times New Roman" w:eastAsia="Times New Roman" w:hAnsi="Times New Roman"/>
          <w:sz w:val="14"/>
          <w:szCs w:val="14"/>
          <w:color w:val="auto"/>
        </w:rPr>
        <w:t>aggregate fair market value of a fund’s investments is below its cost. The proportion of our management fees that are based on NAV is dependent on the number and types of investment funds in existence and the current stage of each fund’s life cycle.</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Effect on Performance Allocations</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Performance allocations reflect revenue primarily from carried interest on our carry funds. In our discussion of “Key Financial Measures” and “Critical Accounting Policies,” we disclose that performance allocations are recognized upon appreciation of the valuation of our funds’ investments above certain return hurdles and are based upon the amount that would be due to Carlyle at each reporting date as if the funds were liquidated at their then- current fair values. Changes in the fair value of the funds’ investments may materially impact performance allocations depending upon the respective funds’ performance to date as compared to its hurdle rate and the related carry waterfall.</w:t>
      </w:r>
    </w:p>
    <w:p>
      <w:pPr>
        <w:spacing w:after="0" w:line="3" w:lineRule="exact"/>
        <w:rPr>
          <w:sz w:val="20"/>
          <w:szCs w:val="20"/>
          <w:color w:val="auto"/>
        </w:rPr>
      </w:pPr>
    </w:p>
    <w:p>
      <w:pPr>
        <w:ind w:right="2140"/>
        <w:spacing w:after="0" w:line="210" w:lineRule="auto"/>
        <w:rPr>
          <w:sz w:val="20"/>
          <w:szCs w:val="20"/>
          <w:color w:val="auto"/>
        </w:rPr>
      </w:pPr>
      <w:r>
        <w:rPr>
          <w:rFonts w:ascii="Times New Roman" w:cs="Times New Roman" w:eastAsia="Times New Roman" w:hAnsi="Times New Roman"/>
          <w:sz w:val="16"/>
          <w:szCs w:val="16"/>
          <w:color w:val="auto"/>
        </w:rPr>
        <w:t>The following table summarizes the incremental impact, including our Consolidated Funds, of a 10% change in total remaining fair value by segment as of December 31, 2024 on our performance allocations revenue:</w:t>
      </w:r>
    </w:p>
    <w:tbl>
      <w:tblPr>
        <w:tblLayout w:type="fixed"/>
        <w:tblInd w:w="0" w:type="dxa"/>
        <w:tblCellMar>
          <w:top w:w="0" w:type="dxa"/>
          <w:left w:w="0" w:type="dxa"/>
          <w:bottom w:w="0" w:type="dxa"/>
          <w:right w:w="0" w:type="dxa"/>
        </w:tblCellMar>
      </w:tblPr>
      <w:tr>
        <w:trPr>
          <w:trHeight w:val="129"/>
        </w:trPr>
        <w:tc>
          <w:tcPr>
            <w:tcW w:w="5360" w:type="dxa"/>
            <w:vAlign w:val="bottom"/>
          </w:tcPr>
          <w:p>
            <w:pPr>
              <w:spacing w:after="0"/>
              <w:rPr>
                <w:sz w:val="11"/>
                <w:szCs w:val="11"/>
                <w:color w:val="auto"/>
              </w:rPr>
            </w:pPr>
          </w:p>
        </w:tc>
        <w:tc>
          <w:tcPr>
            <w:tcW w:w="14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10% Increase</w:t>
            </w:r>
          </w:p>
        </w:tc>
        <w:tc>
          <w:tcPr>
            <w:tcW w:w="60" w:type="dxa"/>
            <w:vAlign w:val="bottom"/>
          </w:tcPr>
          <w:p>
            <w:pPr>
              <w:spacing w:after="0"/>
              <w:rPr>
                <w:sz w:val="11"/>
                <w:szCs w:val="11"/>
                <w:color w:val="auto"/>
              </w:rPr>
            </w:pPr>
          </w:p>
        </w:tc>
        <w:tc>
          <w:tcPr>
            <w:tcW w:w="14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10% Decrease</w:t>
            </w:r>
          </w:p>
        </w:tc>
      </w:tr>
      <w:tr>
        <w:trPr>
          <w:trHeight w:val="144"/>
        </w:trPr>
        <w:tc>
          <w:tcPr>
            <w:tcW w:w="536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 Total</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 Total</w:t>
            </w:r>
          </w:p>
        </w:tc>
        <w:tc>
          <w:tcPr>
            <w:tcW w:w="680" w:type="dxa"/>
            <w:vAlign w:val="bottom"/>
          </w:tcPr>
          <w:p>
            <w:pPr>
              <w:spacing w:after="0"/>
              <w:rPr>
                <w:sz w:val="12"/>
                <w:szCs w:val="12"/>
                <w:color w:val="auto"/>
              </w:rPr>
            </w:pPr>
          </w:p>
        </w:tc>
      </w:tr>
      <w:tr>
        <w:trPr>
          <w:trHeight w:val="144"/>
        </w:trPr>
        <w:tc>
          <w:tcPr>
            <w:tcW w:w="5360" w:type="dxa"/>
            <w:vAlign w:val="bottom"/>
          </w:tcPr>
          <w:p>
            <w:pPr>
              <w:spacing w:after="0"/>
              <w:rPr>
                <w:sz w:val="12"/>
                <w:szCs w:val="12"/>
                <w:color w:val="auto"/>
              </w:rPr>
            </w:pPr>
          </w:p>
        </w:tc>
        <w:tc>
          <w:tcPr>
            <w:tcW w:w="7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tcPr>
          <w:p>
            <w:pPr>
              <w:spacing w:after="0"/>
              <w:rPr>
                <w:sz w:val="12"/>
                <w:szCs w:val="12"/>
                <w:color w:val="auto"/>
              </w:rPr>
            </w:pPr>
          </w:p>
        </w:tc>
      </w:tr>
      <w:tr>
        <w:trPr>
          <w:trHeight w:val="190"/>
        </w:trPr>
        <w:tc>
          <w:tcPr>
            <w:tcW w:w="5360" w:type="dxa"/>
            <w:vAlign w:val="bottom"/>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Pr>
          <w:p>
            <w:pPr>
              <w:spacing w:after="0"/>
              <w:rPr>
                <w:sz w:val="16"/>
                <w:szCs w:val="16"/>
                <w:color w:val="auto"/>
              </w:rPr>
            </w:pPr>
          </w:p>
        </w:tc>
      </w:tr>
      <w:tr>
        <w:trPr>
          <w:trHeight w:val="50"/>
        </w:trPr>
        <w:tc>
          <w:tcPr>
            <w:tcW w:w="5360" w:type="dxa"/>
            <w:vAlign w:val="bottom"/>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72"/>
        </w:trPr>
        <w:tc>
          <w:tcPr>
            <w:tcW w:w="536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8"/>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2,089.2</w:t>
            </w: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8"/>
              </w:rPr>
              <w:t>(2,745.4)</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740" w:type="dxa"/>
            <w:vAlign w:val="bottom"/>
          </w:tcPr>
          <w:p>
            <w:pPr>
              <w:spacing w:after="0"/>
              <w:rPr>
                <w:sz w:val="17"/>
                <w:szCs w:val="17"/>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202.4</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(308.6)</w:t>
            </w:r>
          </w:p>
        </w:tc>
      </w:tr>
      <w:tr>
        <w:trPr>
          <w:trHeight w:val="25"/>
        </w:trPr>
        <w:tc>
          <w:tcPr>
            <w:tcW w:w="5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8"/>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7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377.5</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(382.0)</w:t>
            </w:r>
          </w:p>
        </w:tc>
      </w:tr>
      <w:tr>
        <w:trPr>
          <w:trHeight w:val="172"/>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62"/>
              <w:spacing w:after="0" w:line="172" w:lineRule="exact"/>
              <w:rPr>
                <w:sz w:val="20"/>
                <w:szCs w:val="20"/>
                <w:color w:val="auto"/>
              </w:rPr>
            </w:pPr>
            <w:r>
              <w:rPr>
                <w:rFonts w:ascii="Times New Roman" w:cs="Times New Roman" w:eastAsia="Times New Roman" w:hAnsi="Times New Roman"/>
                <w:sz w:val="16"/>
                <w:szCs w:val="16"/>
                <w:color w:val="auto"/>
              </w:rPr>
              <w:t>2,669.1</w:t>
            </w:r>
          </w:p>
        </w:tc>
        <w:tc>
          <w:tcPr>
            <w:tcW w:w="60" w:type="dxa"/>
            <w:vAlign w:val="bottom"/>
          </w:tcPr>
          <w:p>
            <w:pPr>
              <w:spacing w:after="0"/>
              <w:rPr>
                <w:sz w:val="14"/>
                <w:szCs w:val="14"/>
                <w:color w:val="auto"/>
              </w:rPr>
            </w:pPr>
          </w:p>
        </w:tc>
        <w:tc>
          <w:tcPr>
            <w:tcW w:w="720" w:type="dxa"/>
            <w:vAlign w:val="bottom"/>
            <w:tcBorders>
              <w:top w:val="single" w:sz="8" w:color="auto"/>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2"/>
              <w:spacing w:after="0" w:line="172" w:lineRule="exact"/>
              <w:rPr>
                <w:sz w:val="20"/>
                <w:szCs w:val="20"/>
                <w:color w:val="auto"/>
              </w:rPr>
            </w:pPr>
            <w:r>
              <w:rPr>
                <w:rFonts w:ascii="Times New Roman" w:cs="Times New Roman" w:eastAsia="Times New Roman" w:hAnsi="Times New Roman"/>
                <w:sz w:val="16"/>
                <w:szCs w:val="16"/>
                <w:color w:val="auto"/>
                <w:w w:val="98"/>
              </w:rPr>
              <w:t>(3,436.0)</w:t>
            </w:r>
          </w:p>
        </w:tc>
      </w:tr>
    </w:tbl>
    <w:p>
      <w:pPr>
        <w:spacing w:after="0" w:line="11" w:lineRule="exact"/>
        <w:rPr>
          <w:sz w:val="20"/>
          <w:szCs w:val="20"/>
          <w:color w:val="auto"/>
        </w:rPr>
      </w:pPr>
    </w:p>
    <w:p>
      <w:pPr>
        <w:ind w:right="2340"/>
        <w:spacing w:after="0" w:line="215" w:lineRule="auto"/>
        <w:rPr>
          <w:sz w:val="20"/>
          <w:szCs w:val="20"/>
          <w:color w:val="auto"/>
        </w:rPr>
      </w:pPr>
      <w:r>
        <w:rPr>
          <w:rFonts w:ascii="Times New Roman" w:cs="Times New Roman" w:eastAsia="Times New Roman" w:hAnsi="Times New Roman"/>
          <w:sz w:val="16"/>
          <w:szCs w:val="16"/>
          <w:color w:val="auto"/>
        </w:rPr>
        <w:t>The effect of the variability in performance allocations revenue would be in part offset by performance allocation related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-200660</wp:posOffset>
            </wp:positionV>
            <wp:extent cx="18370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83705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Effect on Assets Under Management</w:t>
      </w:r>
    </w:p>
    <w:p>
      <w:pPr>
        <w:ind w:right="1920"/>
        <w:spacing w:after="0"/>
        <w:rPr>
          <w:sz w:val="20"/>
          <w:szCs w:val="20"/>
          <w:color w:val="auto"/>
        </w:rPr>
      </w:pPr>
      <w:r>
        <w:rPr>
          <w:rFonts w:ascii="Times New Roman" w:cs="Times New Roman" w:eastAsia="Times New Roman" w:hAnsi="Times New Roman"/>
          <w:sz w:val="14"/>
          <w:szCs w:val="14"/>
          <w:color w:val="auto"/>
        </w:rPr>
        <w:t>Generally, our Fee- earning assets under management are not affected by changes in valuation. However, total assets under management is impacted by valuation changes to net asset value. The table below shows the remaining fair value:</w:t>
      </w:r>
    </w:p>
    <w:tbl>
      <w:tblPr>
        <w:tblLayout w:type="fixed"/>
        <w:tblInd w:w="0" w:type="dxa"/>
        <w:tblCellMar>
          <w:top w:w="0" w:type="dxa"/>
          <w:left w:w="0" w:type="dxa"/>
          <w:bottom w:w="0" w:type="dxa"/>
          <w:right w:w="0" w:type="dxa"/>
        </w:tblCellMar>
      </w:tblPr>
      <w:tr>
        <w:trPr>
          <w:trHeight w:val="129"/>
        </w:trPr>
        <w:tc>
          <w:tcPr>
            <w:tcW w:w="670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tcPr>
          <w:p>
            <w:pPr>
              <w:spacing w:after="0"/>
              <w:rPr>
                <w:sz w:val="11"/>
                <w:szCs w:val="11"/>
                <w:color w:val="auto"/>
              </w:rPr>
            </w:pPr>
          </w:p>
        </w:tc>
      </w:tr>
      <w:tr>
        <w:trPr>
          <w:trHeight w:val="191"/>
        </w:trPr>
        <w:tc>
          <w:tcPr>
            <w:tcW w:w="6700" w:type="dxa"/>
            <w:vAlign w:val="bottom"/>
          </w:tcPr>
          <w:p>
            <w:pPr>
              <w:spacing w:after="0"/>
              <w:rPr>
                <w:sz w:val="16"/>
                <w:szCs w:val="16"/>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20" w:type="dxa"/>
            <w:vAlign w:val="bottom"/>
            <w:tcBorders>
              <w:bottom w:val="single" w:sz="8" w:color="auto"/>
            </w:tcBorders>
          </w:tcPr>
          <w:p>
            <w:pPr>
              <w:spacing w:after="0"/>
              <w:rPr>
                <w:sz w:val="16"/>
                <w:szCs w:val="16"/>
                <w:color w:val="auto"/>
              </w:rPr>
            </w:pPr>
          </w:p>
        </w:tc>
      </w:tr>
      <w:tr>
        <w:trPr>
          <w:trHeight w:val="183"/>
        </w:trPr>
        <w:tc>
          <w:tcPr>
            <w:tcW w:w="67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6"/>
        </w:trPr>
        <w:tc>
          <w:tcPr>
            <w:tcW w:w="6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122,964</w:t>
            </w:r>
          </w:p>
        </w:tc>
      </w:tr>
      <w:tr>
        <w:trPr>
          <w:trHeight w:val="188"/>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174,494</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59,806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5243830" cy="1447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243830" cy="1447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Rate Risk</w:t>
      </w:r>
    </w:p>
    <w:p>
      <w:pPr>
        <w:spacing w:after="0" w:line="203" w:lineRule="auto"/>
        <w:rPr>
          <w:sz w:val="20"/>
          <w:szCs w:val="20"/>
          <w:color w:val="auto"/>
        </w:rPr>
      </w:pPr>
      <w:r>
        <w:rPr>
          <w:rFonts w:ascii="Times New Roman" w:cs="Times New Roman" w:eastAsia="Times New Roman" w:hAnsi="Times New Roman"/>
          <w:sz w:val="16"/>
          <w:szCs w:val="16"/>
          <w:color w:val="auto"/>
        </w:rPr>
        <w:t>Our investment funds hold investments that are denominated in non-U.S. dollar currencies that may be affected by</w:t>
      </w:r>
    </w:p>
    <w:p>
      <w:pPr>
        <w:ind w:right="1440"/>
        <w:spacing w:after="0" w:line="203" w:lineRule="auto"/>
        <w:rPr>
          <w:sz w:val="20"/>
          <w:szCs w:val="20"/>
          <w:color w:val="auto"/>
        </w:rPr>
      </w:pPr>
      <w:r>
        <w:rPr>
          <w:rFonts w:ascii="Times New Roman" w:cs="Times New Roman" w:eastAsia="Times New Roman" w:hAnsi="Times New Roman"/>
          <w:sz w:val="16"/>
          <w:szCs w:val="16"/>
          <w:color w:val="auto"/>
        </w:rPr>
        <w:t>movements in the rate of exchange between the U.S. dollar and non-U.S. dollar currencies. Non-U.S. dollar denominated assets and liabilities are translated at year-end rates of exchange, and the consolidated statements of operations accounts are translated at rates of exchange in effect throughout the year. Additionally, a portion of our management fees are denominated in non-U.S. dollar currencies. We estimate that as of December 31, 2024, if there was a 10% decline in the rate of exchange of all foreign currencies against the U.S. dollar, the impact on our consolidated results of operations for the year then ended would be as follows: (a) fund management fees would decrease by $54.7 million, (b) performance allocations would decrease by $2.6 million, and (c) immaterial to principal investment income.</w:t>
      </w:r>
    </w:p>
    <w:p>
      <w:pPr>
        <w:spacing w:after="0" w:line="207" w:lineRule="auto"/>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ind w:right="2060"/>
        <w:spacing w:after="0" w:line="250" w:lineRule="auto"/>
        <w:rPr>
          <w:sz w:val="20"/>
          <w:szCs w:val="20"/>
          <w:color w:val="auto"/>
        </w:rPr>
      </w:pPr>
      <w:r>
        <w:rPr>
          <w:rFonts w:ascii="Times New Roman" w:cs="Times New Roman" w:eastAsia="Times New Roman" w:hAnsi="Times New Roman"/>
          <w:sz w:val="14"/>
          <w:szCs w:val="14"/>
          <w:color w:val="auto"/>
        </w:rPr>
        <w:t>We have obligations under our CLO term loans that accrue interest at variable rates. Interest rate changes may therefore affect the amount of interest payments, future earnings and cash flows. The CLO term loans incur interest at EURIBOR or SOFR plus an applicable rate. We do not have any interest rate swaps in place for these borrowings.</w:t>
      </w:r>
    </w:p>
    <w:p>
      <w:pPr>
        <w:sectPr>
          <w:pgSz w:w="11900" w:h="16840" w:orient="portrait"/>
          <w:cols w:equalWidth="0" w:num="1">
            <w:col w:w="9400"/>
          </w:cols>
          <w:pgMar w:left="1060" w:top="547" w:right="1440" w:bottom="205"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1900"/>
        <w:spacing w:after="0" w:line="203" w:lineRule="auto"/>
        <w:rPr>
          <w:sz w:val="20"/>
          <w:szCs w:val="20"/>
          <w:color w:val="auto"/>
        </w:rPr>
      </w:pPr>
      <w:r>
        <w:rPr>
          <w:rFonts w:ascii="Times New Roman" w:cs="Times New Roman" w:eastAsia="Times New Roman" w:hAnsi="Times New Roman"/>
          <w:sz w:val="16"/>
          <w:szCs w:val="16"/>
          <w:color w:val="auto"/>
        </w:rPr>
        <w:t>Based on our debt obligations payable as of December 31, 2024, we estimate that interest expense relating to variable rates would increase by approximately $2.9 million on an annual basis in the event interest rates were to increase by one percentage point.</w:t>
      </w:r>
    </w:p>
    <w:p>
      <w:pPr>
        <w:spacing w:after="0" w:line="205" w:lineRule="auto"/>
        <w:rPr>
          <w:sz w:val="20"/>
          <w:szCs w:val="20"/>
          <w:color w:val="auto"/>
        </w:rPr>
      </w:pPr>
      <w:r>
        <w:rPr>
          <w:rFonts w:ascii="Times New Roman" w:cs="Times New Roman" w:eastAsia="Times New Roman" w:hAnsi="Times New Roman"/>
          <w:sz w:val="16"/>
          <w:szCs w:val="16"/>
          <w:b w:val="1"/>
          <w:bCs w:val="1"/>
          <w:i w:val="1"/>
          <w:iCs w:val="1"/>
          <w:color w:val="auto"/>
        </w:rPr>
        <w:t>Credit Risk</w:t>
      </w:r>
    </w:p>
    <w:p>
      <w:pPr>
        <w:ind w:right="1420"/>
        <w:spacing w:after="0" w:line="213" w:lineRule="auto"/>
        <w:rPr>
          <w:sz w:val="20"/>
          <w:szCs w:val="20"/>
          <w:color w:val="auto"/>
        </w:rPr>
      </w:pPr>
      <w:r>
        <w:rPr>
          <w:rFonts w:ascii="Times New Roman" w:cs="Times New Roman" w:eastAsia="Times New Roman" w:hAnsi="Times New Roman"/>
          <w:sz w:val="16"/>
          <w:szCs w:val="16"/>
          <w:color w:val="auto"/>
        </w:rPr>
        <w:t>Certain of our investment funds hold derivative instruments that contain an element of risk in the event that the counterparties are unable to meet the terms of such agreements. In addition, the Company is subject to credit risk should a financial institution be unable to fulfill its obligations. We minimize our risk exposure by limiting the counterparties with which we enter into contracts to banks and investment banks who meet established credit and capital guidelines.</w:t>
      </w:r>
    </w:p>
    <w:p>
      <w:pPr>
        <w:sectPr>
          <w:pgSz w:w="11900" w:h="16840" w:orient="portrait"/>
          <w:cols w:equalWidth="0" w:num="1">
            <w:col w:w="9400"/>
          </w:cols>
          <w:pgMar w:left="1060" w:top="1440" w:right="1440"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3980"/>
        <w:spacing w:after="0" w:line="203" w:lineRule="auto"/>
        <w:rPr>
          <w:sz w:val="20"/>
          <w:szCs w:val="20"/>
          <w:color w:val="auto"/>
        </w:rPr>
      </w:pPr>
      <w:r>
        <w:rPr>
          <w:rFonts w:ascii="Times New Roman" w:cs="Times New Roman" w:eastAsia="Times New Roman" w:hAnsi="Times New Roman"/>
          <w:sz w:val="16"/>
          <w:szCs w:val="16"/>
          <w:b w:val="1"/>
          <w:bCs w:val="1"/>
          <w:color w:val="auto"/>
        </w:rPr>
        <w:t>ITEM 8. FINANCIAL STATEMENTS AND SUPPLEMENTARY DATA Report of Independent Registered Public Accounting Firm</w:t>
      </w:r>
    </w:p>
    <w:p>
      <w:pPr>
        <w:spacing w:after="0" w:line="204" w:lineRule="auto"/>
        <w:rPr>
          <w:sz w:val="20"/>
          <w:szCs w:val="20"/>
          <w:color w:val="auto"/>
        </w:rPr>
      </w:pPr>
      <w:r>
        <w:rPr>
          <w:rFonts w:ascii="Times New Roman" w:cs="Times New Roman" w:eastAsia="Times New Roman" w:hAnsi="Times New Roman"/>
          <w:sz w:val="16"/>
          <w:szCs w:val="16"/>
          <w:color w:val="auto"/>
        </w:rPr>
        <w:t>To the Shareholders and the Board of Directors of The Carlyle Group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The Carlyle Group Inc. (the Company) as of December 31, 2024 and 2023, the related consolidated statements of operations, comprehensive income, changes in equity and cash flows for each of the three years in the period ended December 31, 2024, and the related notes (collectively referred to as the “consolidated financial statements”) .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3" w:lineRule="exact"/>
        <w:rPr>
          <w:sz w:val="20"/>
          <w:szCs w:val="20"/>
          <w:color w:val="auto"/>
        </w:rPr>
      </w:pPr>
    </w:p>
    <w:p>
      <w:pPr>
        <w:ind w:right="1560"/>
        <w:spacing w:after="0" w:line="232"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 w:lineRule="exact"/>
        <w:rPr>
          <w:sz w:val="20"/>
          <w:szCs w:val="20"/>
          <w:color w:val="auto"/>
        </w:rPr>
      </w:pPr>
    </w:p>
    <w:p>
      <w:pPr>
        <w:jc w:val="both"/>
        <w:ind w:right="1520"/>
        <w:spacing w:after="0" w:line="2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Critical Audit Matter</w:t>
      </w:r>
    </w:p>
    <w:p>
      <w:pPr>
        <w:ind w:right="1460"/>
        <w:spacing w:after="0" w:line="20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40" w:orient="portrait"/>
          <w:cols w:equalWidth="0" w:num="1">
            <w:col w:w="9400"/>
          </w:cols>
          <w:pgMar w:left="1060" w:top="1440" w:right="1440" w:bottom="6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b w:val="1"/>
          <w:bCs w:val="1"/>
          <w:i w:val="1"/>
          <w:iCs w:val="1"/>
          <w:color w:val="auto"/>
        </w:rPr>
        <w:t>Measurement of principal equity method investments, including accrued performance allocations</w:t>
      </w:r>
    </w:p>
    <w:p>
      <w:pPr>
        <w:sectPr>
          <w:pgSz w:w="11900" w:h="16840" w:orient="portrait"/>
          <w:cols w:equalWidth="0" w:num="1">
            <w:col w:w="9400"/>
          </w:cols>
          <w:pgMar w:left="1060" w:top="1440" w:right="1440" w:bottom="631" w:gutter="0" w:footer="0" w:header="0"/>
          <w:type w:val="continuous"/>
        </w:sectPr>
      </w:pPr>
    </w:p>
    <w:bookmarkStart w:id="128" w:name="page129"/>
    <w:bookmarkEnd w:id="128"/>
    <w:p>
      <w:pPr>
        <w:spacing w:after="0"/>
        <w:tabs>
          <w:tab w:leader="none" w:pos="138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4"/>
          <w:szCs w:val="14"/>
          <w:color w:val="auto"/>
        </w:rPr>
        <w:t>At December 31, 2024, the carrying value of the Company’s investments totaled</w:t>
      </w:r>
    </w:p>
    <w:p>
      <w:pPr>
        <w:ind w:left="1400" w:right="2200" w:hanging="1399"/>
        <w:spacing w:after="0" w:line="208" w:lineRule="auto"/>
        <w:tabs>
          <w:tab w:leader="none" w:pos="1380" w:val="left"/>
        </w:tabs>
        <w:rPr>
          <w:sz w:val="20"/>
          <w:szCs w:val="20"/>
          <w:color w:val="auto"/>
        </w:rPr>
      </w:pPr>
      <w:r>
        <w:rPr>
          <w:rFonts w:ascii="Times New Roman" w:cs="Times New Roman" w:eastAsia="Times New Roman" w:hAnsi="Times New Roman"/>
          <w:sz w:val="16"/>
          <w:szCs w:val="16"/>
          <w:i w:val="1"/>
          <w:iCs w:val="1"/>
          <w:color w:val="auto"/>
        </w:rPr>
        <w:t>Matter</w:t>
      </w:r>
      <w:r>
        <w:rPr>
          <w:sz w:val="20"/>
          <w:szCs w:val="20"/>
          <w:color w:val="auto"/>
        </w:rPr>
        <w:tab/>
      </w:r>
      <w:r>
        <w:rPr>
          <w:rFonts w:ascii="Times New Roman" w:cs="Times New Roman" w:eastAsia="Times New Roman" w:hAnsi="Times New Roman"/>
          <w:sz w:val="16"/>
          <w:szCs w:val="16"/>
          <w:color w:val="auto"/>
        </w:rPr>
        <w:t>approximately $10.9 billion. As discussed in Notes 2 and 4 to the consolidated financial statements, a significant input to the measurement of the Company’s principal equity method investments in the funds and accrued performance allocations, is management’s estimate of the fair value of the investments held by each fund. Management estimates the fair value of the funds’ investments, including investments in the equity of private operating companies, real estate properties and certain debt positions, by applying the methodologies outlined in Notes 2 and 4 and using unobservable inputs and assumptions.</w:t>
      </w:r>
    </w:p>
    <w:p>
      <w:pPr>
        <w:spacing w:after="0" w:line="114" w:lineRule="exact"/>
        <w:rPr>
          <w:sz w:val="20"/>
          <w:szCs w:val="20"/>
          <w:color w:val="auto"/>
        </w:rPr>
      </w:pPr>
    </w:p>
    <w:p>
      <w:pPr>
        <w:jc w:val="both"/>
        <w:ind w:left="1400" w:right="2220"/>
        <w:spacing w:after="0" w:line="223" w:lineRule="auto"/>
        <w:rPr>
          <w:sz w:val="20"/>
          <w:szCs w:val="20"/>
          <w:color w:val="auto"/>
        </w:rPr>
      </w:pPr>
      <w:r>
        <w:rPr>
          <w:rFonts w:ascii="Times New Roman" w:cs="Times New Roman" w:eastAsia="Times New Roman" w:hAnsi="Times New Roman"/>
          <w:sz w:val="16"/>
          <w:szCs w:val="16"/>
          <w:color w:val="auto"/>
        </w:rPr>
        <w:t>Auditing management’s estimates of the fair value of certain of the funds’ investments using significant unobservable inputs and assumptions was complex and judgmental because these investments exhibit higher estimation uncertainty.</w:t>
      </w:r>
    </w:p>
    <w:p>
      <w:pPr>
        <w:spacing w:after="0" w:line="325" w:lineRule="exact"/>
        <w:rPr>
          <w:sz w:val="20"/>
          <w:szCs w:val="20"/>
          <w:color w:val="auto"/>
        </w:rPr>
      </w:pPr>
    </w:p>
    <w:p>
      <w:pPr>
        <w:ind w:right="2160"/>
        <w:spacing w:after="0" w:line="216" w:lineRule="auto"/>
        <w:rPr>
          <w:sz w:val="20"/>
          <w:szCs w:val="20"/>
          <w:color w:val="auto"/>
        </w:rPr>
      </w:pPr>
      <w:r>
        <w:rPr>
          <w:rFonts w:ascii="Times New Roman" w:cs="Times New Roman" w:eastAsia="Times New Roman" w:hAnsi="Times New Roman"/>
          <w:sz w:val="16"/>
          <w:szCs w:val="16"/>
          <w:i w:val="1"/>
          <w:iCs w:val="1"/>
          <w:color w:val="auto"/>
        </w:rPr>
        <w:t xml:space="preserve">How We Addressed </w:t>
      </w:r>
      <w:r>
        <w:rPr>
          <w:rFonts w:ascii="Times New Roman" w:cs="Times New Roman" w:eastAsia="Times New Roman" w:hAnsi="Times New Roman"/>
          <w:sz w:val="16"/>
          <w:szCs w:val="16"/>
          <w:color w:val="auto"/>
        </w:rPr>
        <w:t>We obtained an understanding, evaluated the design, and tested the operating effectiveness of</w:t>
      </w:r>
      <w:r>
        <w:rPr>
          <w:rFonts w:ascii="Times New Roman" w:cs="Times New Roman" w:eastAsia="Times New Roman" w:hAnsi="Times New Roman"/>
          <w:sz w:val="16"/>
          <w:szCs w:val="16"/>
          <w:i w:val="1"/>
          <w:iCs w:val="1"/>
          <w:color w:val="auto"/>
        </w:rPr>
        <w:t xml:space="preserve"> the Matter in Our </w:t>
      </w:r>
      <w:r>
        <w:rPr>
          <w:rFonts w:ascii="Times New Roman" w:cs="Times New Roman" w:eastAsia="Times New Roman" w:hAnsi="Times New Roman"/>
          <w:sz w:val="16"/>
          <w:szCs w:val="16"/>
          <w:color w:val="auto"/>
        </w:rPr>
        <w:t>controls over the funds’ investment valuation process. This included management's review</w:t>
      </w:r>
    </w:p>
    <w:p>
      <w:pPr>
        <w:spacing w:after="0" w:line="1" w:lineRule="exact"/>
        <w:rPr>
          <w:sz w:val="20"/>
          <w:szCs w:val="20"/>
          <w:color w:val="auto"/>
        </w:rPr>
      </w:pPr>
    </w:p>
    <w:p>
      <w:pPr>
        <w:ind w:left="1400" w:right="2120" w:hanging="1399"/>
        <w:spacing w:after="0" w:line="216" w:lineRule="auto"/>
        <w:tabs>
          <w:tab w:leader="none" w:pos="1380" w:val="left"/>
        </w:tabs>
        <w:rPr>
          <w:sz w:val="20"/>
          <w:szCs w:val="20"/>
          <w:color w:val="auto"/>
        </w:rPr>
      </w:pPr>
      <w:r>
        <w:rPr>
          <w:rFonts w:ascii="Times New Roman" w:cs="Times New Roman" w:eastAsia="Times New Roman" w:hAnsi="Times New Roman"/>
          <w:sz w:val="16"/>
          <w:szCs w:val="16"/>
          <w:i w:val="1"/>
          <w:iCs w:val="1"/>
          <w:color w:val="auto"/>
        </w:rPr>
        <w:t>Audit</w:t>
      </w:r>
      <w:r>
        <w:rPr>
          <w:sz w:val="20"/>
          <w:szCs w:val="20"/>
          <w:color w:val="auto"/>
        </w:rPr>
        <w:tab/>
      </w:r>
      <w:r>
        <w:rPr>
          <w:rFonts w:ascii="Times New Roman" w:cs="Times New Roman" w:eastAsia="Times New Roman" w:hAnsi="Times New Roman"/>
          <w:sz w:val="16"/>
          <w:szCs w:val="16"/>
          <w:color w:val="auto"/>
        </w:rPr>
        <w:t>controls over the assessment of the methodologies, significant inputs and assumptions included in the fair value estimates, as well as management’s review around the completeness, accuracy and reasonableness of the data used in these estimates.</w:t>
      </w:r>
    </w:p>
    <w:p>
      <w:pPr>
        <w:spacing w:after="0" w:line="109" w:lineRule="exact"/>
        <w:rPr>
          <w:sz w:val="20"/>
          <w:szCs w:val="20"/>
          <w:color w:val="auto"/>
        </w:rPr>
      </w:pPr>
    </w:p>
    <w:p>
      <w:pPr>
        <w:ind w:left="1400" w:right="2240"/>
        <w:spacing w:after="0" w:line="241" w:lineRule="auto"/>
        <w:rPr>
          <w:sz w:val="20"/>
          <w:szCs w:val="20"/>
          <w:color w:val="auto"/>
        </w:rPr>
      </w:pPr>
      <w:r>
        <w:rPr>
          <w:rFonts w:ascii="Times New Roman" w:cs="Times New Roman" w:eastAsia="Times New Roman" w:hAnsi="Times New Roman"/>
          <w:sz w:val="14"/>
          <w:szCs w:val="14"/>
          <w:color w:val="auto"/>
        </w:rPr>
        <w:t>Our audit procedures related to a sample of investment valuations using significant unobservable inputs included, among others, assessing whether the valuation methodologies used were appropriate and testing the mathematical accuracy of the valuation models.</w:t>
      </w:r>
    </w:p>
    <w:p>
      <w:pPr>
        <w:spacing w:after="0" w:line="1" w:lineRule="exact"/>
        <w:rPr>
          <w:sz w:val="20"/>
          <w:szCs w:val="20"/>
          <w:color w:val="auto"/>
        </w:rPr>
      </w:pPr>
    </w:p>
    <w:p>
      <w:pPr>
        <w:ind w:left="1400" w:right="2200"/>
        <w:spacing w:after="0" w:line="232" w:lineRule="auto"/>
        <w:rPr>
          <w:sz w:val="20"/>
          <w:szCs w:val="20"/>
          <w:color w:val="auto"/>
        </w:rPr>
      </w:pPr>
      <w:r>
        <w:rPr>
          <w:rFonts w:ascii="Times New Roman" w:cs="Times New Roman" w:eastAsia="Times New Roman" w:hAnsi="Times New Roman"/>
          <w:sz w:val="14"/>
          <w:szCs w:val="14"/>
          <w:color w:val="auto"/>
        </w:rPr>
        <w:t>For a sample of investment valuations, we obtained management’s valuation models and compared objective inputs used in the models to agreements or underlying source documents provided by the Company. We assessed the appropriateness of certain unobservable inputs and assumptions used in the valuation models by comparing them to underlying support or available market data and evaluating the appropriateness of adjustments. Our procedures varied based on the nature of the investment selected for testing.</w:t>
      </w:r>
    </w:p>
    <w:p>
      <w:pPr>
        <w:spacing w:after="0" w:line="3" w:lineRule="exact"/>
        <w:rPr>
          <w:sz w:val="20"/>
          <w:szCs w:val="20"/>
          <w:color w:val="auto"/>
        </w:rPr>
      </w:pPr>
    </w:p>
    <w:p>
      <w:pPr>
        <w:ind w:left="1400" w:right="2180"/>
        <w:spacing w:after="0" w:line="203" w:lineRule="auto"/>
        <w:rPr>
          <w:sz w:val="20"/>
          <w:szCs w:val="20"/>
          <w:color w:val="auto"/>
        </w:rPr>
      </w:pPr>
      <w:r>
        <w:rPr>
          <w:rFonts w:ascii="Times New Roman" w:cs="Times New Roman" w:eastAsia="Times New Roman" w:hAnsi="Times New Roman"/>
          <w:sz w:val="16"/>
          <w:szCs w:val="16"/>
          <w:color w:val="auto"/>
        </w:rPr>
        <w:t>For example, for certain investments in the equity of private operating companies, we assessed the appropriateness of management’s determination of public market comparable companies and similar transactions. For these selected investments, we also evaluated adjustments applied to the selected earnings before interest, taxes, depreciation and amortization (EBITDA) multiple or discount rate derived from the comparable companies by considering investee specific and relevant market information.</w:t>
      </w:r>
    </w:p>
    <w:p>
      <w:pPr>
        <w:spacing w:after="0" w:line="3" w:lineRule="exact"/>
        <w:rPr>
          <w:sz w:val="20"/>
          <w:szCs w:val="20"/>
          <w:color w:val="auto"/>
        </w:rPr>
      </w:pPr>
    </w:p>
    <w:p>
      <w:pPr>
        <w:jc w:val="both"/>
        <w:ind w:left="1400" w:right="2160"/>
        <w:spacing w:after="0" w:line="203" w:lineRule="auto"/>
        <w:rPr>
          <w:sz w:val="20"/>
          <w:szCs w:val="20"/>
          <w:color w:val="auto"/>
        </w:rPr>
      </w:pPr>
      <w:r>
        <w:rPr>
          <w:rFonts w:ascii="Times New Roman" w:cs="Times New Roman" w:eastAsia="Times New Roman" w:hAnsi="Times New Roman"/>
          <w:sz w:val="16"/>
          <w:szCs w:val="16"/>
          <w:color w:val="auto"/>
        </w:rPr>
        <w:t>For certain investments, we independently developed fair value estimates, with the support of valuation specialists, using investee and market information and compared them to the funds’ fair value estimates.</w:t>
      </w:r>
    </w:p>
    <w:p>
      <w:pPr>
        <w:spacing w:after="0" w:line="1" w:lineRule="exact"/>
        <w:rPr>
          <w:sz w:val="20"/>
          <w:szCs w:val="20"/>
          <w:color w:val="auto"/>
        </w:rPr>
      </w:pPr>
    </w:p>
    <w:p>
      <w:pPr>
        <w:ind w:left="1400" w:right="2120"/>
        <w:spacing w:after="0" w:line="213" w:lineRule="auto"/>
        <w:rPr>
          <w:sz w:val="20"/>
          <w:szCs w:val="20"/>
          <w:color w:val="auto"/>
        </w:rPr>
      </w:pPr>
      <w:r>
        <w:rPr>
          <w:rFonts w:ascii="Times New Roman" w:cs="Times New Roman" w:eastAsia="Times New Roman" w:hAnsi="Times New Roman"/>
          <w:sz w:val="16"/>
          <w:szCs w:val="16"/>
          <w:color w:val="auto"/>
        </w:rPr>
        <w:t>For a sample of investments that were sold during the year, we performed procedures to assess the historical reasonableness of management’s estimates. We also evaluated subsequent events and transactions and considered whether they corroborated or contradicted the year-end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03" w:lineRule="auto"/>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4" w:lineRule="auto"/>
        <w:rPr>
          <w:sz w:val="20"/>
          <w:szCs w:val="20"/>
          <w:color w:val="auto"/>
        </w:rPr>
      </w:pPr>
      <w:r>
        <w:rPr>
          <w:rFonts w:ascii="Times New Roman" w:cs="Times New Roman" w:eastAsia="Times New Roman" w:hAnsi="Times New Roman"/>
          <w:sz w:val="16"/>
          <w:szCs w:val="16"/>
          <w:color w:val="auto"/>
        </w:rPr>
        <w:t>Tysons, Virginia</w:t>
      </w:r>
    </w:p>
    <w:p>
      <w:pPr>
        <w:spacing w:after="0"/>
        <w:rPr>
          <w:sz w:val="20"/>
          <w:szCs w:val="20"/>
          <w:color w:val="auto"/>
        </w:rPr>
      </w:pPr>
      <w:r>
        <w:rPr>
          <w:rFonts w:ascii="Times New Roman" w:cs="Times New Roman" w:eastAsia="Times New Roman" w:hAnsi="Times New Roman"/>
          <w:sz w:val="16"/>
          <w:szCs w:val="16"/>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3" w:lineRule="auto"/>
        <w:rPr>
          <w:sz w:val="20"/>
          <w:szCs w:val="20"/>
          <w:color w:val="auto"/>
        </w:rPr>
      </w:pPr>
      <w:r>
        <w:rPr>
          <w:rFonts w:ascii="Times New Roman" w:cs="Times New Roman" w:eastAsia="Times New Roman" w:hAnsi="Times New Roman"/>
          <w:sz w:val="16"/>
          <w:szCs w:val="16"/>
          <w:color w:val="auto"/>
        </w:rPr>
        <w:t>To the Shareholders and the Board of Directors of The Carlyle Group Inc.:</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jc w:val="both"/>
        <w:ind w:right="1500"/>
        <w:spacing w:after="0" w:line="232" w:lineRule="auto"/>
        <w:rPr>
          <w:sz w:val="20"/>
          <w:szCs w:val="20"/>
          <w:color w:val="auto"/>
        </w:rPr>
      </w:pPr>
      <w:r>
        <w:rPr>
          <w:rFonts w:ascii="Times New Roman" w:cs="Times New Roman" w:eastAsia="Times New Roman" w:hAnsi="Times New Roman"/>
          <w:sz w:val="14"/>
          <w:szCs w:val="14"/>
          <w:color w:val="auto"/>
        </w:rPr>
        <w:t>We have audited The Carlyle Group Inc.’s internal control over financial reporting as of December 31, 2024, based on criteria established in Internal Control—Integrated Framework issued by the Committee of Sponsoring Organizations of the Treadway Commission (2013 framework) (the COSO criteria). In our opinion, The Carlyle Group Inc. (the Company) maintained, in all material respects, effective internal control over financial reporting as of December 31, 2024, based on the COSO criteria.</w:t>
      </w:r>
    </w:p>
    <w:p>
      <w:pPr>
        <w:spacing w:after="0" w:line="2" w:lineRule="exact"/>
        <w:rPr>
          <w:sz w:val="20"/>
          <w:szCs w:val="20"/>
          <w:color w:val="auto"/>
        </w:rPr>
      </w:pPr>
    </w:p>
    <w:p>
      <w:pPr>
        <w:ind w:right="1660"/>
        <w:spacing w:after="0" w:line="2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changes in equity and cash flows for each of the three years in the period ended December 31, 2024, and the related notes and our report dated February 27, 2025 expressed an unqualified opinion thereon.</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Basis for Opinion</w:t>
      </w:r>
    </w:p>
    <w:p>
      <w:pPr>
        <w:ind w:right="1440"/>
        <w:spacing w:after="0" w:line="203"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w:t>
      </w:r>
    </w:p>
    <w:p>
      <w:pPr>
        <w:sectPr>
          <w:pgSz w:w="11900" w:h="16840" w:orient="portrait"/>
          <w:cols w:equalWidth="0" w:num="1">
            <w:col w:w="9400"/>
          </w:cols>
          <w:pgMar w:left="1060" w:top="547" w:right="1440" w:bottom="80" w:gutter="0" w:footer="0" w:header="0"/>
        </w:sectPr>
      </w:pPr>
    </w:p>
    <w:bookmarkStart w:id="129" w:name="page130"/>
    <w:bookmarkEnd w:id="129"/>
    <w:p>
      <w:pPr>
        <w:ind w:right="1420"/>
        <w:spacing w:after="0" w:line="211" w:lineRule="auto"/>
        <w:rPr>
          <w:sz w:val="20"/>
          <w:szCs w:val="20"/>
          <w:color w:val="auto"/>
        </w:rPr>
      </w:pPr>
      <w:r>
        <w:rPr>
          <w:rFonts w:ascii="Times New Roman" w:cs="Times New Roman" w:eastAsia="Times New Roman" w:hAnsi="Times New Roman"/>
          <w:sz w:val="16"/>
          <w:szCs w:val="16"/>
          <w:color w:val="auto"/>
        </w:rPr>
        <w:t>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/s/ Ernst &amp; Young LLP</w:t>
      </w:r>
    </w:p>
    <w:p>
      <w:pPr>
        <w:spacing w:after="0" w:line="205" w:lineRule="auto"/>
        <w:rPr>
          <w:sz w:val="20"/>
          <w:szCs w:val="20"/>
          <w:color w:val="auto"/>
        </w:rPr>
      </w:pPr>
      <w:r>
        <w:rPr>
          <w:rFonts w:ascii="Times New Roman" w:cs="Times New Roman" w:eastAsia="Times New Roman" w:hAnsi="Times New Roman"/>
          <w:sz w:val="16"/>
          <w:szCs w:val="16"/>
          <w:color w:val="auto"/>
        </w:rPr>
        <w:t>Tysons, Virginia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ectPr>
          <w:pgSz w:w="11900" w:h="16840" w:orient="portrait"/>
          <w:cols w:equalWidth="0" w:num="1">
            <w:col w:w="9400"/>
          </w:cols>
          <w:pgMar w:left="1060" w:top="557" w:right="144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1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60" w:type="dxa"/>
            <w:vAlign w:val="bottom"/>
          </w:tcPr>
          <w:p>
            <w:pPr>
              <w:spacing w:after="0"/>
              <w:rPr>
                <w:sz w:val="15"/>
                <w:szCs w:val="15"/>
                <w:color w:val="auto"/>
              </w:rPr>
            </w:pP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1,266.0</w:t>
            </w: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1,440.3</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held at Consolidated Funds</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830.4</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51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6220" w:type="dxa"/>
            <w:vAlign w:val="bottom"/>
            <w:gridSpan w:val="4"/>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Investments, including accrued performance allocations of $7,053.5 and $6,169.9 as of December 31,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b w:val="1"/>
                <w:bCs w:val="1"/>
                <w:color w:val="auto"/>
              </w:rPr>
              <w:t>10,936.7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9,955.3</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and 2023,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7,782.4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7,253.1</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net</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805.6</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691.6</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of Consolidated Funds, net</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237.1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185.3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341.4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332.2</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and other</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56.4</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634.1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27.6</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23,103.5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7"/>
              </w:rPr>
              <w:t>21,176.0</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8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obligations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2,143.5</w:t>
            </w:r>
          </w:p>
        </w:tc>
        <w:tc>
          <w:tcPr>
            <w:tcW w:w="4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2,281.0</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6,864.2</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6,486.5</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389.8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333.8</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5,446.6</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4,922.2</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to affiliates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275.9</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138.7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38"/>
        </w:trPr>
        <w:tc>
          <w:tcPr>
            <w:tcW w:w="11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Other liabilities of Consolidated Funds</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8"/>
              <w:spacing w:after="0" w:line="156" w:lineRule="exact"/>
              <w:rPr>
                <w:sz w:val="20"/>
                <w:szCs w:val="20"/>
                <w:color w:val="auto"/>
              </w:rPr>
            </w:pPr>
            <w:r>
              <w:rPr>
                <w:rFonts w:ascii="Times New Roman" w:cs="Times New Roman" w:eastAsia="Times New Roman" w:hAnsi="Times New Roman"/>
                <w:sz w:val="14"/>
                <w:szCs w:val="14"/>
                <w:b w:val="1"/>
                <w:bCs w:val="1"/>
                <w:color w:val="auto"/>
              </w:rPr>
              <w:t>861.6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252"/>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160</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120" w:type="dxa"/>
            <w:vAlign w:val="bottom"/>
            <w:tcBorders>
              <w:bottom w:val="single" w:sz="8" w:color="0000FF"/>
            </w:tcBorders>
          </w:tcPr>
          <w:p>
            <w:pPr>
              <w:spacing w:after="0" w:line="168" w:lineRule="exact"/>
              <w:rPr>
                <w:rFonts w:ascii="Times New Roman" w:cs="Times New Roman" w:eastAsia="Times New Roman" w:hAnsi="Times New Roman"/>
                <w:sz w:val="16"/>
                <w:szCs w:val="16"/>
                <w:color w:val="0000FF"/>
                <w:w w:val="95"/>
              </w:rPr>
            </w:pPr>
            <w:hyperlink w:anchor="page1">
              <w:r>
                <w:rPr>
                  <w:rFonts w:ascii="Times New Roman" w:cs="Times New Roman" w:eastAsia="Times New Roman" w:hAnsi="Times New Roman"/>
                  <w:sz w:val="16"/>
                  <w:szCs w:val="16"/>
                  <w:color w:val="0000FF"/>
                  <w:w w:val="95"/>
                </w:rPr>
                <w:t>Table of Contents</w:t>
              </w:r>
            </w:hyperlink>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2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The Carlyle Group Inc.</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28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millions, except share and per share data)</w:t>
            </w:r>
          </w:p>
        </w:tc>
        <w:tc>
          <w:tcPr>
            <w:tcW w:w="1920" w:type="dxa"/>
            <w:vAlign w:val="bottom"/>
            <w:gridSpan w:val="6"/>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1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2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2,188.1</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2,043.2</w:t>
            </w:r>
          </w:p>
        </w:tc>
        <w:tc>
          <w:tcPr>
            <w:tcW w:w="4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2,030.1</w:t>
            </w:r>
          </w:p>
        </w:tc>
        <w:tc>
          <w:tcPr>
            <w:tcW w:w="0" w:type="dxa"/>
            <w:vAlign w:val="bottom"/>
          </w:tcPr>
          <w:p>
            <w:pPr>
              <w:spacing w:after="0"/>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2,015.7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1,327.5</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238.7</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570.5</w:t>
            </w:r>
          </w:p>
        </w:tc>
        <w:tc>
          <w:tcPr>
            <w:tcW w:w="0" w:type="dxa"/>
            <w:vAlign w:val="bottom"/>
          </w:tcPr>
          <w:p>
            <w:pPr>
              <w:spacing w:after="0"/>
              <w:rPr>
                <w:sz w:val="1"/>
                <w:szCs w:val="1"/>
                <w:color w:val="auto"/>
              </w:rPr>
            </w:pPr>
          </w:p>
        </w:tc>
      </w:tr>
      <w:tr>
        <w:trPr>
          <w:trHeight w:val="19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2,254.4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1,898.0</w:t>
            </w:r>
          </w:p>
        </w:tc>
        <w:tc>
          <w:tcPr>
            <w:tcW w:w="0" w:type="dxa"/>
            <w:vAlign w:val="bottom"/>
          </w:tcPr>
          <w:p>
            <w:pPr>
              <w:spacing w:after="0"/>
              <w:rPr>
                <w:sz w:val="1"/>
                <w:szCs w:val="1"/>
                <w:color w:val="auto"/>
              </w:rPr>
            </w:pPr>
          </w:p>
        </w:tc>
      </w:tr>
      <w:tr>
        <w:trPr>
          <w:trHeight w:val="197"/>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36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of Consolidated Funds</w:t>
            </w: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631.6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570.1</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18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5,425.8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4,438.7</w:t>
            </w:r>
          </w:p>
        </w:tc>
        <w:tc>
          <w:tcPr>
            <w:tcW w:w="0" w:type="dxa"/>
            <w:vAlign w:val="bottom"/>
          </w:tcPr>
          <w:p>
            <w:pPr>
              <w:spacing w:after="0"/>
              <w:rPr>
                <w:sz w:val="1"/>
                <w:szCs w:val="1"/>
                <w:color w:val="auto"/>
              </w:rPr>
            </w:pPr>
          </w:p>
        </w:tc>
      </w:tr>
      <w:tr>
        <w:trPr>
          <w:trHeight w:val="205"/>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875.5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197"/>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36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467.9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 and incentive fee related compensation</w:t>
            </w: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1,361.5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1,103.7</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719.9</w:t>
            </w:r>
          </w:p>
        </w:tc>
        <w:tc>
          <w:tcPr>
            <w:tcW w:w="0" w:type="dxa"/>
            <w:vAlign w:val="bottom"/>
          </w:tcPr>
          <w:p>
            <w:pPr>
              <w:spacing w:after="0"/>
              <w:rPr>
                <w:sz w:val="1"/>
                <w:szCs w:val="1"/>
                <w:color w:val="auto"/>
              </w:rPr>
            </w:pPr>
          </w:p>
        </w:tc>
      </w:tr>
      <w:tr>
        <w:trPr>
          <w:trHeight w:val="18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2,704.9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2,376.5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1,925.9</w:t>
            </w:r>
          </w:p>
        </w:tc>
        <w:tc>
          <w:tcPr>
            <w:tcW w:w="0" w:type="dxa"/>
            <w:vAlign w:val="bottom"/>
          </w:tcPr>
          <w:p>
            <w:pPr>
              <w:spacing w:after="0"/>
              <w:rPr>
                <w:sz w:val="1"/>
                <w:szCs w:val="1"/>
                <w:color w:val="auto"/>
              </w:rPr>
            </w:pPr>
          </w:p>
        </w:tc>
      </w:tr>
      <w:tr>
        <w:trPr>
          <w:trHeight w:val="205"/>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665.6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652.1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575.8</w:t>
            </w:r>
          </w:p>
        </w:tc>
        <w:tc>
          <w:tcPr>
            <w:tcW w:w="0" w:type="dxa"/>
            <w:vAlign w:val="bottom"/>
          </w:tcPr>
          <w:p>
            <w:pPr>
              <w:spacing w:after="0"/>
              <w:rPr>
                <w:sz w:val="1"/>
                <w:szCs w:val="1"/>
                <w:color w:val="auto"/>
              </w:rPr>
            </w:pPr>
          </w:p>
        </w:tc>
      </w:tr>
      <w:tr>
        <w:trPr>
          <w:trHeight w:val="197"/>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21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expenses of Consolidated Funds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564.9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419.1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211.6</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non-operating (income) expenses</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4,056.1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3,571.7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2,824.7</w:t>
            </w:r>
          </w:p>
        </w:tc>
        <w:tc>
          <w:tcPr>
            <w:tcW w:w="0" w:type="dxa"/>
            <w:vAlign w:val="bottom"/>
          </w:tcPr>
          <w:p>
            <w:pPr>
              <w:spacing w:after="0"/>
              <w:rPr>
                <w:sz w:val="1"/>
                <w:szCs w:val="1"/>
                <w:color w:val="auto"/>
              </w:rPr>
            </w:pPr>
          </w:p>
        </w:tc>
      </w:tr>
      <w:tr>
        <w:trPr>
          <w:trHeight w:val="190"/>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9400"/>
          </w:cols>
          <w:pgMar w:left="1060" w:top="555" w:right="1440" w:bottom="1440" w:gutter="0" w:footer="0" w:header="0"/>
        </w:sectPr>
      </w:pPr>
    </w:p>
    <w:p>
      <w:pPr>
        <w:ind w:right="2120"/>
        <w:spacing w:after="0" w:line="304" w:lineRule="auto"/>
        <w:rPr>
          <w:sz w:val="20"/>
          <w:szCs w:val="20"/>
          <w:color w:val="auto"/>
        </w:rPr>
      </w:pPr>
      <w:r>
        <w:rPr>
          <w:rFonts w:ascii="Times New Roman" w:cs="Times New Roman" w:eastAsia="Times New Roman" w:hAnsi="Times New Roman"/>
          <w:sz w:val="14"/>
          <w:szCs w:val="14"/>
          <w:color w:val="auto"/>
        </w:rPr>
        <w:t>Net investment income (loss) of Consolidated Funds Income (loss) before provision for income taxes Provision (benefit) for income taxes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-509270</wp:posOffset>
            </wp:positionV>
            <wp:extent cx="5243830" cy="129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243830" cy="1295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-250190</wp:posOffset>
            </wp:positionV>
            <wp:extent cx="5243830" cy="129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243830" cy="129540"/>
                    </a:xfrm>
                    <a:prstGeom prst="rect">
                      <a:avLst/>
                    </a:prstGeom>
                    <a:noFill/>
                  </pic:spPr>
                </pic:pic>
              </a:graphicData>
            </a:graphic>
          </wp:anchor>
        </w:drawing>
      </w:r>
    </w:p>
    <w:p>
      <w:pPr>
        <w:ind w:right="840"/>
        <w:spacing w:after="0" w:line="304" w:lineRule="auto"/>
        <w:rPr>
          <w:sz w:val="20"/>
          <w:szCs w:val="20"/>
          <w:color w:val="auto"/>
        </w:rPr>
      </w:pPr>
      <w:r>
        <w:rPr>
          <w:rFonts w:ascii="Times New Roman" w:cs="Times New Roman" w:eastAsia="Times New Roman" w:hAnsi="Times New Roman"/>
          <w:sz w:val="14"/>
          <w:szCs w:val="14"/>
          <w:color w:val="auto"/>
        </w:rPr>
        <w:t>Net income attributable to non-controlling interests in consolidated entities Net income (loss) attributable to 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-250825</wp:posOffset>
            </wp:positionV>
            <wp:extent cx="5243830" cy="129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243830"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Net income (loss) attributable to The Carlyle Group Inc. per common share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43830" cy="1295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243830" cy="12954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43830" cy="1447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24383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Weighted-average common shares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43830" cy="144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24383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1,393.7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1,572.5</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302.6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287.8</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1,091.1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1,284.7</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1,020.4</w:t>
            </w:r>
          </w:p>
        </w:tc>
        <w:tc>
          <w:tcPr>
            <w:tcW w:w="6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(608.4)</w:t>
            </w: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1,225.0</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2.77</w:t>
            </w:r>
          </w:p>
        </w:tc>
        <w:tc>
          <w:tcPr>
            <w:tcW w:w="6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358,584,203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361,395,823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361,278,064</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368,024,612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361,395,823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365,707,722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88277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13" w:lineRule="exact"/>
        <w:rPr>
          <w:sz w:val="20"/>
          <w:szCs w:val="20"/>
          <w:color w:val="auto"/>
        </w:rPr>
      </w:pPr>
    </w:p>
    <w:p>
      <w:pPr>
        <w:sectPr>
          <w:pgSz w:w="11900" w:h="16840" w:orient="portrait"/>
          <w:cols w:equalWidth="0" w:num="2">
            <w:col w:w="5160" w:space="120"/>
            <w:col w:w="4120"/>
          </w:cols>
          <w:pgMar w:left="1060" w:top="555"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Substantially all revenue is earned from affiliates of the Company. 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-93345</wp:posOffset>
            </wp:positionV>
            <wp:extent cx="188277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ectPr>
          <w:pgSz w:w="11900" w:h="16840" w:orient="portrait"/>
          <w:cols w:equalWidth="0" w:num="1">
            <w:col w:w="9400"/>
          </w:cols>
          <w:pgMar w:left="1060" w:top="555" w:right="1440" w:bottom="144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right="1300"/>
        <w:spacing w:after="0" w:line="222" w:lineRule="auto"/>
        <w:rPr>
          <w:sz w:val="20"/>
          <w:szCs w:val="20"/>
          <w:color w:val="auto"/>
        </w:rPr>
      </w:pPr>
      <w:r>
        <w:rPr>
          <w:rFonts w:ascii="Times New Roman" w:cs="Times New Roman" w:eastAsia="Times New Roman" w:hAnsi="Times New Roman"/>
          <w:sz w:val="16"/>
          <w:szCs w:val="16"/>
          <w:b w:val="1"/>
          <w:bCs w:val="1"/>
          <w:color w:val="auto"/>
        </w:rPr>
        <w:t>Consolidated Statements of Comprehensive Income (Dollars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5251450" cy="1447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251450" cy="1447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1,091.1</w:t>
            </w:r>
          </w:p>
        </w:tc>
        <w:tc>
          <w:tcPr>
            <w:tcW w:w="60" w:type="dxa"/>
            <w:vAlign w:val="bottom"/>
            <w:vMerge w:val="continue"/>
          </w:tcPr>
          <w:p>
            <w:pPr>
              <w:spacing w:after="0"/>
              <w:rPr>
                <w:sz w:val="15"/>
                <w:szCs w:val="15"/>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(496.7)</w:t>
            </w:r>
          </w:p>
        </w:tc>
        <w:tc>
          <w:tcPr>
            <w:tcW w:w="60" w:type="dxa"/>
            <w:vAlign w:val="bottom"/>
            <w:vMerge w:val="continue"/>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1,284.7</w:t>
            </w:r>
          </w:p>
        </w:tc>
        <w:tc>
          <w:tcPr>
            <w:tcW w:w="0" w:type="dxa"/>
            <w:vAlign w:val="bottom"/>
          </w:tcPr>
          <w:p>
            <w:pPr>
              <w:spacing w:after="0"/>
              <w:rPr>
                <w:sz w:val="1"/>
                <w:szCs w:val="1"/>
                <w:color w:val="auto"/>
              </w:rPr>
            </w:pPr>
          </w:p>
        </w:tc>
      </w:tr>
    </w:tbl>
    <w:p>
      <w:pPr>
        <w:spacing w:after="0" w:line="224" w:lineRule="exact"/>
        <w:rPr>
          <w:sz w:val="20"/>
          <w:szCs w:val="20"/>
          <w:color w:val="auto"/>
        </w:rPr>
      </w:pPr>
    </w:p>
    <w:p>
      <w:pPr>
        <w:sectPr>
          <w:pgSz w:w="11900" w:h="16840" w:orient="portrait"/>
          <w:cols w:equalWidth="0" w:num="2">
            <w:col w:w="4720" w:space="720"/>
            <w:col w:w="3960"/>
          </w:cols>
          <w:pgMar w:left="1060" w:top="1440" w:right="1440" w:bottom="1440" w:gutter="0" w:footer="0" w:header="0"/>
        </w:sectPr>
      </w:pPr>
    </w:p>
    <w:tbl>
      <w:tblPr>
        <w:tblLayout w:type="fixed"/>
        <w:tblInd w:w="0" w:type="dxa"/>
        <w:tblCellMar>
          <w:top w:w="0" w:type="dxa"/>
          <w:left w:w="0" w:type="dxa"/>
          <w:bottom w:w="0" w:type="dxa"/>
          <w:right w:w="0" w:type="dxa"/>
        </w:tblCellMar>
      </w:tblPr>
      <w:tr>
        <w:trPr>
          <w:trHeight w:val="161"/>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 net of income tax (benefit) expense of $(11.8),</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(107.8)</w:t>
            </w:r>
          </w:p>
        </w:tc>
      </w:tr>
      <w:tr>
        <w:trPr>
          <w:trHeight w:val="196"/>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$10.9 and $(16.0) for the years ended December 31, 2024, 2023 and 2022,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188"/>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Defined benefit plans, net</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40"/>
        </w:trPr>
        <w:tc>
          <w:tcPr>
            <w:tcW w:w="5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32"/>
        </w:trPr>
        <w:tc>
          <w:tcPr>
            <w:tcW w:w="54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Unrealized net income (loss) for the period, net of income tax (benefit) expense of</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b w:val="1"/>
                <w:bCs w:val="1"/>
                <w:color w:val="auto"/>
              </w:rPr>
              <w:t>2.8</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14.5</w:t>
            </w:r>
          </w:p>
        </w:tc>
      </w:tr>
      <w:tr>
        <w:trPr>
          <w:trHeight w:val="144"/>
        </w:trPr>
        <w:tc>
          <w:tcPr>
            <w:tcW w:w="5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$0.9, $(1.3) and $4.6 for the years ended December 31, 2024, 2023 and 2022,</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96"/>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132"/>
        </w:trPr>
        <w:tc>
          <w:tcPr>
            <w:tcW w:w="54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Less: reclassification adjustment for unrecognized (gain) loss during the period</w:t>
            </w:r>
          </w:p>
        </w:tc>
        <w:tc>
          <w:tcPr>
            <w:tcW w:w="220" w:type="dxa"/>
            <w:vAlign w:val="bottom"/>
          </w:tcPr>
          <w:p>
            <w:pPr>
              <w:spacing w:after="0"/>
              <w:rPr>
                <w:sz w:val="11"/>
                <w:szCs w:val="11"/>
                <w:color w:val="auto"/>
              </w:rPr>
            </w:pPr>
          </w:p>
        </w:tc>
        <w:tc>
          <w:tcPr>
            <w:tcW w:w="68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b w:val="1"/>
                <w:bCs w:val="1"/>
                <w:color w:val="auto"/>
              </w:rPr>
              <w:t>(0.2)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1.0</w:t>
            </w:r>
          </w:p>
        </w:tc>
      </w:tr>
      <w:tr>
        <w:trPr>
          <w:trHeight w:val="144"/>
        </w:trPr>
        <w:tc>
          <w:tcPr>
            <w:tcW w:w="54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included in base compensation expense, net of income tax (benefit) expense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54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$(0.1), $(0.1) and $0.3 for the years ended December 31, 2024, 2023 and 2022,</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8"/>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8"/>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(37.2)</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w:t>
            </w:r>
          </w:p>
        </w:tc>
      </w:tr>
      <w:tr>
        <w:trPr>
          <w:trHeight w:val="182"/>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1,053.9</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(459.2)</w:t>
            </w:r>
          </w:p>
        </w:tc>
        <w:tc>
          <w:tcPr>
            <w:tcW w:w="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1,192.4</w:t>
            </w:r>
          </w:p>
        </w:tc>
      </w:tr>
      <w:tr>
        <w:trPr>
          <w:trHeight w:val="26"/>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 in consolidated entities</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66.0</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r>
      <w:tr>
        <w:trPr>
          <w:trHeight w:val="182"/>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The Carlyle Group Inc.</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987.9</w:t>
            </w:r>
          </w:p>
        </w:tc>
        <w:tc>
          <w:tcPr>
            <w:tcW w:w="6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(583.5)</w:t>
            </w:r>
          </w:p>
        </w:tc>
        <w:tc>
          <w:tcPr>
            <w:tcW w:w="6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1270</wp:posOffset>
            </wp:positionV>
            <wp:extent cx="17913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-107950</wp:posOffset>
            </wp:positionV>
            <wp:extent cx="179133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ectPr>
          <w:pgSz w:w="11900" w:h="16840" w:orient="portrait"/>
          <w:cols w:equalWidth="0" w:num="1">
            <w:col w:w="9400"/>
          </w:cols>
          <w:pgMar w:left="1060" w:top="1440" w:right="1440"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t>162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and shares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6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40" w:type="dxa"/>
            <w:vAlign w:val="bottom"/>
          </w:tcPr>
          <w:p>
            <w:pPr>
              <w:spacing w:after="0"/>
              <w:rPr>
                <w:sz w:val="11"/>
                <w:szCs w:val="11"/>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5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Stock</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Paid-in Capital</w:t>
            </w:r>
          </w:p>
        </w:tc>
        <w:tc>
          <w:tcPr>
            <w:tcW w:w="20" w:type="dxa"/>
            <w:vAlign w:val="bottom"/>
          </w:tcPr>
          <w:p>
            <w:pPr>
              <w:spacing w:after="0"/>
              <w:rPr>
                <w:sz w:val="9"/>
                <w:szCs w:val="9"/>
                <w:color w:val="auto"/>
              </w:rPr>
            </w:pPr>
          </w:p>
        </w:tc>
        <w:tc>
          <w:tcPr>
            <w:tcW w:w="4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w w:val="93"/>
              </w:rPr>
              <w:t>Earnings</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Interests in</w:t>
            </w:r>
          </w:p>
        </w:tc>
        <w:tc>
          <w:tcPr>
            <w:tcW w:w="40" w:type="dxa"/>
            <w:vAlign w:val="bottom"/>
          </w:tcPr>
          <w:p>
            <w:pPr>
              <w:spacing w:after="0"/>
              <w:rPr>
                <w:sz w:val="9"/>
                <w:szCs w:val="9"/>
                <w:color w:val="auto"/>
              </w:rPr>
            </w:pPr>
          </w:p>
        </w:tc>
        <w:tc>
          <w:tcPr>
            <w:tcW w:w="38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Equity</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(Deficit)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0" w:type="dxa"/>
            <w:vAlign w:val="bottom"/>
          </w:tcPr>
          <w:p>
            <w:pPr>
              <w:spacing w:after="0"/>
              <w:rPr>
                <w:sz w:val="9"/>
                <w:szCs w:val="9"/>
                <w:color w:val="auto"/>
              </w:rPr>
            </w:pPr>
          </w:p>
        </w:tc>
        <w:tc>
          <w:tcPr>
            <w:tcW w:w="9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2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Entities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36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5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355.4</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w:t>
            </w: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2,717.6</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2,805.3</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(247.5)</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427.2</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5,706.2</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Shares repurchased</w:t>
            </w:r>
          </w:p>
        </w:tc>
        <w:tc>
          <w:tcPr>
            <w:tcW w:w="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(185.6)</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(185.6)</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Equity-based compensation</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162.5</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shares issued for equity-based awards</w:t>
            </w: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6.2</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Shares issued for performance allocations</w:t>
            </w:r>
          </w:p>
        </w:tc>
        <w:tc>
          <w:tcPr>
            <w:tcW w:w="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0.9</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38.9</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38.9</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Shares issued related to the acquisition of CBAM</w:t>
            </w: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194.5</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28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Shares issued related to the acquisition of</w:t>
            </w:r>
          </w:p>
        </w:tc>
        <w:tc>
          <w:tcPr>
            <w:tcW w:w="40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0.6</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25.0</w:t>
            </w: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Abingworth</w:t>
            </w:r>
          </w:p>
        </w:tc>
        <w:tc>
          <w:tcPr>
            <w:tcW w:w="4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Contributions</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391.2</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391.2</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and distributions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(443.6)</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(216.8)</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(660.4)</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6"/>
              </w:rPr>
              <w:t>1,225.0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59.7</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1,284.7</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a Consolidated Entity</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(47.6)</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(47.6)</w:t>
            </w:r>
          </w:p>
        </w:tc>
        <w:tc>
          <w:tcPr>
            <w:tcW w:w="0" w:type="dxa"/>
            <w:vAlign w:val="bottom"/>
          </w:tcPr>
          <w:p>
            <w:pPr>
              <w:spacing w:after="0"/>
              <w:rPr>
                <w:sz w:val="1"/>
                <w:szCs w:val="1"/>
                <w:color w:val="auto"/>
              </w:rPr>
            </w:pPr>
          </w:p>
        </w:tc>
      </w:tr>
      <w:tr>
        <w:trPr>
          <w:trHeight w:val="108"/>
        </w:trPr>
        <w:tc>
          <w:tcPr>
            <w:tcW w:w="286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Non-controlling interests related to the acquisition</w:t>
            </w:r>
          </w:p>
        </w:tc>
        <w:tc>
          <w:tcPr>
            <w:tcW w:w="40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4.2</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of Abingworth</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(90.2)</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(17.6)</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(107.8)</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Defined benefit plans, net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40"/>
        </w:trPr>
        <w:tc>
          <w:tcPr>
            <w:tcW w:w="23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36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5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362.3</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3,138.5</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3,401.1</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(322.2)</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600.3</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6,821.3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Shares repurchased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3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jc w:val="right"/>
              <w:ind w:right="26"/>
              <w:spacing w:after="0" w:line="118" w:lineRule="exact"/>
              <w:rPr>
                <w:sz w:val="20"/>
                <w:szCs w:val="20"/>
                <w:color w:val="auto"/>
              </w:rPr>
            </w:pPr>
            <w:r>
              <w:rPr>
                <w:rFonts w:ascii="Times New Roman" w:cs="Times New Roman" w:eastAsia="Times New Roman" w:hAnsi="Times New Roman"/>
                <w:sz w:val="11"/>
                <w:szCs w:val="11"/>
                <w:color w:val="auto"/>
              </w:rPr>
              <w:t>(6.5)</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jc w:val="right"/>
              <w:ind w:right="66"/>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right"/>
              <w:ind w:right="66"/>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jc w:val="right"/>
              <w:ind w:right="26"/>
              <w:spacing w:after="0" w:line="118" w:lineRule="exact"/>
              <w:rPr>
                <w:sz w:val="20"/>
                <w:szCs w:val="20"/>
                <w:color w:val="auto"/>
              </w:rPr>
            </w:pPr>
            <w:r>
              <w:rPr>
                <w:rFonts w:ascii="Times New Roman" w:cs="Times New Roman" w:eastAsia="Times New Roman" w:hAnsi="Times New Roman"/>
                <w:sz w:val="11"/>
                <w:szCs w:val="11"/>
                <w:color w:val="auto"/>
              </w:rPr>
              <w:t>(203.5)</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jc w:val="right"/>
              <w:ind w:right="46"/>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jc w:val="right"/>
              <w:ind w:right="46"/>
              <w:spacing w:after="0" w:line="11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jc w:val="right"/>
              <w:ind w:right="26"/>
              <w:spacing w:after="0" w:line="118" w:lineRule="exact"/>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8"/>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Equity-based compensation</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255.1</w:t>
            </w: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255.1</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shares issued for equity-based awards</w:t>
            </w: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5.5</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28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Dividend-equivalent rights on certain equity-</w:t>
            </w:r>
          </w:p>
        </w:tc>
        <w:tc>
          <w:tcPr>
            <w:tcW w:w="40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9.4</w:t>
            </w: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(9.4)</w:t>
            </w: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4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Contributions</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177.0</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177.0</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and distributions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(497.7)</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(139.7)</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(637.4)</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(608.4)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111.7</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(496.7)</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Consolidated Entities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(168.8)</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(168.8)</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12.6</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41.7</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Defined benefit plans, net</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w:t>
            </w:r>
          </w:p>
        </w:tc>
        <w:tc>
          <w:tcPr>
            <w:tcW w:w="0" w:type="dxa"/>
            <w:vAlign w:val="bottom"/>
          </w:tcPr>
          <w:p>
            <w:pPr>
              <w:spacing w:after="0"/>
              <w:rPr>
                <w:sz w:val="1"/>
                <w:szCs w:val="1"/>
                <w:color w:val="auto"/>
              </w:rPr>
            </w:pPr>
          </w:p>
        </w:tc>
      </w:tr>
      <w:tr>
        <w:trPr>
          <w:trHeight w:val="135"/>
        </w:trPr>
        <w:tc>
          <w:tcPr>
            <w:tcW w:w="23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5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361.3</w:t>
            </w:r>
          </w:p>
        </w:tc>
        <w:tc>
          <w:tcPr>
            <w:tcW w:w="4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w:t>
            </w:r>
          </w:p>
        </w:tc>
        <w:tc>
          <w:tcPr>
            <w:tcW w:w="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3,403.0</w:t>
            </w:r>
          </w:p>
        </w:tc>
        <w:tc>
          <w:tcPr>
            <w:tcW w:w="2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2,082.1</w:t>
            </w:r>
          </w:p>
        </w:tc>
        <w:tc>
          <w:tcPr>
            <w:tcW w:w="20" w:type="dxa"/>
            <w:vAlign w:val="bottom"/>
          </w:tcPr>
          <w:p>
            <w:pPr>
              <w:spacing w:after="0"/>
              <w:rPr>
                <w:sz w:val="11"/>
                <w:szCs w:val="1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(297.3)</w:t>
            </w:r>
          </w:p>
        </w:tc>
        <w:tc>
          <w:tcPr>
            <w:tcW w:w="2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593.1</w:t>
            </w:r>
          </w:p>
        </w:tc>
        <w:tc>
          <w:tcPr>
            <w:tcW w:w="40" w:type="dxa"/>
            <w:vAlign w:val="bottom"/>
          </w:tcPr>
          <w:p>
            <w:pPr>
              <w:spacing w:after="0"/>
              <w:rPr>
                <w:sz w:val="11"/>
                <w:szCs w:val="1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5,784.5</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Shares repurchased</w:t>
            </w: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(395.6)</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(395.7)</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Equity-based compensation</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0.1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476.1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476.2</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shares issued for equity-based awards</w:t>
            </w:r>
          </w:p>
        </w:tc>
        <w:tc>
          <w:tcPr>
            <w:tcW w:w="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4.9</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(159.0)</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(159.0)</w:t>
            </w:r>
          </w:p>
        </w:tc>
        <w:tc>
          <w:tcPr>
            <w:tcW w:w="0" w:type="dxa"/>
            <w:vAlign w:val="bottom"/>
          </w:tcPr>
          <w:p>
            <w:pPr>
              <w:spacing w:after="0"/>
              <w:rPr>
                <w:sz w:val="1"/>
                <w:szCs w:val="1"/>
                <w:color w:val="auto"/>
              </w:rPr>
            </w:pPr>
          </w:p>
        </w:tc>
      </w:tr>
      <w:tr>
        <w:trPr>
          <w:trHeight w:val="108"/>
        </w:trPr>
        <w:tc>
          <w:tcPr>
            <w:tcW w:w="286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Dividend-equivalent rights on certain equity-</w:t>
            </w:r>
          </w:p>
        </w:tc>
        <w:tc>
          <w:tcPr>
            <w:tcW w:w="40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b w:val="1"/>
                <w:bCs w:val="1"/>
                <w:color w:val="auto"/>
              </w:rPr>
              <w:t>13.2</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jc w:val="right"/>
              <w:ind w:right="26"/>
              <w:spacing w:after="0" w:line="108" w:lineRule="exact"/>
              <w:rPr>
                <w:sz w:val="20"/>
                <w:szCs w:val="20"/>
                <w:color w:val="auto"/>
              </w:rPr>
            </w:pPr>
            <w:r>
              <w:rPr>
                <w:rFonts w:ascii="Times New Roman" w:cs="Times New Roman" w:eastAsia="Times New Roman" w:hAnsi="Times New Roman"/>
                <w:sz w:val="11"/>
                <w:szCs w:val="11"/>
                <w:b w:val="1"/>
                <w:bCs w:val="1"/>
                <w:color w:val="auto"/>
              </w:rPr>
              <w:t>(13.2)</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jc w:val="right"/>
              <w:ind w:right="4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jc w:val="right"/>
              <w:ind w:right="6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based awards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Contributions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319.5</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319.5</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and distributions</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(503.0)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(178.4)</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(681.4)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1,020.4</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70.7</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1,091.1</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Change in ownership of a Consolidated Entity</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9.1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(9.1)</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Deconsolidation of Consolidated Entities</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(50.4)</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(50.4)</w:t>
            </w:r>
          </w:p>
        </w:tc>
        <w:tc>
          <w:tcPr>
            <w:tcW w:w="0" w:type="dxa"/>
            <w:vAlign w:val="bottom"/>
          </w:tcPr>
          <w:p>
            <w:pPr>
              <w:spacing w:after="0"/>
              <w:rPr>
                <w:sz w:val="1"/>
                <w:szCs w:val="1"/>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Currency translation adjustments</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(35.1)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(4.7)</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(39.8)</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Defined benefit plans, net</w:t>
            </w:r>
          </w:p>
        </w:tc>
        <w:tc>
          <w:tcPr>
            <w:tcW w:w="4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2.6</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2.6</w:t>
            </w:r>
          </w:p>
        </w:tc>
        <w:tc>
          <w:tcPr>
            <w:tcW w:w="0" w:type="dxa"/>
            <w:vAlign w:val="bottom"/>
          </w:tcPr>
          <w:p>
            <w:pPr>
              <w:spacing w:after="0"/>
              <w:rPr>
                <w:sz w:val="1"/>
                <w:szCs w:val="1"/>
                <w:color w:val="auto"/>
              </w:rPr>
            </w:pPr>
          </w:p>
        </w:tc>
      </w:tr>
      <w:tr>
        <w:trPr>
          <w:trHeight w:val="135"/>
        </w:trPr>
        <w:tc>
          <w:tcPr>
            <w:tcW w:w="23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5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357.2</w:t>
            </w:r>
          </w:p>
        </w:tc>
        <w:tc>
          <w:tcPr>
            <w:tcW w:w="4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3.6</w:t>
            </w:r>
          </w:p>
        </w:tc>
        <w:tc>
          <w:tcPr>
            <w:tcW w:w="2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3,892.3</w:t>
            </w:r>
          </w:p>
        </w:tc>
        <w:tc>
          <w:tcPr>
            <w:tcW w:w="2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2,040.8</w:t>
            </w:r>
          </w:p>
        </w:tc>
        <w:tc>
          <w:tcPr>
            <w:tcW w:w="20" w:type="dxa"/>
            <w:vAlign w:val="bottom"/>
          </w:tcPr>
          <w:p>
            <w:pPr>
              <w:spacing w:after="0"/>
              <w:rPr>
                <w:sz w:val="11"/>
                <w:szCs w:val="1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(329.8)</w:t>
            </w:r>
          </w:p>
        </w:tc>
        <w:tc>
          <w:tcPr>
            <w:tcW w:w="2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740.7</w:t>
            </w:r>
          </w:p>
        </w:tc>
        <w:tc>
          <w:tcPr>
            <w:tcW w:w="40" w:type="dxa"/>
            <w:vAlign w:val="bottom"/>
          </w:tcPr>
          <w:p>
            <w:pPr>
              <w:spacing w:after="0"/>
              <w:rPr>
                <w:sz w:val="11"/>
                <w:szCs w:val="1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6,347.6</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-107950</wp:posOffset>
            </wp:positionV>
            <wp:extent cx="40932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093210" cy="7620"/>
                    </a:xfrm>
                    <a:prstGeom prst="rect">
                      <a:avLst/>
                    </a:prstGeom>
                    <a:noFill/>
                  </pic:spPr>
                </pic:pic>
              </a:graphicData>
            </a:graphic>
          </wp:anchor>
        </w:drawing>
      </w:r>
    </w:p>
    <w:p>
      <w:pPr>
        <w:sectPr>
          <w:pgSz w:w="11900" w:h="16840" w:orient="portrait"/>
          <w:cols w:equalWidth="0" w:num="1">
            <w:col w:w="9400"/>
          </w:cols>
          <w:pgMar w:left="106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32"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ectPr>
          <w:pgSz w:w="11900" w:h="16840" w:orient="portrait"/>
          <w:cols w:equalWidth="0" w:num="1">
            <w:col w:w="9400"/>
          </w:cols>
          <w:pgMar w:left="1060" w:top="547" w:right="1440"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84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2"/>
        </w:trPr>
        <w:tc>
          <w:tcPr>
            <w:tcW w:w="550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r>
      <w:tr>
        <w:trPr>
          <w:trHeight w:val="182"/>
        </w:trPr>
        <w:tc>
          <w:tcPr>
            <w:tcW w:w="55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6"/>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1,091.1</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(496.7)</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1,284.7</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flows from 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184.1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147.4</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467.9</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154.0</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Non-cash performance allocations and incentive fees, net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393.6</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principal investment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(123.9)</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Other non-cash amounts</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Funds related:</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Realized/unrealized (gain) loss on investments of Consolidated Funds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408.1</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Realized/unrealized (gain) loss from loans payable of Consolidated Funds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72.4</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240.0</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investments by Consolidated Funds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(7,447.9)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(3,084.7)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(3,826.2)</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and settlements of investments by Consolidated Funds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5,493.2</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2,348.8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2,860.4</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Non-cash interest income, net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cash and cash equivalents held at Consolidated Funds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(526.3)</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 in other receivables held at Consolidated Funds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other liabilities held at Consolidated Funds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508.0</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Other non-cash amounts of Consolidated Funds</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(385.9)</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sale of investments</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498.0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474.9</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Changes in deferred taxes, net</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91.2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due from affiliates and other receivables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 in deposits and other</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accounts payable, accrued expenses and other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58.8</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 in accrued compensation and benefits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due to affiliates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 in lease right-of-use assets and lease liabilities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deferred revenue</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r>
      <w:tr>
        <w:trPr>
          <w:trHeight w:val="182"/>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(759.5)</w:t>
            </w: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204.9</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w:t>
            </w:r>
          </w:p>
        </w:tc>
      </w:tr>
      <w:tr>
        <w:trPr>
          <w:trHeight w:val="26"/>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corporate treasury investments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corporate treasury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210.3</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fixed assets, net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38"/>
        </w:trPr>
        <w:tc>
          <w:tcPr>
            <w:tcW w:w="5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Abingworth, net of cash acquired</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CBAM intangibles and investments</w:t>
            </w: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r>
      <w:tr>
        <w:trPr>
          <w:trHeight w:val="38"/>
        </w:trPr>
        <w:tc>
          <w:tcPr>
            <w:tcW w:w="55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ectPr>
          <w:pgSz w:w="11900" w:h="16840" w:orient="portrait"/>
          <w:cols w:equalWidth="0" w:num="1">
            <w:col w:w="9400"/>
          </w:cols>
          <w:pgMar w:left="1060" w:top="555" w:right="1440" w:bottom="1440"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84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5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6"/>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5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Repayments under credit facilities</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CLO borrowings, net of financing costs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0.7</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Payments on CLO borrowings</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borrowings on loans payable of Consolidated Funds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1,825.0</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624.2</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Dividends to common stockholders</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(503.0)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(497.7)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deferred consideration for Carlyle Holdings units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(68.8)</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319.5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391.2</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(178.4)</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Common shares issued for performance allocations</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repurchased and net share settlement of equity awards</w:t>
            </w:r>
          </w:p>
        </w:tc>
        <w:tc>
          <w:tcPr>
            <w:tcW w:w="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(554.6)</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Change in due to/from affiliates financing activities</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682.8</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3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(175.6)</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1,442.1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2,475.1</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1,266.5</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1,442.1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93.6</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91.8</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00" w:type="dxa"/>
            <w:vAlign w:val="bottom"/>
            <w:vMerge w:val="continue"/>
          </w:tcPr>
          <w:p>
            <w:pPr>
              <w:spacing w:after="0"/>
              <w:rPr>
                <w:sz w:val="13"/>
                <w:szCs w:val="13"/>
                <w:color w:val="auto"/>
              </w:rPr>
            </w:pPr>
          </w:p>
        </w:tc>
        <w:tc>
          <w:tcPr>
            <w:tcW w:w="32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218.8</w:t>
            </w:r>
          </w:p>
        </w:tc>
        <w:tc>
          <w:tcPr>
            <w:tcW w:w="60" w:type="dxa"/>
            <w:vAlign w:val="bottom"/>
            <w:vMerge w:val="continue"/>
          </w:tcPr>
          <w:p>
            <w:pPr>
              <w:spacing w:after="0"/>
              <w:rPr>
                <w:sz w:val="13"/>
                <w:szCs w:val="13"/>
                <w:color w:val="auto"/>
              </w:rPr>
            </w:pPr>
          </w:p>
        </w:tc>
        <w:tc>
          <w:tcPr>
            <w:tcW w:w="32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250.1</w:t>
            </w:r>
          </w:p>
        </w:tc>
        <w:tc>
          <w:tcPr>
            <w:tcW w:w="6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Supplemental non-cash disclosures</w:t>
            </w:r>
          </w:p>
        </w:tc>
        <w:tc>
          <w:tcPr>
            <w:tcW w:w="3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related to the acquisition of CBAM and Abingworth</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asset impact of deconsolidation of Consolidated Funds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(131.2)</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(110.4)</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5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1,266.0</w:t>
            </w: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1,440.3</w:t>
            </w: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1,360.7</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1,266.5</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1,442.1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165</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1. Organization</w:t>
      </w:r>
    </w:p>
    <w:p>
      <w:pPr>
        <w:ind w:left="10" w:right="1480" w:firstLine="576"/>
        <w:spacing w:after="0"/>
        <w:rPr>
          <w:sz w:val="20"/>
          <w:szCs w:val="20"/>
          <w:color w:val="auto"/>
        </w:rPr>
      </w:pPr>
      <w:r>
        <w:rPr>
          <w:rFonts w:ascii="Times New Roman" w:cs="Times New Roman" w:eastAsia="Times New Roman" w:hAnsi="Times New Roman"/>
          <w:sz w:val="14"/>
          <w:szCs w:val="14"/>
          <w:color w:val="auto"/>
        </w:rPr>
        <w:t>Carlyle is one of the world’s largest global investment firms that deploys private capital across its business and conducts its operations through three reportable segments: Global Private Equity, Global Credit, and Global Investment Solutions (see Note 15, Segment Reporting). In the Global Private Equity segment, Carlyle advises buyout, growth, real estate, infrastructure, and natural resources funds. The primary areas of focus for the Global Credit segment are insurance solutions, liquid credit, private credit, and capital markets. The Global Investment Solutions segment provides investment opportunities and resources for investors and clients through secondary purchases and financing of existing portfolios, managed co-investment programs, and primary fund investments. Carlyle typically serves as the general partner, investment manager or collateral manager, making day-to-day investment decisions concerning the assets of these products.</w:t>
      </w:r>
    </w:p>
    <w:p>
      <w:pPr>
        <w:spacing w:after="0" w:line="121" w:lineRule="exact"/>
        <w:rPr>
          <w:sz w:val="20"/>
          <w:szCs w:val="20"/>
          <w:color w:val="auto"/>
        </w:rPr>
      </w:pPr>
    </w:p>
    <w:p>
      <w:pPr>
        <w:ind w:left="10" w:right="6320" w:hanging="10"/>
        <w:spacing w:after="0" w:line="203" w:lineRule="auto"/>
        <w:tabs>
          <w:tab w:leader="none" w:pos="166"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ind w:left="10" w:right="140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(“U.S. GAAP”) and include the accounts of the Company and its consolidated subsidiaries. In addition, certain Carlyle-affiliated funds, related co-investment entities, and certain CLOs managed by the Company (collectively, the “Consolidated Funds”) have been consolidated in the accompanying financial statements. The consolidation of the Consolidated Funds generally has a gross-up effect on assets, liabilities and cash flows, and generally has no effect on the net income attributable to the Company. The economic ownership interests of the other investors in the Consolidated Funds are reflected as non-controlling interests in consolidated entities in the accompanying consolidated financial statements. All of the investments held and notes issued by the Consolidated Funds are presented at their estimated fair values in the Company’s consolidated balance sheets. Interest and other income of the Consolidated Funds, interest expense and other expenses of the Consolidated Funds, and net investment income (losses) of Consolidated Funds are included in the Company’s consolidated statements of operations.</w:t>
      </w:r>
    </w:p>
    <w:p>
      <w:pPr>
        <w:spacing w:after="0" w:line="4"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Management has determined that the Company’s funds are investment companies under U.S. GAAP for the purposes</w:t>
      </w:r>
    </w:p>
    <w:p>
      <w:pPr>
        <w:ind w:left="10" w:right="142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of financial reporting. U.S. GAAP for an investment company requires investments to be recorded at estimated fair value and the unrealized gains and/or losses in an investment’s fair value are recognized on a current basis in the statements of operations. Additionally, the funds do not consolidate their majority-owned and controlled investments (the “Portfolio Companies”). In the preparation of these consolidated financial statements, the Company has retained the specialized accounting for the funds.</w:t>
      </w:r>
    </w:p>
    <w:p>
      <w:pPr>
        <w:spacing w:after="0" w:line="1"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Principles of Consolidation</w:t>
      </w:r>
    </w:p>
    <w:p>
      <w:pPr>
        <w:ind w:left="10" w:right="246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consolidates all entities that it controls either through a majority voting interest or as the primary beneficiary of variable interest entities (“VIEs”).</w:t>
      </w:r>
    </w:p>
    <w:p>
      <w:pPr>
        <w:ind w:left="10" w:right="148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evaluates (1) whether it holds a variable interest in an entity, (2) whether the entity is a VIE, and (3) whether the Company’s involvement would make it the primary beneficiary. 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2" w:lineRule="exact"/>
        <w:rPr>
          <w:rFonts w:ascii="Times New Roman" w:cs="Times New Roman" w:eastAsia="Times New Roman" w:hAnsi="Times New Roman"/>
          <w:sz w:val="16"/>
          <w:szCs w:val="16"/>
          <w:b w:val="1"/>
          <w:bCs w:val="1"/>
          <w:color w:val="auto"/>
        </w:rPr>
      </w:pPr>
    </w:p>
    <w:p>
      <w:pPr>
        <w:ind w:left="10" w:right="142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 determining whether the equity investors have proportionate voting rights to their obligations to absorb losses or rights to receive returns from an entity.</w:t>
      </w:r>
    </w:p>
    <w:p>
      <w:pPr>
        <w:spacing w:after="0" w:line="3" w:lineRule="exact"/>
        <w:rPr>
          <w:rFonts w:ascii="Times New Roman" w:cs="Times New Roman" w:eastAsia="Times New Roman" w:hAnsi="Times New Roman"/>
          <w:sz w:val="16"/>
          <w:szCs w:val="16"/>
          <w:b w:val="1"/>
          <w:bCs w:val="1"/>
          <w:color w:val="auto"/>
        </w:rPr>
      </w:pPr>
    </w:p>
    <w:p>
      <w:pPr>
        <w:ind w:left="10"/>
        <w:spacing w:after="0" w:line="20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entities that are determined to be VIEs, the Company consolidates those entities where it has concluded it is the</w:t>
      </w:r>
    </w:p>
    <w:p>
      <w:pPr>
        <w:ind w:left="10" w:right="1480"/>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primary beneficiary. The primary beneficiary is defined as the variable interest holder with (a) the power to direct the activities of a VIE that most significantly impact the entity’s economic performance and (b) the obligation to absorb losses of the entity</w:t>
      </w:r>
    </w:p>
    <w:p>
      <w:pPr>
        <w:sectPr>
          <w:pgSz w:w="11900" w:h="16840" w:orient="portrait"/>
          <w:cols w:equalWidth="0" w:num="1">
            <w:col w:w="9410"/>
          </w:cols>
          <w:pgMar w:left="1050" w:top="555" w:right="1440" w:bottom="553"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or the right to receive benefits from the entity that could potentially be significant to the VIE. In evaluating whether the Company is the primary beneficiary, the Company evaluates its economic interests in the entity held either directly or indirectly by the Company.</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As of December 31, 2024, assets and liabilities of the consolidated VIEs reflected in the consolidated balance sheets were $8.9 billion and $7.7 billion, respectively. As of December 31, 2023, assets and liabilities of the consolidated VIEs reflected in the consolidated balance sheets were $ 7.8 billion and $6.9 billion, respectively. Except to the extent of the consolidated assets of the VIEs, the holders of the consolidated VIEs’ liabilities generally do not have recourse to the Company. The Company’s Consolidated Funds are primarily CLOs, which are VIEs that issue loans payable that are backed by diversified collateral asset portfolios consisting primarily of loans or structured debt. In exchange for managing the collateral for the CLOs, the Company earns investment management fees, including in some cases subordinated management fees and contingent incentive fees. In cases where the Company consolidates the CLOs (primarily because of a retained interest that is significant to the CLO), those management fees and contingent incentive fees have been eliminated as intercompany transactions. As of December 31, 2024, the Company held $ 236.2 million of investments in these CLOs which represents its maximum risk of loss. The Company’s investments in these CLOs are generally subordinated to other interests in the entities and entitle the Company to receive a pro rata portion of the residual cash flows, if any, from the entities. Investors in the CLOs have no recourse against the Company for any losses sustained in the CLO structure. The Company’s Consolidated Funds also include certain investment funds in the Global Private Equity segment that are accounted for as consolidated VIEs due to the Company providing financing to bridge investment purchases. As of December 31, 2024, the Company held $ 422.2 million of notes receivable and investments related to these investment funds which represents its maximum risk of loss. The Company’s Consolidated Funds also include certain funds in the Global Credit and Global Investment Solutions segments that are accounted for as consolidated VIEs due to the Company having a significant indirect interest in these funds via the Company’s investment in Fortitude (see Note 4, Investments).</w:t>
      </w:r>
    </w:p>
    <w:p>
      <w:pPr>
        <w:spacing w:after="0" w:line="8" w:lineRule="exact"/>
        <w:rPr>
          <w:sz w:val="20"/>
          <w:szCs w:val="20"/>
          <w:color w:val="auto"/>
        </w:rPr>
      </w:pPr>
    </w:p>
    <w:p>
      <w:pPr>
        <w:ind w:right="1980"/>
        <w:spacing w:after="0" w:line="203" w:lineRule="auto"/>
        <w:rPr>
          <w:sz w:val="20"/>
          <w:szCs w:val="20"/>
          <w:color w:val="auto"/>
        </w:rPr>
      </w:pPr>
      <w:r>
        <w:rPr>
          <w:rFonts w:ascii="Times New Roman" w:cs="Times New Roman" w:eastAsia="Times New Roman" w:hAnsi="Times New Roman"/>
          <w:sz w:val="16"/>
          <w:szCs w:val="16"/>
          <w:color w:val="auto"/>
        </w:rPr>
        <w:t>Entities that do not qualify as VIEs are generally assessed for consolidation as voting interest entities. Under the voting interest entity model, the Company consolidates those entities it controls through a majority voting interest. All significant inter-entity transactions and balances of entities consolidated have been eliminated.</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Investments in Unconsolidated Variable Interest Entities</w:t>
      </w:r>
    </w:p>
    <w:p>
      <w:pPr>
        <w:spacing w:after="0" w:line="203" w:lineRule="auto"/>
        <w:rPr>
          <w:sz w:val="20"/>
          <w:szCs w:val="20"/>
          <w:color w:val="auto"/>
        </w:rPr>
      </w:pPr>
      <w:r>
        <w:rPr>
          <w:rFonts w:ascii="Times New Roman" w:cs="Times New Roman" w:eastAsia="Times New Roman" w:hAnsi="Times New Roman"/>
          <w:sz w:val="16"/>
          <w:szCs w:val="16"/>
          <w:color w:val="auto"/>
        </w:rPr>
        <w:t>The Company holds variable interests in certain VIEs that are not consolidated because the Company is not the</w:t>
      </w:r>
    </w:p>
    <w:p>
      <w:pPr>
        <w:spacing w:after="0" w:line="1" w:lineRule="exact"/>
        <w:rPr>
          <w:sz w:val="20"/>
          <w:szCs w:val="20"/>
          <w:color w:val="auto"/>
        </w:rPr>
      </w:pPr>
    </w:p>
    <w:p>
      <w:pPr>
        <w:ind w:right="1480"/>
        <w:spacing w:after="0" w:line="205" w:lineRule="auto"/>
        <w:rPr>
          <w:sz w:val="20"/>
          <w:szCs w:val="20"/>
          <w:color w:val="auto"/>
        </w:rPr>
      </w:pPr>
      <w:r>
        <w:rPr>
          <w:rFonts w:ascii="Times New Roman" w:cs="Times New Roman" w:eastAsia="Times New Roman" w:hAnsi="Times New Roman"/>
          <w:sz w:val="16"/>
          <w:szCs w:val="16"/>
          <w:color w:val="auto"/>
        </w:rPr>
        <w:t>primary beneficiary, including its investments in certain credit vehicles and certain AlpInvest vehicles, as well as its strategic investment in NGP Management Company, L.L.C. (“NGP Management” and, together with its affiliates, “NGP”) . Refer to Note 4, Investments, for information on the strategic investment in NGP. The Company’s involvement with such entities is in the form of direct or indirect equity interests and fee arrangements. The maximum exposure to loss represents the loss of assets recognized by the Company relating to its variable interests in these unconsolidated entities. The assets recognized in the Company’s consolidated balance sheets related to the Company’s variable interests in these non- consolidated VIEs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2"/>
        </w:trPr>
        <w:tc>
          <w:tcPr>
            <w:tcW w:w="382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r>
      <w:tr>
        <w:trPr>
          <w:trHeight w:val="26"/>
        </w:trPr>
        <w:tc>
          <w:tcPr>
            <w:tcW w:w="38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38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8"/>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942.6</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1,118.4</w:t>
            </w: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Accrued performance allocations</w:t>
            </w: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580.8</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492.3</w:t>
            </w:r>
          </w:p>
        </w:tc>
      </w:tr>
      <w:tr>
        <w:trPr>
          <w:trHeight w:val="38"/>
        </w:trPr>
        <w:tc>
          <w:tcPr>
            <w:tcW w:w="3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8"/>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fee receivables</w:t>
            </w:r>
          </w:p>
        </w:tc>
        <w:tc>
          <w:tcPr>
            <w:tcW w:w="4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62.4</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r>
      <w:tr>
        <w:trPr>
          <w:trHeight w:val="182"/>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1,585.8</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1270</wp:posOffset>
            </wp:positionV>
            <wp:extent cx="153225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532255" cy="7620"/>
                    </a:xfrm>
                    <a:prstGeom prst="rect">
                      <a:avLst/>
                    </a:prstGeom>
                    <a:noFill/>
                  </pic:spPr>
                </pic:pic>
              </a:graphicData>
            </a:graphic>
          </wp:anchor>
        </w:drawing>
      </w:r>
    </w:p>
    <w:p>
      <w:pPr>
        <w:spacing w:after="0" w:line="5" w:lineRule="exact"/>
        <w:rPr>
          <w:sz w:val="20"/>
          <w:szCs w:val="20"/>
          <w:color w:val="auto"/>
        </w:rPr>
      </w:pPr>
    </w:p>
    <w:p>
      <w:pPr>
        <w:ind w:right="2620"/>
        <w:spacing w:after="0" w:line="215" w:lineRule="auto"/>
        <w:rPr>
          <w:sz w:val="20"/>
          <w:szCs w:val="20"/>
          <w:color w:val="auto"/>
        </w:rPr>
      </w:pPr>
      <w:r>
        <w:rPr>
          <w:rFonts w:ascii="Times New Roman" w:cs="Times New Roman" w:eastAsia="Times New Roman" w:hAnsi="Times New Roman"/>
          <w:sz w:val="16"/>
          <w:szCs w:val="16"/>
          <w:color w:val="auto"/>
        </w:rPr>
        <w:t>These amounts represent the Company’s maximum exposure to loss related to the unconsolidated VIEs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-200660</wp:posOffset>
            </wp:positionV>
            <wp:extent cx="153225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53225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Use of Estimates</w:t>
      </w:r>
    </w:p>
    <w:p>
      <w:pPr>
        <w:ind w:right="1420"/>
        <w:spacing w:after="0" w:line="24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assumptions and estimates that affect the reported amounts of assets and liabilities and disclosure of contingent assets and liabilities at the date of the consolidated financial statements and the reported amounts of revenues and expenses during the reporting period. Management’s estimates are based on historical experiences and other factors, including expectations of future events that</w:t>
      </w:r>
    </w:p>
    <w:p>
      <w:pPr>
        <w:sectPr>
          <w:pgSz w:w="11900" w:h="16840" w:orient="portrait"/>
          <w:cols w:equalWidth="0" w:num="1">
            <w:col w:w="9400"/>
          </w:cols>
          <w:pgMar w:left="1060" w:top="1440" w:right="1440" w:bottom="1440" w:gutter="0" w:footer="0" w:header="0"/>
        </w:sectPr>
      </w:pPr>
    </w:p>
    <w:bookmarkStart w:id="136" w:name="page137"/>
    <w:bookmarkEnd w:id="136"/>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80"/>
        <w:spacing w:after="0" w:line="203" w:lineRule="auto"/>
        <w:rPr>
          <w:sz w:val="20"/>
          <w:szCs w:val="20"/>
          <w:color w:val="auto"/>
        </w:rPr>
      </w:pPr>
      <w:r>
        <w:rPr>
          <w:rFonts w:ascii="Times New Roman" w:cs="Times New Roman" w:eastAsia="Times New Roman" w:hAnsi="Times New Roman"/>
          <w:sz w:val="16"/>
          <w:szCs w:val="16"/>
          <w:color w:val="auto"/>
        </w:rPr>
        <w:t>management believes to be reasonable under the circumstances. It also requires management to exercise judgment in the process of applying the Company’s accounting policies. Assumptions and estimates regarding the valuation of investments and their resulting impact on performance allocations and incentive fees involve a higher degree of judgment and complexity and these assumptions and estimates may be significant to the consolidated financial statements and the resulting impact on performance allocations and incentive fees. Actual results could differ from these estimates and such differences could be material.</w:t>
      </w:r>
    </w:p>
    <w:p>
      <w:pPr>
        <w:ind w:left="560"/>
        <w:spacing w:after="0" w:line="206" w:lineRule="auto"/>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 w:lineRule="exact"/>
        <w:rPr>
          <w:sz w:val="20"/>
          <w:szCs w:val="20"/>
          <w:color w:val="auto"/>
        </w:rPr>
      </w:pPr>
    </w:p>
    <w:p>
      <w:pPr>
        <w:ind w:right="1440"/>
        <w:spacing w:after="0"/>
        <w:rPr>
          <w:sz w:val="20"/>
          <w:szCs w:val="20"/>
          <w:color w:val="auto"/>
        </w:rPr>
      </w:pPr>
      <w:r>
        <w:rPr>
          <w:rFonts w:ascii="Times New Roman" w:cs="Times New Roman" w:eastAsia="Times New Roman" w:hAnsi="Times New Roman"/>
          <w:sz w:val="14"/>
          <w:szCs w:val="14"/>
          <w:color w:val="auto"/>
        </w:rPr>
        <w:t xml:space="preserve">The Company recognizes revenue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Revenue is recognized when the Company transfers promised goods or services to customers in an amount that reflects the consideration to which the Company expects to be entitled in exchange for those goods or services. ASC 606 includes a five -step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obligations in the contract, (iii) determine the transaction price, (iv) allocate the transaction price to the performance obligations in the contract, and (v) recognize revenue when the entity satisfies a performance obligation. The Company accounts for performance allocations that represent a performance-based capital allocation from fund</w:t>
      </w:r>
    </w:p>
    <w:p>
      <w:pPr>
        <w:spacing w:after="0" w:line="12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 xml:space="preserve">limited partners to the Company (commonly known as “carried interest”) as earnings from financial assets within the scope of ASC 323, </w:t>
      </w:r>
      <w:r>
        <w:rPr>
          <w:rFonts w:ascii="Times New Roman" w:cs="Times New Roman" w:eastAsia="Times New Roman" w:hAnsi="Times New Roman"/>
          <w:sz w:val="16"/>
          <w:szCs w:val="16"/>
          <w:i w:val="1"/>
          <w:iCs w:val="1"/>
          <w:color w:val="auto"/>
        </w:rPr>
        <w:t>Investments—Equity Method and Joint Ventures</w:t>
      </w:r>
      <w:r>
        <w:rPr>
          <w:rFonts w:ascii="Times New Roman" w:cs="Times New Roman" w:eastAsia="Times New Roman" w:hAnsi="Times New Roman"/>
          <w:sz w:val="16"/>
          <w:szCs w:val="16"/>
          <w:color w:val="auto"/>
        </w:rPr>
        <w:t>, and therefore are not in the scope of ASC 606. In accordance with ASC 323, the Company records equity method income (losses) as a component of investment income based on the change in its proportionate claim on net assets of the investment fund, including performance allocations, assuming the investment fund was liquidated as of each reporting date pursuant to each fund’s governing agreements. See Note 4, Investments, for additional information on the components of investments and investment income. Performance fees that do not meet the definition of performance- based capital allocations are in the scope of ASC 606 and are included in incentive fees in the consolidated statements of operations. The calculation of unrealized performance revenues utilizes investment valuations of the funds’ underlying investments, which are derived using the policies, methodologies and templates prepared by the Company’s valuation group, as described in Note 3, Fair Value Measurement.</w:t>
      </w:r>
    </w:p>
    <w:p>
      <w:pPr>
        <w:spacing w:after="0" w:line="209" w:lineRule="auto"/>
        <w:rPr>
          <w:sz w:val="20"/>
          <w:szCs w:val="20"/>
          <w:color w:val="auto"/>
        </w:rPr>
      </w:pPr>
      <w:r>
        <w:rPr>
          <w:rFonts w:ascii="Times New Roman" w:cs="Times New Roman" w:eastAsia="Times New Roman" w:hAnsi="Times New Roman"/>
          <w:sz w:val="16"/>
          <w:szCs w:val="16"/>
          <w:color w:val="auto"/>
        </w:rPr>
        <w:t>While the determination of who is the customer in a contractual arrangement will be made on a contract-by-contract</w:t>
      </w:r>
    </w:p>
    <w:p>
      <w:pPr>
        <w:spacing w:after="0" w:line="203" w:lineRule="auto"/>
        <w:rPr>
          <w:sz w:val="20"/>
          <w:szCs w:val="20"/>
          <w:color w:val="auto"/>
        </w:rPr>
      </w:pPr>
      <w:r>
        <w:rPr>
          <w:rFonts w:ascii="Times New Roman" w:cs="Times New Roman" w:eastAsia="Times New Roman" w:hAnsi="Times New Roman"/>
          <w:sz w:val="16"/>
          <w:szCs w:val="16"/>
          <w:color w:val="auto"/>
        </w:rPr>
        <w:t>basis, the customer will generally be the investment fund for the Company’s significant management and advisory contracts.</w:t>
      </w:r>
    </w:p>
    <w:p>
      <w:pPr>
        <w:spacing w:after="0" w:line="204" w:lineRule="auto"/>
        <w:rPr>
          <w:sz w:val="20"/>
          <w:szCs w:val="20"/>
          <w:color w:val="auto"/>
        </w:rPr>
      </w:pPr>
      <w:r>
        <w:rPr>
          <w:rFonts w:ascii="Times New Roman" w:cs="Times New Roman" w:eastAsia="Times New Roman" w:hAnsi="Times New Roman"/>
          <w:sz w:val="16"/>
          <w:szCs w:val="16"/>
          <w:color w:val="auto"/>
        </w:rPr>
        <w:t>The customer determination impacts the Company’s analysis of the accounting for contract costs.</w:t>
      </w:r>
    </w:p>
    <w:p>
      <w:pPr>
        <w:spacing w:after="0" w:line="203" w:lineRule="auto"/>
        <w:rPr>
          <w:sz w:val="20"/>
          <w:szCs w:val="20"/>
          <w:color w:val="auto"/>
        </w:rPr>
      </w:pPr>
      <w:r>
        <w:rPr>
          <w:rFonts w:ascii="Times New Roman" w:cs="Times New Roman" w:eastAsia="Times New Roman" w:hAnsi="Times New Roman"/>
          <w:sz w:val="16"/>
          <w:szCs w:val="16"/>
          <w:b w:val="1"/>
          <w:bCs w:val="1"/>
          <w:i w:val="1"/>
          <w:iCs w:val="1"/>
          <w:color w:val="auto"/>
        </w:rPr>
        <w:t>Fund Management Fees</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The Company provides management services to funds in which it holds a general partner interest or to funds or certain portfolio companies with which it has an investment advisory or investment management agreement. The Company considers the performance obligations in its contracts with its funds to be the promise to provide (or to arrange for third parties to provide) investment management services related to the management, policies and operations of the funds.</w:t>
      </w:r>
    </w:p>
    <w:p>
      <w:pPr>
        <w:spacing w:after="0" w:line="205" w:lineRule="auto"/>
        <w:rPr>
          <w:sz w:val="20"/>
          <w:szCs w:val="20"/>
          <w:color w:val="auto"/>
        </w:rPr>
      </w:pPr>
      <w:r>
        <w:rPr>
          <w:rFonts w:ascii="Times New Roman" w:cs="Times New Roman" w:eastAsia="Times New Roman" w:hAnsi="Times New Roman"/>
          <w:sz w:val="16"/>
          <w:szCs w:val="16"/>
          <w:color w:val="auto"/>
        </w:rPr>
        <w:t>As it relates to the Company’s performance obligation to provide investment management services, the Company</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typically satisfies this performance obligation over time as the services are rendered, since the funds simultaneously receive and consume the benefits provided as the Company performs the service. The transaction price is the amount of consideration to which the Company expects to be entitled in exchange for transferring the promised services to the funds. Management fees earned from each investment management contract over the contract life represent variable consideration because the consideration the Company is entitled to varies based on fluctuations in the basis for the management fee, for example fund net asset value (“NAV”) or assets under management (“AUM”). Given that the management fee basis is susceptible to market factors outside of the Company’s influence, management fees are constrained and, therefore, estimates of future period management fees are generally not included in the transaction price. Revenue recognized for the investment management services provided is generally the amount determined at the end of the period because that is when the uncertainty for that period is resolved.</w:t>
      </w:r>
    </w:p>
    <w:p>
      <w:pPr>
        <w:spacing w:after="0" w:line="209" w:lineRule="auto"/>
        <w:rPr>
          <w:sz w:val="20"/>
          <w:szCs w:val="20"/>
          <w:color w:val="auto"/>
        </w:rPr>
      </w:pPr>
      <w:r>
        <w:rPr>
          <w:rFonts w:ascii="Times New Roman" w:cs="Times New Roman" w:eastAsia="Times New Roman" w:hAnsi="Times New Roman"/>
          <w:sz w:val="16"/>
          <w:szCs w:val="16"/>
          <w:color w:val="auto"/>
        </w:rPr>
        <w:t>For closed-end carry funds in the Global Private Equity segment, management fees generally range from 1.0% to 2.0%</w:t>
      </w:r>
    </w:p>
    <w:p>
      <w:pPr>
        <w:ind w:right="1440"/>
        <w:spacing w:after="0" w:line="241" w:lineRule="auto"/>
        <w:rPr>
          <w:sz w:val="20"/>
          <w:szCs w:val="20"/>
          <w:color w:val="auto"/>
        </w:rPr>
      </w:pPr>
      <w:r>
        <w:rPr>
          <w:rFonts w:ascii="Times New Roman" w:cs="Times New Roman" w:eastAsia="Times New Roman" w:hAnsi="Times New Roman"/>
          <w:sz w:val="14"/>
          <w:szCs w:val="14"/>
          <w:color w:val="auto"/>
        </w:rPr>
        <w:t>of limited partners’ capital commitments during the fund’s commitment period. For closed-end carry funds in the Global Credit segment, management fees generally range from 1.0% to 2.0% of limited partners’ invested capital. Following the expiration or termination of the investment period, management fees generally are based on the lower of cost or fair value of invested capital and the rate charged may also be reduced. These terms may vary for certain separately managed accounts, longer- dated carry funds, and other closed-end funds. The Company will receive management fees during a specified period of time, which is</w:t>
      </w:r>
    </w:p>
    <w:p>
      <w:pPr>
        <w:sectPr>
          <w:pgSz w:w="11900" w:h="16840" w:orient="portrait"/>
          <w:cols w:equalWidth="0" w:num="1">
            <w:col w:w="9400"/>
          </w:cols>
          <w:pgMar w:left="1060" w:top="1440" w:right="1440" w:bottom="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500"/>
        <w:spacing w:after="0" w:line="209" w:lineRule="auto"/>
        <w:rPr>
          <w:sz w:val="20"/>
          <w:szCs w:val="20"/>
          <w:color w:val="auto"/>
        </w:rPr>
      </w:pPr>
      <w:r>
        <w:rPr>
          <w:rFonts w:ascii="Times New Roman" w:cs="Times New Roman" w:eastAsia="Times New Roman" w:hAnsi="Times New Roman"/>
          <w:sz w:val="16"/>
          <w:szCs w:val="16"/>
          <w:color w:val="auto"/>
        </w:rPr>
        <w:t>generally ten years from the initial closing date, or, in some instances, from the final closing date, but such termination date may be earlier in certain limited circumstances or later if extended for successive one-year periods, typically up to a maximum of two years. Depending upon the contracted terms of investment advisory or investment management and related agreements, these fees are generally called semi- annually in advance and are recognized as earned over the subsequent six month period. For certain longer-dated carry funds and certain other closed -end funds, management fees are called quarterly over the life of the funds.</w:t>
      </w:r>
    </w:p>
    <w:p>
      <w:pPr>
        <w:sectPr>
          <w:pgSz w:w="11900" w:h="16840" w:orient="portrait"/>
          <w:cols w:equalWidth="0" w:num="1">
            <w:col w:w="9400"/>
          </w:cols>
          <w:pgMar w:left="1060" w:top="1440" w:right="1440" w:bottom="143"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color w:val="auto"/>
        </w:rPr>
        <w:t>Within the Global Credit segment, for CLOs and other structured products, management fees generally range from</w:t>
      </w:r>
    </w:p>
    <w:p>
      <w:pPr>
        <w:ind w:right="1420"/>
        <w:spacing w:after="0" w:line="203" w:lineRule="auto"/>
        <w:rPr>
          <w:sz w:val="20"/>
          <w:szCs w:val="20"/>
          <w:color w:val="auto"/>
        </w:rPr>
      </w:pPr>
      <w:r>
        <w:rPr>
          <w:rFonts w:ascii="Times New Roman" w:cs="Times New Roman" w:eastAsia="Times New Roman" w:hAnsi="Times New Roman"/>
          <w:sz w:val="16"/>
          <w:szCs w:val="16"/>
          <w:color w:val="auto"/>
        </w:rPr>
        <w:t>0.4% to 0.5% based on the total par amount of assets or the aggregate principal amount of the notes in the CLO and are generally due quarterly in arrears based on the terms and recognized over the respective period. Management fees for the CLOs and other structured products are governed by indentures and collateral management agreements. The Company will receive management fees for the CLOs, generally five to ten years after issuance, including after the CLO redemption date until all eligible assets are disposed of or at such time the collateral manager waives fees at its discretion. Management fees for the business development companies are due quarterly in arrears at annual rates that range from 1.0% of capital under management to 1.5% of gross assets, excluding cash and cash equivalents. Management fees for CTAC are due monthly in arrears at the annual rate of 1.0% of the month-end value of the CTAC’s net assets. Carlyle Aviation Partners’ funds have varying management fee arrangements depending on the strategy of the particular fund. Under the strategic advisory services agreement with Fortitude, the Company earns a recurring management fee based on Fortitude’s general account assets, which adjusts within an agreed upon range based on Fortitude’s overall profitability and is due quarterly in arrears. Management fees for certain of our perpetual capital strategies and separately managed accounts in Global Credit have annual rates that generally range from 0.10% to 0.75%, which are charged based on invested capital or the fair value of the underlying assets, though management fee arrangements vary depending on the strategy of the particular account.</w:t>
      </w:r>
    </w:p>
    <w:p>
      <w:pPr>
        <w:spacing w:after="0" w:line="211" w:lineRule="auto"/>
        <w:rPr>
          <w:sz w:val="20"/>
          <w:szCs w:val="20"/>
          <w:color w:val="auto"/>
        </w:rPr>
      </w:pPr>
      <w:r>
        <w:rPr>
          <w:rFonts w:ascii="Times New Roman" w:cs="Times New Roman" w:eastAsia="Times New Roman" w:hAnsi="Times New Roman"/>
          <w:sz w:val="16"/>
          <w:szCs w:val="16"/>
          <w:color w:val="auto"/>
        </w:rPr>
        <w:t>Management fees for the Company’s carry fund vehicles in the Global Investment Solutions segment generally range</w:t>
      </w:r>
    </w:p>
    <w:p>
      <w:pPr>
        <w:ind w:right="1400"/>
        <w:spacing w:after="0" w:line="203" w:lineRule="auto"/>
        <w:rPr>
          <w:sz w:val="20"/>
          <w:szCs w:val="20"/>
          <w:color w:val="auto"/>
        </w:rPr>
      </w:pPr>
      <w:r>
        <w:rPr>
          <w:rFonts w:ascii="Times New Roman" w:cs="Times New Roman" w:eastAsia="Times New Roman" w:hAnsi="Times New Roman"/>
          <w:sz w:val="16"/>
          <w:szCs w:val="16"/>
          <w:color w:val="auto"/>
        </w:rPr>
        <w:t>from 0.25% to 1.5% of the vehicle’s capital commitments during the commitment fee period of the relevant fund. Following the expiration of the commitment fee period, the management fees generally range from 0.25% to 1.5% on (i) the net invested capital, (ii) the lower of cost or net asset value of the capital invested, or (iii) the net asset value for unrealized investments. Management fees for the Global Investment Solutions carry fund vehicles are generally due quarterly in advance and recognized over the related quarter. The investment advisers to the CAPM funds are entitled to receive a monthly management fee equal to 1.25% on an annualized basis of the fund’s net asset value as of the last day of the month</w:t>
      </w:r>
    </w:p>
    <w:p>
      <w:pPr>
        <w:spacing w:after="0" w:line="206" w:lineRule="auto"/>
        <w:rPr>
          <w:sz w:val="20"/>
          <w:szCs w:val="20"/>
          <w:color w:val="auto"/>
        </w:rPr>
      </w:pPr>
      <w:r>
        <w:rPr>
          <w:rFonts w:ascii="Times New Roman" w:cs="Times New Roman" w:eastAsia="Times New Roman" w:hAnsi="Times New Roman"/>
          <w:sz w:val="16"/>
          <w:szCs w:val="16"/>
          <w:color w:val="auto"/>
        </w:rPr>
        <w:t>The Company also provides transaction advisory and portfolio advisory services to the portfolio companies, and where</w:t>
      </w:r>
    </w:p>
    <w:p>
      <w:pPr>
        <w:spacing w:after="0" w:line="204" w:lineRule="auto"/>
        <w:rPr>
          <w:sz w:val="20"/>
          <w:szCs w:val="20"/>
          <w:color w:val="auto"/>
        </w:rPr>
      </w:pPr>
      <w:r>
        <w:rPr>
          <w:rFonts w:ascii="Times New Roman" w:cs="Times New Roman" w:eastAsia="Times New Roman" w:hAnsi="Times New Roman"/>
          <w:sz w:val="16"/>
          <w:szCs w:val="16"/>
          <w:color w:val="auto"/>
        </w:rPr>
        <w:t>covered by separate contractual agreements, recognizes fees for these services when the performance obligation has been</w:t>
      </w:r>
    </w:p>
    <w:p>
      <w:pPr>
        <w:spacing w:after="0" w:line="203" w:lineRule="auto"/>
        <w:rPr>
          <w:sz w:val="20"/>
          <w:szCs w:val="20"/>
          <w:color w:val="auto"/>
        </w:rPr>
      </w:pPr>
      <w:r>
        <w:rPr>
          <w:rFonts w:ascii="Times New Roman" w:cs="Times New Roman" w:eastAsia="Times New Roman" w:hAnsi="Times New Roman"/>
          <w:sz w:val="16"/>
          <w:szCs w:val="16"/>
          <w:color w:val="auto"/>
        </w:rPr>
        <w:t>satisfied and collection is reasonably assured. The Company is generally required to offset its fund management fees earned</w:t>
      </w:r>
    </w:p>
    <w:p>
      <w:pPr>
        <w:spacing w:after="0" w:line="204" w:lineRule="auto"/>
        <w:rPr>
          <w:sz w:val="20"/>
          <w:szCs w:val="20"/>
          <w:color w:val="auto"/>
        </w:rPr>
      </w:pPr>
      <w:r>
        <w:rPr>
          <w:rFonts w:ascii="Times New Roman" w:cs="Times New Roman" w:eastAsia="Times New Roman" w:hAnsi="Times New Roman"/>
          <w:sz w:val="16"/>
          <w:szCs w:val="16"/>
          <w:color w:val="auto"/>
        </w:rPr>
        <w:t>from the funds that have invested in the portfolio companies to which the service has been provided by a percentage of the</w:t>
      </w:r>
    </w:p>
    <w:p>
      <w:pPr>
        <w:spacing w:after="0" w:line="233" w:lineRule="auto"/>
        <w:rPr>
          <w:sz w:val="20"/>
          <w:szCs w:val="20"/>
          <w:color w:val="auto"/>
        </w:rPr>
      </w:pPr>
      <w:r>
        <w:rPr>
          <w:rFonts w:ascii="Times New Roman" w:cs="Times New Roman" w:eastAsia="Times New Roman" w:hAnsi="Times New Roman"/>
          <w:sz w:val="14"/>
          <w:szCs w:val="14"/>
          <w:color w:val="auto"/>
        </w:rPr>
        <w:t>transaction and advisory fees allocable to those funds. This amount is referred to as the “rebate offset,” and is generally 100%.</w:t>
      </w:r>
    </w:p>
    <w:p>
      <w:pPr>
        <w:spacing w:after="0" w:line="203" w:lineRule="auto"/>
        <w:rPr>
          <w:sz w:val="20"/>
          <w:szCs w:val="20"/>
          <w:color w:val="auto"/>
        </w:rPr>
      </w:pPr>
      <w:r>
        <w:rPr>
          <w:rFonts w:ascii="Times New Roman" w:cs="Times New Roman" w:eastAsia="Times New Roman" w:hAnsi="Times New Roman"/>
          <w:sz w:val="16"/>
          <w:szCs w:val="16"/>
          <w:color w:val="auto"/>
        </w:rPr>
        <w:t>Transaction and advisory fees allocable to funds that do not pay fund management fees do not have a rebate offset. The</w:t>
      </w:r>
    </w:p>
    <w:p>
      <w:pPr>
        <w:spacing w:after="0" w:line="233" w:lineRule="auto"/>
        <w:rPr>
          <w:sz w:val="20"/>
          <w:szCs w:val="20"/>
          <w:color w:val="auto"/>
        </w:rPr>
      </w:pPr>
      <w:r>
        <w:rPr>
          <w:rFonts w:ascii="Times New Roman" w:cs="Times New Roman" w:eastAsia="Times New Roman" w:hAnsi="Times New Roman"/>
          <w:sz w:val="14"/>
          <w:szCs w:val="14"/>
          <w:color w:val="auto"/>
        </w:rPr>
        <w:t>Company also recognizes underwriting fees from the Company’s loan syndication and capital markets business, Carlyle Global</w:t>
      </w:r>
    </w:p>
    <w:p>
      <w:pPr>
        <w:spacing w:after="0" w:line="203" w:lineRule="auto"/>
        <w:rPr>
          <w:sz w:val="20"/>
          <w:szCs w:val="20"/>
          <w:color w:val="auto"/>
        </w:rPr>
      </w:pPr>
      <w:r>
        <w:rPr>
          <w:rFonts w:ascii="Times New Roman" w:cs="Times New Roman" w:eastAsia="Times New Roman" w:hAnsi="Times New Roman"/>
          <w:sz w:val="16"/>
          <w:szCs w:val="16"/>
          <w:color w:val="auto"/>
        </w:rPr>
        <w:t>Capital Markets. Fund management fees include transaction and portfolio advisory fees, as well as capital markets fees, of</w:t>
      </w:r>
    </w:p>
    <w:p>
      <w:pPr>
        <w:spacing w:after="0" w:line="233" w:lineRule="auto"/>
        <w:rPr>
          <w:sz w:val="20"/>
          <w:szCs w:val="20"/>
          <w:color w:val="auto"/>
        </w:rPr>
      </w:pPr>
      <w:r>
        <w:rPr>
          <w:rFonts w:ascii="Times New Roman" w:cs="Times New Roman" w:eastAsia="Times New Roman" w:hAnsi="Times New Roman"/>
          <w:sz w:val="14"/>
          <w:szCs w:val="14"/>
          <w:color w:val="auto"/>
        </w:rPr>
        <w:t>$152.5 million, $68.6 million and $106.2 million for the years ended December 31, 2024, 2023 and 2022, respectively, net of</w:t>
      </w:r>
    </w:p>
    <w:p>
      <w:pPr>
        <w:spacing w:after="0" w:line="204" w:lineRule="auto"/>
        <w:rPr>
          <w:sz w:val="20"/>
          <w:szCs w:val="20"/>
          <w:color w:val="auto"/>
        </w:rPr>
      </w:pPr>
      <w:r>
        <w:rPr>
          <w:rFonts w:ascii="Times New Roman" w:cs="Times New Roman" w:eastAsia="Times New Roman" w:hAnsi="Times New Roman"/>
          <w:sz w:val="16"/>
          <w:szCs w:val="16"/>
          <w:color w:val="auto"/>
        </w:rPr>
        <w:t>rebate offsets as defined in the respective fund limited partnership agreements.</w:t>
      </w:r>
    </w:p>
    <w:p>
      <w:pPr>
        <w:ind w:right="1420"/>
        <w:spacing w:after="0"/>
        <w:rPr>
          <w:sz w:val="20"/>
          <w:szCs w:val="20"/>
          <w:color w:val="auto"/>
        </w:rPr>
      </w:pPr>
      <w:r>
        <w:rPr>
          <w:rFonts w:ascii="Times New Roman" w:cs="Times New Roman" w:eastAsia="Times New Roman" w:hAnsi="Times New Roman"/>
          <w:sz w:val="14"/>
          <w:szCs w:val="14"/>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 For the professional fees that the Company arranges for the investment funds, the Company concluded that the nature of its promise is to arrange for the services to be provided and it does not control the services provided by third parties before they are transferred to the customer. Therefore, the Company concluded it is acting in the capacity of an agent. Accordingly, the reimbursement for these professional fees paid on behalf of the investment funds is presented on a net basis in general, administrative and other expenses in the consolidated statements of operations. The Company also incurs certain costs, primarily employee travel and entertainment costs, employee compensation</w:t>
      </w:r>
    </w:p>
    <w:p>
      <w:pPr>
        <w:spacing w:after="0" w:line="117" w:lineRule="exact"/>
        <w:rPr>
          <w:sz w:val="20"/>
          <w:szCs w:val="20"/>
          <w:color w:val="auto"/>
        </w:rPr>
      </w:pPr>
    </w:p>
    <w:p>
      <w:pPr>
        <w:ind w:right="1400"/>
        <w:spacing w:after="0" w:line="241" w:lineRule="auto"/>
        <w:rPr>
          <w:sz w:val="20"/>
          <w:szCs w:val="20"/>
          <w:color w:val="auto"/>
        </w:rPr>
      </w:pPr>
      <w:r>
        <w:rPr>
          <w:rFonts w:ascii="Times New Roman" w:cs="Times New Roman" w:eastAsia="Times New Roman" w:hAnsi="Times New Roman"/>
          <w:sz w:val="14"/>
          <w:szCs w:val="14"/>
          <w:color w:val="auto"/>
        </w:rPr>
        <w:t>and systems costs, for which it receives reimbursement from the investment funds in connection with its performance obligation to provide investment and management services. For reimbursable travel, compensation and systems costs, the Company concluded it controls the services provided by its employees and the resources used to develop applicable systems before they are transferred to the customer and therefore is a principal. Accordingly, the reimbursement for these costs incurred by the Company to manage the fund limited partnerships are presented on a gross basis in interest and other income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2280"/>
        <w:spacing w:after="0" w:line="203" w:lineRule="auto"/>
        <w:rPr>
          <w:sz w:val="20"/>
          <w:szCs w:val="20"/>
          <w:color w:val="auto"/>
        </w:rPr>
      </w:pPr>
      <w:r>
        <w:rPr>
          <w:rFonts w:ascii="Times New Roman" w:cs="Times New Roman" w:eastAsia="Times New Roman" w:hAnsi="Times New Roman"/>
          <w:sz w:val="16"/>
          <w:szCs w:val="16"/>
          <w:color w:val="auto"/>
        </w:rPr>
        <w:t>consolidated statements of operations and the expense in general, administrative and other expenses or cash-based compensation and benefits expenses in the consolidated statements of operations.</w:t>
      </w:r>
    </w:p>
    <w:p>
      <w:pPr>
        <w:spacing w:after="0" w:line="204" w:lineRule="auto"/>
        <w:rPr>
          <w:sz w:val="20"/>
          <w:szCs w:val="20"/>
          <w:color w:val="auto"/>
        </w:rPr>
      </w:pPr>
      <w:r>
        <w:rPr>
          <w:rFonts w:ascii="Times New Roman" w:cs="Times New Roman" w:eastAsia="Times New Roman" w:hAnsi="Times New Roman"/>
          <w:sz w:val="16"/>
          <w:szCs w:val="16"/>
          <w:b w:val="1"/>
          <w:bCs w:val="1"/>
          <w:i w:val="1"/>
          <w:iCs w:val="1"/>
          <w:color w:val="auto"/>
        </w:rPr>
        <w:t>Incentive Fees</w:t>
      </w:r>
    </w:p>
    <w:p>
      <w:pPr>
        <w:spacing w:after="0" w:line="1"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The Company is also entitled to receive performance-based incentive fees when the return on assets under management exceeds certain benchmark returns or other performance targets. In such arrangements, incentive fees are recognized when the performance benchmark has been achieved. Incentive fees are variable consideration because they are contingent upon the investment vehicle achieving stipulated investment return hurdles. Investment returns are highly susceptible to market factors outside of the Company’s influence. Accordingly, incentive fees are constrained until all uncertainty is resolved. Estimates of future period incentive fees are generally not included in the transaction price because these estimates are constrained. The transaction price for incentive fees is generally the amount determined at the end of each accounting period to which they relate because that is when the uncertainty for that period is resolved, as these fees are not subject to clawback.</w:t>
      </w:r>
    </w:p>
    <w:p>
      <w:pPr>
        <w:spacing w:after="0" w:line="208" w:lineRule="auto"/>
        <w:rPr>
          <w:sz w:val="20"/>
          <w:szCs w:val="20"/>
          <w:color w:val="auto"/>
        </w:rPr>
      </w:pPr>
      <w:r>
        <w:rPr>
          <w:rFonts w:ascii="Times New Roman" w:cs="Times New Roman" w:eastAsia="Times New Roman" w:hAnsi="Times New Roman"/>
          <w:sz w:val="16"/>
          <w:szCs w:val="16"/>
          <w:b w:val="1"/>
          <w:bCs w:val="1"/>
          <w:i w:val="1"/>
          <w:iCs w:val="1"/>
          <w:color w:val="auto"/>
        </w:rPr>
        <w:t>Investment Income (Loss), including Performance Allocations</w:t>
      </w:r>
    </w:p>
    <w:p>
      <w:pPr>
        <w:ind w:right="1940"/>
        <w:spacing w:after="0" w:line="203" w:lineRule="auto"/>
        <w:rPr>
          <w:sz w:val="20"/>
          <w:szCs w:val="20"/>
          <w:color w:val="auto"/>
        </w:rPr>
      </w:pPr>
      <w:r>
        <w:rPr>
          <w:rFonts w:ascii="Times New Roman" w:cs="Times New Roman" w:eastAsia="Times New Roman" w:hAnsi="Times New Roman"/>
          <w:sz w:val="16"/>
          <w:szCs w:val="16"/>
          <w:color w:val="auto"/>
        </w:rPr>
        <w:t>Investment income (loss) represents the unrealized and realized gains and losses resulting from the Company’s equity method investments, including any associated general partner performance allocations, and other principal investments, including CLOs.</w:t>
      </w:r>
    </w:p>
    <w:p>
      <w:pPr>
        <w:spacing w:after="0" w:line="205" w:lineRule="auto"/>
        <w:rPr>
          <w:sz w:val="20"/>
          <w:szCs w:val="20"/>
          <w:color w:val="auto"/>
        </w:rPr>
      </w:pPr>
      <w:r>
        <w:rPr>
          <w:rFonts w:ascii="Times New Roman" w:cs="Times New Roman" w:eastAsia="Times New Roman" w:hAnsi="Times New Roman"/>
          <w:sz w:val="16"/>
          <w:szCs w:val="16"/>
          <w:color w:val="auto"/>
        </w:rPr>
        <w:t>General partner performance allocations consist of the allocation of profits from certain of the funds to which the</w:t>
      </w:r>
    </w:p>
    <w:p>
      <w:pPr>
        <w:ind w:right="1420"/>
        <w:spacing w:after="0" w:line="238" w:lineRule="auto"/>
        <w:rPr>
          <w:sz w:val="20"/>
          <w:szCs w:val="20"/>
          <w:color w:val="auto"/>
        </w:rPr>
      </w:pPr>
      <w:r>
        <w:rPr>
          <w:rFonts w:ascii="Times New Roman" w:cs="Times New Roman" w:eastAsia="Times New Roman" w:hAnsi="Times New Roman"/>
          <w:sz w:val="14"/>
          <w:szCs w:val="14"/>
          <w:color w:val="auto"/>
        </w:rPr>
        <w:t>Company is entitled (commonly known as carried interest). For closed- end carry funds in the Global Private Equity and Global Credit segments, the Company is generally entitled to a 20% allocation (or approximately 2% to 12.5% for most of the Global Investment Solutions segment carry fund vehicles) of the net realized income or gain as a carried interest after returning the invested capital, the allocation of preferred returns of generally 7% to 9% and return of certain fund costs (generally subject to catch- up provisions as set forth in the fund limited partnership agreement). These terms may vary on longer-dated funds, certain credit funds, and external co-investment vehicles. 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w:t>
      </w:r>
    </w:p>
    <w:p>
      <w:pPr>
        <w:sectPr>
          <w:pgSz w:w="11900" w:h="16840" w:orient="portrait"/>
          <w:cols w:equalWidth="0" w:num="1">
            <w:col w:w="9400"/>
          </w:cols>
          <w:pgMar w:left="1060" w:top="547" w:right="1440" w:bottom="79" w:gutter="0" w:footer="0" w:header="0"/>
        </w:sectPr>
      </w:pPr>
    </w:p>
    <w:bookmarkStart w:id="138" w:name="page139"/>
    <w:bookmarkEnd w:id="138"/>
    <w:p>
      <w:pPr>
        <w:ind w:right="1580"/>
        <w:spacing w:after="0" w:line="208" w:lineRule="auto"/>
        <w:rPr>
          <w:sz w:val="20"/>
          <w:szCs w:val="20"/>
          <w:color w:val="auto"/>
        </w:rPr>
      </w:pPr>
      <w:r>
        <w:rPr>
          <w:rFonts w:ascii="Times New Roman" w:cs="Times New Roman" w:eastAsia="Times New Roman" w:hAnsi="Times New Roman"/>
          <w:sz w:val="16"/>
          <w:szCs w:val="16"/>
          <w:color w:val="auto"/>
        </w:rPr>
        <w:t>each period end as if the funds were terminated at that date. Accordingly, the amount recognized as investment income for performance allocations reflects the Company’s share of the gains and losses of the associated funds’ underlying investments measured at their then-current fair values relative to the fair values as of the end of the prior period. Because of the inherent uncertainty, these estimated values may differ significantly from the values that would have been used had a ready market for the investments existed, and it is reasonably possible that the difference could be material.</w:t>
      </w:r>
    </w:p>
    <w:p>
      <w:pPr>
        <w:spacing w:after="0" w:line="204" w:lineRule="auto"/>
        <w:rPr>
          <w:sz w:val="20"/>
          <w:szCs w:val="20"/>
          <w:color w:val="auto"/>
        </w:rPr>
      </w:pPr>
      <w:r>
        <w:rPr>
          <w:rFonts w:ascii="Times New Roman" w:cs="Times New Roman" w:eastAsia="Times New Roman" w:hAnsi="Times New Roman"/>
          <w:sz w:val="16"/>
          <w:szCs w:val="16"/>
          <w:color w:val="auto"/>
        </w:rPr>
        <w:t>Carried interest is ultimately realized when: (i) an underlying investment is profitably disposed of, (ii) certain costs</w:t>
      </w:r>
    </w:p>
    <w:p>
      <w:pPr>
        <w:spacing w:after="0" w:line="1"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borne by the limited partner investors have been reimbursed, (iii) the fund’s cumulative returns are in excess of the preferred return, and (iv) the Company has decided to collect carry rather than return additional capital to limited partner investors. Realized carried interest may be required to be returned by the Company in future periods if the fund’s investment values decline below certain levels. When the fair value of a fund’s investments remains constant or falls below certain return hurdles, previously recognized performance allocations are reversed. In all cases, each fund is considered separately in this regard, and for a given fund, performance allocations can never be negative over the life of a fund. If upon a hypothetical liquidation of a fund’s investments at their then-current fair values, previously recognized and distributed carried interest would be required to be returned, a liability is established for the potential giveback obligation. As of both December 31, 2024 and 2023, the Company accrued $44.0 million for giveback obligations.</w:t>
      </w:r>
    </w:p>
    <w:p>
      <w:pPr>
        <w:ind w:left="20"/>
        <w:spacing w:after="0" w:line="208" w:lineRule="auto"/>
        <w:rPr>
          <w:sz w:val="20"/>
          <w:szCs w:val="20"/>
          <w:color w:val="auto"/>
        </w:rPr>
      </w:pPr>
      <w:r>
        <w:rPr>
          <w:rFonts w:ascii="Times New Roman" w:cs="Times New Roman" w:eastAsia="Times New Roman" w:hAnsi="Times New Roman"/>
          <w:sz w:val="16"/>
          <w:szCs w:val="16"/>
          <w:color w:val="auto"/>
        </w:rPr>
        <w:t>Principal investment income (loss) is realized when the Company redeems all or a portion of its investment or when</w:t>
      </w:r>
    </w:p>
    <w:p>
      <w:pPr>
        <w:ind w:right="1480"/>
        <w:spacing w:after="0" w:line="232" w:lineRule="auto"/>
        <w:rPr>
          <w:sz w:val="20"/>
          <w:szCs w:val="20"/>
          <w:color w:val="auto"/>
        </w:rPr>
      </w:pPr>
      <w:r>
        <w:rPr>
          <w:rFonts w:ascii="Times New Roman" w:cs="Times New Roman" w:eastAsia="Times New Roman" w:hAnsi="Times New Roman"/>
          <w:sz w:val="14"/>
          <w:szCs w:val="14"/>
          <w:color w:val="auto"/>
        </w:rPr>
        <w:t>the Company receives or is due cash income, such as dividends or distributions. Unrealized principal investment income (loss) results from the Company’s proportionate share of the investee’s unrealized earnings, including changes in the fair value of the underlying investment, as well as the reversal of unrealized gain (loss) at the time an investment is realized. As it relates to the Company’s investments in NGP (see Note 4, Investments), principal investment income includes the compensation expense associated with compensatory arrangements provided by the Company to employees of its equity method investee.</w:t>
      </w:r>
    </w:p>
    <w:p>
      <w:pPr>
        <w:spacing w:after="0" w:line="206" w:lineRule="auto"/>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203" w:lineRule="auto"/>
        <w:rPr>
          <w:sz w:val="20"/>
          <w:szCs w:val="20"/>
          <w:color w:val="auto"/>
        </w:rPr>
      </w:pPr>
      <w:r>
        <w:rPr>
          <w:rFonts w:ascii="Times New Roman" w:cs="Times New Roman" w:eastAsia="Times New Roman" w:hAnsi="Times New Roman"/>
          <w:sz w:val="16"/>
          <w:szCs w:val="16"/>
          <w:color w:val="auto"/>
        </w:rPr>
        <w:t>Interest income is recognized when earned. For debt securities representing non-investment grade beneficial interests</w:t>
      </w:r>
    </w:p>
    <w:p>
      <w:pPr>
        <w:spacing w:after="0" w:line="1" w:lineRule="exact"/>
        <w:rPr>
          <w:sz w:val="20"/>
          <w:szCs w:val="20"/>
          <w:color w:val="auto"/>
        </w:rPr>
      </w:pPr>
    </w:p>
    <w:p>
      <w:pPr>
        <w:ind w:right="1500"/>
        <w:spacing w:after="0" w:line="268" w:lineRule="auto"/>
        <w:rPr>
          <w:sz w:val="20"/>
          <w:szCs w:val="20"/>
          <w:color w:val="auto"/>
        </w:rPr>
      </w:pPr>
      <w:r>
        <w:rPr>
          <w:rFonts w:ascii="Times New Roman" w:cs="Times New Roman" w:eastAsia="Times New Roman" w:hAnsi="Times New Roman"/>
          <w:sz w:val="14"/>
          <w:szCs w:val="14"/>
          <w:color w:val="auto"/>
        </w:rPr>
        <w:t>in securitizations, the effective yield is determined based on the estimated cash flows of the security. Changes in the effective yield of these securities due to changes in estimated cash flows are recognized on a prospective basis as adjustments to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80"/>
        <w:spacing w:after="0" w:line="203" w:lineRule="auto"/>
        <w:rPr>
          <w:sz w:val="20"/>
          <w:szCs w:val="20"/>
          <w:color w:val="auto"/>
        </w:rPr>
      </w:pPr>
      <w:r>
        <w:rPr>
          <w:rFonts w:ascii="Times New Roman" w:cs="Times New Roman" w:eastAsia="Times New Roman" w:hAnsi="Times New Roman"/>
          <w:sz w:val="16"/>
          <w:szCs w:val="16"/>
          <w:color w:val="auto"/>
        </w:rPr>
        <w:t>income in future periods. Interest income earned by the Company is included in interest and other income in the accompanying consolidated statements of operations. Interest income of the Consolidated Funds was $577.6 million, $ 512.4 million and $282.3 million for the years ended December 31, 2024, 2023 and 2022, respectively, and is included in interest and other income of Consolidated Funds in the accompanying consolidated statements of operations.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Credit Losses</w:t>
      </w:r>
    </w:p>
    <w:p>
      <w:pPr>
        <w:spacing w:after="0" w:line="204" w:lineRule="auto"/>
        <w:rPr>
          <w:sz w:val="20"/>
          <w:szCs w:val="20"/>
          <w:color w:val="auto"/>
        </w:rPr>
      </w:pPr>
      <w:r>
        <w:rPr>
          <w:rFonts w:ascii="Times New Roman" w:cs="Times New Roman" w:eastAsia="Times New Roman" w:hAnsi="Times New Roman"/>
          <w:sz w:val="16"/>
          <w:szCs w:val="16"/>
          <w:color w:val="auto"/>
        </w:rPr>
        <w:t>The Company measures all expected credit losses for financial assets held at the reporting date in accordance with</w:t>
      </w:r>
    </w:p>
    <w:p>
      <w:pPr>
        <w:spacing w:after="0" w:line="203" w:lineRule="auto"/>
        <w:rPr>
          <w:sz w:val="20"/>
          <w:szCs w:val="20"/>
          <w:color w:val="auto"/>
        </w:rPr>
      </w:pPr>
      <w:r>
        <w:rPr>
          <w:rFonts w:ascii="Times New Roman" w:cs="Times New Roman" w:eastAsia="Times New Roman" w:hAnsi="Times New Roman"/>
          <w:sz w:val="16"/>
          <w:szCs w:val="16"/>
          <w:color w:val="auto"/>
        </w:rPr>
        <w:t xml:space="preserve">ASC 326, </w:t>
      </w:r>
      <w:r>
        <w:rPr>
          <w:rFonts w:ascii="Times New Roman" w:cs="Times New Roman" w:eastAsia="Times New Roman" w:hAnsi="Times New Roman"/>
          <w:sz w:val="16"/>
          <w:szCs w:val="16"/>
          <w:i w:val="1"/>
          <w:iCs w:val="1"/>
          <w:color w:val="auto"/>
        </w:rPr>
        <w:t>Financial Instruments—Credit Losses</w:t>
      </w:r>
      <w:r>
        <w:rPr>
          <w:rFonts w:ascii="Times New Roman" w:cs="Times New Roman" w:eastAsia="Times New Roman" w:hAnsi="Times New Roman"/>
          <w:sz w:val="16"/>
          <w:szCs w:val="16"/>
          <w:color w:val="auto"/>
        </w:rPr>
        <w:t>, based on historical experience, current conditions, and reasonable and</w:t>
      </w:r>
    </w:p>
    <w:p>
      <w:pPr>
        <w:spacing w:after="0" w:line="204" w:lineRule="auto"/>
        <w:rPr>
          <w:sz w:val="20"/>
          <w:szCs w:val="20"/>
          <w:color w:val="auto"/>
        </w:rPr>
      </w:pPr>
      <w:r>
        <w:rPr>
          <w:rFonts w:ascii="Times New Roman" w:cs="Times New Roman" w:eastAsia="Times New Roman" w:hAnsi="Times New Roman"/>
          <w:sz w:val="16"/>
          <w:szCs w:val="16"/>
          <w:color w:val="auto"/>
        </w:rPr>
        <w:t>supportable forecasts. The Company assesses the collection risk characteristics of the outstanding amounts in its due from</w:t>
      </w:r>
    </w:p>
    <w:p>
      <w:pPr>
        <w:spacing w:after="0" w:line="203" w:lineRule="auto"/>
        <w:rPr>
          <w:sz w:val="20"/>
          <w:szCs w:val="20"/>
          <w:color w:val="auto"/>
        </w:rPr>
      </w:pPr>
      <w:r>
        <w:rPr>
          <w:rFonts w:ascii="Times New Roman" w:cs="Times New Roman" w:eastAsia="Times New Roman" w:hAnsi="Times New Roman"/>
          <w:sz w:val="16"/>
          <w:szCs w:val="16"/>
          <w:color w:val="auto"/>
        </w:rPr>
        <w:t>affiliates balance into the following pools of receivables:</w:t>
      </w:r>
    </w:p>
    <w:p>
      <w:pPr>
        <w:spacing w:after="0" w:line="204" w:lineRule="auto"/>
        <w:rPr>
          <w:sz w:val="20"/>
          <w:szCs w:val="20"/>
          <w:color w:val="auto"/>
        </w:rPr>
      </w:pPr>
      <w:r>
        <w:rPr>
          <w:rFonts w:ascii="Times New Roman" w:cs="Times New Roman" w:eastAsia="Times New Roman" w:hAnsi="Times New Roman"/>
          <w:sz w:val="16"/>
          <w:szCs w:val="16"/>
          <w:color w:val="auto"/>
        </w:rPr>
        <w:t>•Reimbursable fund expenses receivables,</w:t>
      </w:r>
    </w:p>
    <w:p>
      <w:pPr>
        <w:spacing w:after="0" w:line="204" w:lineRule="auto"/>
        <w:rPr>
          <w:sz w:val="20"/>
          <w:szCs w:val="20"/>
          <w:color w:val="auto"/>
        </w:rPr>
      </w:pPr>
      <w:r>
        <w:rPr>
          <w:rFonts w:ascii="Times New Roman" w:cs="Times New Roman" w:eastAsia="Times New Roman" w:hAnsi="Times New Roman"/>
          <w:sz w:val="16"/>
          <w:szCs w:val="16"/>
          <w:color w:val="auto"/>
        </w:rPr>
        <w:t>•Management fee receivables,</w:t>
      </w:r>
    </w:p>
    <w:p>
      <w:pPr>
        <w:spacing w:after="0" w:line="203" w:lineRule="auto"/>
        <w:rPr>
          <w:sz w:val="20"/>
          <w:szCs w:val="20"/>
          <w:color w:val="auto"/>
        </w:rPr>
      </w:pPr>
      <w:r>
        <w:rPr>
          <w:rFonts w:ascii="Times New Roman" w:cs="Times New Roman" w:eastAsia="Times New Roman" w:hAnsi="Times New Roman"/>
          <w:sz w:val="16"/>
          <w:szCs w:val="16"/>
          <w:color w:val="auto"/>
        </w:rPr>
        <w:t>•Incentive fee receivables,</w:t>
      </w:r>
    </w:p>
    <w:p>
      <w:pPr>
        <w:spacing w:after="0" w:line="204" w:lineRule="auto"/>
        <w:rPr>
          <w:sz w:val="20"/>
          <w:szCs w:val="20"/>
          <w:color w:val="auto"/>
        </w:rPr>
      </w:pPr>
      <w:r>
        <w:rPr>
          <w:rFonts w:ascii="Times New Roman" w:cs="Times New Roman" w:eastAsia="Times New Roman" w:hAnsi="Times New Roman"/>
          <w:sz w:val="16"/>
          <w:szCs w:val="16"/>
          <w:color w:val="auto"/>
        </w:rPr>
        <w:t>•Transaction fee receivables,</w:t>
      </w:r>
    </w:p>
    <w:p>
      <w:pPr>
        <w:spacing w:after="0" w:line="203" w:lineRule="auto"/>
        <w:rPr>
          <w:sz w:val="20"/>
          <w:szCs w:val="20"/>
          <w:color w:val="auto"/>
        </w:rPr>
      </w:pPr>
      <w:r>
        <w:rPr>
          <w:rFonts w:ascii="Times New Roman" w:cs="Times New Roman" w:eastAsia="Times New Roman" w:hAnsi="Times New Roman"/>
          <w:sz w:val="16"/>
          <w:szCs w:val="16"/>
          <w:color w:val="auto"/>
        </w:rPr>
        <w:t>•Portfolio fee receivables, and</w:t>
      </w:r>
    </w:p>
    <w:p>
      <w:pPr>
        <w:spacing w:after="0" w:line="204" w:lineRule="auto"/>
        <w:rPr>
          <w:sz w:val="20"/>
          <w:szCs w:val="20"/>
          <w:color w:val="auto"/>
        </w:rPr>
      </w:pPr>
      <w:r>
        <w:rPr>
          <w:rFonts w:ascii="Times New Roman" w:cs="Times New Roman" w:eastAsia="Times New Roman" w:hAnsi="Times New Roman"/>
          <w:sz w:val="16"/>
          <w:szCs w:val="16"/>
          <w:color w:val="auto"/>
        </w:rPr>
        <w:t>•Notes receivable.</w:t>
      </w:r>
    </w:p>
    <w:p>
      <w:pPr>
        <w:ind w:right="1420"/>
        <w:spacing w:after="0" w:line="203" w:lineRule="auto"/>
        <w:rPr>
          <w:sz w:val="20"/>
          <w:szCs w:val="20"/>
          <w:color w:val="auto"/>
        </w:rPr>
      </w:pPr>
      <w:r>
        <w:rPr>
          <w:rFonts w:ascii="Times New Roman" w:cs="Times New Roman" w:eastAsia="Times New Roman" w:hAnsi="Times New Roman"/>
          <w:sz w:val="16"/>
          <w:szCs w:val="16"/>
          <w:color w:val="auto"/>
        </w:rPr>
        <w:t>The Company generally utilizes either historical credit loss information or discounted cash flows to calculate expected credit losses for each pool. The Company’s receivables are predominantly with its investment funds, which have low risk of credit loss based on the Company’s historical experience. Historical credit loss data may be adjusted for current conditions and reasonable and supportable forecasts, including the Company’s expectation of near- term realization based on the liquidity of the affiliated investment funds.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Cash-Based Compensation and Benefits </w:t>
      </w:r>
      <w:r>
        <w:rPr>
          <w:rFonts w:ascii="Times New Roman" w:cs="Times New Roman" w:eastAsia="Times New Roman" w:hAnsi="Times New Roman"/>
          <w:sz w:val="16"/>
          <w:szCs w:val="16"/>
          <w:color w:val="auto"/>
        </w:rPr>
        <w:t>– Cash-based compensation and benefits includes salaries, bonuses</w:t>
      </w:r>
    </w:p>
    <w:p>
      <w:pPr>
        <w:spacing w:after="0" w:line="1" w:lineRule="exact"/>
        <w:rPr>
          <w:sz w:val="20"/>
          <w:szCs w:val="20"/>
          <w:color w:val="auto"/>
        </w:rPr>
      </w:pPr>
    </w:p>
    <w:p>
      <w:pPr>
        <w:ind w:right="1580"/>
        <w:spacing w:after="0" w:line="203" w:lineRule="auto"/>
        <w:rPr>
          <w:sz w:val="20"/>
          <w:szCs w:val="20"/>
          <w:color w:val="auto"/>
        </w:rPr>
      </w:pPr>
      <w:r>
        <w:rPr>
          <w:rFonts w:ascii="Times New Roman" w:cs="Times New Roman" w:eastAsia="Times New Roman" w:hAnsi="Times New Roman"/>
          <w:sz w:val="16"/>
          <w:szCs w:val="16"/>
          <w:color w:val="auto"/>
        </w:rPr>
        <w:t xml:space="preserve">(discretionary awards and guaranteed amounts), performance payment arrangements and benefits paid and payable to Carlyle employees. Bonuses are accrued over the service period to which they relate. </w:t>
      </w: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 Compensation expense relating to the issuance of equity-based awards is measured at</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fair value on the grant date. The compensation expense for awards that vest over a future service period is recognized over the relevant service period on a straight-line basis. The compensation expense for awards that do not require future service is recognized immediately. Cash settled equity-based awards are classified as liabilities and are re-measured at the end of each reporting period. The compensation expense for awards that contain performance conditions is recognized when it is probable that the performance conditions will be achieved. The compensation expense for awards that contain market conditions is based on a grant-date fair value that factors in the probability that the market conditions will be achieved and is recognized over the requisite service period on a straight- line basis.</w:t>
      </w:r>
    </w:p>
    <w:p>
      <w:pPr>
        <w:spacing w:after="0" w:line="207" w:lineRule="auto"/>
        <w:rPr>
          <w:sz w:val="20"/>
          <w:szCs w:val="20"/>
          <w:color w:val="auto"/>
        </w:rPr>
      </w:pPr>
      <w:r>
        <w:rPr>
          <w:rFonts w:ascii="Times New Roman" w:cs="Times New Roman" w:eastAsia="Times New Roman" w:hAnsi="Times New Roman"/>
          <w:sz w:val="16"/>
          <w:szCs w:val="16"/>
          <w:color w:val="auto"/>
        </w:rPr>
        <w:t>Certain equity-based awards contain dividend-equivalent rights, which are subject to the same terms and conditions,</w:t>
      </w:r>
    </w:p>
    <w:p>
      <w:pPr>
        <w:spacing w:after="0" w:line="203" w:lineRule="auto"/>
        <w:rPr>
          <w:sz w:val="20"/>
          <w:szCs w:val="20"/>
          <w:color w:val="auto"/>
        </w:rPr>
      </w:pPr>
      <w:r>
        <w:rPr>
          <w:rFonts w:ascii="Times New Roman" w:cs="Times New Roman" w:eastAsia="Times New Roman" w:hAnsi="Times New Roman"/>
          <w:sz w:val="16"/>
          <w:szCs w:val="16"/>
          <w:color w:val="auto"/>
        </w:rPr>
        <w:t>including with respect to vesting and settlement, that apply to the related award. Dividend-equivalents are accounted for as a</w:t>
      </w:r>
    </w:p>
    <w:p>
      <w:pPr>
        <w:spacing w:after="0" w:line="204" w:lineRule="auto"/>
        <w:rPr>
          <w:sz w:val="20"/>
          <w:szCs w:val="20"/>
          <w:color w:val="auto"/>
        </w:rPr>
      </w:pPr>
      <w:r>
        <w:rPr>
          <w:rFonts w:ascii="Times New Roman" w:cs="Times New Roman" w:eastAsia="Times New Roman" w:hAnsi="Times New Roman"/>
          <w:sz w:val="16"/>
          <w:szCs w:val="16"/>
          <w:color w:val="auto"/>
        </w:rPr>
        <w:t>reclassification from retained earnings to additional paid-in capital at the time dividends are declared and do not result in</w:t>
      </w:r>
    </w:p>
    <w:p>
      <w:pPr>
        <w:spacing w:after="0" w:line="204" w:lineRule="auto"/>
        <w:rPr>
          <w:sz w:val="20"/>
          <w:szCs w:val="20"/>
          <w:color w:val="auto"/>
        </w:rPr>
      </w:pPr>
      <w:r>
        <w:rPr>
          <w:rFonts w:ascii="Times New Roman" w:cs="Times New Roman" w:eastAsia="Times New Roman" w:hAnsi="Times New Roman"/>
          <w:sz w:val="16"/>
          <w:szCs w:val="16"/>
          <w:color w:val="auto"/>
        </w:rPr>
        <w:t>incremental compensation expense.</w:t>
      </w:r>
    </w:p>
    <w:p>
      <w:pPr>
        <w:spacing w:after="0" w:line="203" w:lineRule="auto"/>
        <w:rPr>
          <w:sz w:val="20"/>
          <w:szCs w:val="20"/>
          <w:color w:val="auto"/>
        </w:rPr>
      </w:pPr>
      <w:r>
        <w:rPr>
          <w:rFonts w:ascii="Times New Roman" w:cs="Times New Roman" w:eastAsia="Times New Roman" w:hAnsi="Times New Roman"/>
          <w:sz w:val="16"/>
          <w:szCs w:val="16"/>
          <w:color w:val="auto"/>
        </w:rPr>
        <w:t>Equity-based awards issued to non-employees are generally recognized as general, administrative and other expenses,</w:t>
      </w:r>
    </w:p>
    <w:p>
      <w:pPr>
        <w:ind w:right="1460"/>
        <w:spacing w:after="0" w:line="203" w:lineRule="auto"/>
        <w:rPr>
          <w:sz w:val="20"/>
          <w:szCs w:val="20"/>
          <w:color w:val="auto"/>
        </w:rPr>
      </w:pPr>
      <w:r>
        <w:rPr>
          <w:rFonts w:ascii="Times New Roman" w:cs="Times New Roman" w:eastAsia="Times New Roman" w:hAnsi="Times New Roman"/>
          <w:sz w:val="16"/>
          <w:szCs w:val="16"/>
          <w:color w:val="auto"/>
        </w:rPr>
        <w:t>except to the extent they are recognized as part of the Company’s equity method earnings because they are issued to employees of equity method investees.</w:t>
      </w:r>
    </w:p>
    <w:p>
      <w:pPr>
        <w:spacing w:after="0" w:line="204" w:lineRule="auto"/>
        <w:rPr>
          <w:sz w:val="20"/>
          <w:szCs w:val="20"/>
          <w:color w:val="auto"/>
        </w:rPr>
      </w:pPr>
      <w:r>
        <w:rPr>
          <w:rFonts w:ascii="Times New Roman" w:cs="Times New Roman" w:eastAsia="Times New Roman" w:hAnsi="Times New Roman"/>
          <w:sz w:val="16"/>
          <w:szCs w:val="16"/>
          <w:color w:val="auto"/>
        </w:rPr>
        <w:t>The Company recognizes equity-based award forfeitures in the period they occur as a reversal of previously</w:t>
      </w:r>
    </w:p>
    <w:p>
      <w:pPr>
        <w:spacing w:after="0" w:line="1" w:lineRule="exact"/>
        <w:rPr>
          <w:sz w:val="20"/>
          <w:szCs w:val="20"/>
          <w:color w:val="auto"/>
        </w:rPr>
      </w:pPr>
    </w:p>
    <w:p>
      <w:pPr>
        <w:ind w:right="1400"/>
        <w:spacing w:after="0" w:line="244" w:lineRule="auto"/>
        <w:rPr>
          <w:sz w:val="20"/>
          <w:szCs w:val="20"/>
          <w:color w:val="auto"/>
        </w:rPr>
      </w:pPr>
      <w:r>
        <w:rPr>
          <w:rFonts w:ascii="Times New Roman" w:cs="Times New Roman" w:eastAsia="Times New Roman" w:hAnsi="Times New Roman"/>
          <w:sz w:val="14"/>
          <w:szCs w:val="14"/>
          <w:color w:val="auto"/>
        </w:rPr>
        <w:t>recognized compensation expense for awards that vest based on service and/or performance conditions. The reduction in compensation expense is determined based on the specific awards forfeited during that period. Furthermore, the Company recognizes all excess tax benefits and deficiencies as income tax benefit or expense in the consolidated statements of operations. For awards with a market condition (e.g., achievement of certain stock price hurdles) that are forfeited due to the market</w:t>
      </w:r>
    </w:p>
    <w:p>
      <w:pPr>
        <w:sectPr>
          <w:pgSz w:w="11900" w:h="16840" w:orient="portrait"/>
          <w:cols w:equalWidth="0" w:num="1">
            <w:col w:w="9400"/>
          </w:cols>
          <w:pgMar w:left="1060" w:top="557" w:right="1440" w:bottom="18"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condition not being achieved, the related equity-based compensation expense is not reversed.</w:t>
      </w:r>
    </w:p>
    <w:p>
      <w:pPr>
        <w:ind w:right="1600"/>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Performance Allocations and Incentive Fee Related Compensation – </w:t>
      </w:r>
      <w:r>
        <w:rPr>
          <w:rFonts w:ascii="Times New Roman" w:cs="Times New Roman" w:eastAsia="Times New Roman" w:hAnsi="Times New Roman"/>
          <w:sz w:val="14"/>
          <w:szCs w:val="14"/>
          <w:color w:val="auto"/>
        </w:rPr>
        <w:t>A portion of the performance allocations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incentive fees and certain other interests earned is due to employees and advisors of the Company. These amounts are accounted for as profit sharing interests in compensation expense in a systematic and rational manner in conjunction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recognition of the related performance allocations and incentive fee revenue and, until paid, are recognized as a component of the accrued compensation and benefits liability. The liability is measured assuming the hypothetical liquidation of the associated funds’ underlying investments as of the measurement date. Accordingly, upon a reversal of performance allocations or incentive fee revenue, the related compensation expense, if any, is also reversed. As any vesting requirement is accelerated upon realization, the service period is not considered substantive when recording the liability based on the hypothetical liquidation value. Effective December 31, 2023, the Company updated its compensation and incentives program, resulting in a higher proportion of its performance allocations revenue being used to compensate its personnel; accordingly, Performance allocations and incentive fee related compensation during the year ended December 31, 2024 will not meaningfully compare to the year ended December 31, 2023. As of December 31, 2024 and 2023, the Company had recorded a liability of $4.8 billion and $4.3 billion, respectively, related to the portion of accrued performance allocations and incentive fees due to employees and advisors, respectively, which was included in accrued compensation and benefits in the accompanying consolidated balance sheets.</w:t>
      </w:r>
    </w:p>
    <w:p>
      <w:pPr>
        <w:spacing w:after="0" w:line="210" w:lineRule="auto"/>
        <w:rPr>
          <w:sz w:val="20"/>
          <w:szCs w:val="20"/>
          <w:color w:val="auto"/>
        </w:rPr>
      </w:pPr>
      <w:r>
        <w:rPr>
          <w:rFonts w:ascii="Times New Roman" w:cs="Times New Roman" w:eastAsia="Times New Roman" w:hAnsi="Times New Roman"/>
          <w:sz w:val="16"/>
          <w:szCs w:val="16"/>
          <w:b w:val="1"/>
          <w:bCs w:val="1"/>
          <w:color w:val="auto"/>
        </w:rPr>
        <w:t>Income Taxes</w:t>
      </w:r>
    </w:p>
    <w:p>
      <w:pPr>
        <w:spacing w:after="0" w:line="203" w:lineRule="auto"/>
        <w:rPr>
          <w:sz w:val="20"/>
          <w:szCs w:val="20"/>
          <w:color w:val="auto"/>
        </w:rPr>
      </w:pPr>
      <w:r>
        <w:rPr>
          <w:rFonts w:ascii="Times New Roman" w:cs="Times New Roman" w:eastAsia="Times New Roman" w:hAnsi="Times New Roman"/>
          <w:sz w:val="16"/>
          <w:szCs w:val="16"/>
          <w:color w:val="auto"/>
        </w:rPr>
        <w:t>The Carlyle Group Inc. is a corporation for U.S. federal income tax purposes and thus is subject to U.S. federal, state,</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and local corporate income taxes. Tax positions taken by the Company are subject to periodic audit by U.S. federal, state, local, and foreign taxing authorities.</w:t>
      </w:r>
    </w:p>
    <w:p>
      <w:pPr>
        <w:spacing w:after="0" w:line="1" w:lineRule="exact"/>
        <w:rPr>
          <w:sz w:val="20"/>
          <w:szCs w:val="20"/>
          <w:color w:val="auto"/>
        </w:rPr>
      </w:pPr>
    </w:p>
    <w:p>
      <w:pPr>
        <w:ind w:right="1420"/>
        <w:spacing w:after="0" w:line="205" w:lineRule="auto"/>
        <w:rPr>
          <w:sz w:val="20"/>
          <w:szCs w:val="20"/>
          <w:color w:val="auto"/>
        </w:rPr>
      </w:pPr>
      <w:r>
        <w:rPr>
          <w:rFonts w:ascii="Times New Roman" w:cs="Times New Roman" w:eastAsia="Times New Roman" w:hAnsi="Times New Roman"/>
          <w:sz w:val="16"/>
          <w:szCs w:val="16"/>
          <w:color w:val="auto"/>
        </w:rPr>
        <w:t>The Company accounts for income taxes using the asset and liability method, which requires the recognition of deferred tax assets and liabilities for the expected future consequences of events that have been included in the financial statements or tax returns. Under this method, deferred tax assets and liabilities are determined based on the difference between the financial statement reporting and the tax basis of assets and liabilities using enacted tax rates in effect for the period in which the difference is expected to reverse. The effect of a change in tax rates on deferred tax assets and liabilities is recognized in the period of the change in the provision for income taxes. Further, deferred tax assets are recognized for the expected realization of available net operating loss and tax credit carry forwards. A valuation allowance is recorded on the Company’s gross deferred tax assets when it is “more likely than not” that such asset will not be realized. When evaluating the realizability of the Company’s deferred tax assets, all evidence, both positive and negative, is evaluated. Items considered in this analysis include the ability to carry back losses, the reversal of temporary differences, tax planning strategies, and expectations of future earnings. The Company accounts for the valuation allowance assessment on its deferred tax assets and without regard to the Company’s potential future corporate alternative minimum tax (“CAMT”) status or global minimum tax status under the Pillar Two Global Anti-Base Erosion (“GloBE”) model rules of the Organization for Economic Co -operation and Development (“OECD”). Therefore, the Company accounts for CAMT and the global minimum tax in the period as incurred. Lastly, the Company accounts for the tax on global intangible low-taxed income (“GILTI”) as incurred and therefore has not recorded deferred taxes related to GILTI on its foreign subsidiaries.</w:t>
      </w:r>
    </w:p>
    <w:p>
      <w:pPr>
        <w:spacing w:after="0" w:line="84" w:lineRule="exact"/>
        <w:rPr>
          <w:sz w:val="20"/>
          <w:szCs w:val="20"/>
          <w:color w:val="auto"/>
        </w:rPr>
      </w:pPr>
    </w:p>
    <w:p>
      <w:pPr>
        <w:ind w:right="1440" w:firstLine="576"/>
        <w:spacing w:after="0" w:line="206" w:lineRule="auto"/>
        <w:rPr>
          <w:sz w:val="20"/>
          <w:szCs w:val="20"/>
          <w:color w:val="auto"/>
        </w:rPr>
      </w:pPr>
      <w:r>
        <w:rPr>
          <w:rFonts w:ascii="Times New Roman" w:cs="Times New Roman" w:eastAsia="Times New Roman" w:hAnsi="Times New Roman"/>
          <w:sz w:val="16"/>
          <w:szCs w:val="16"/>
          <w:color w:val="auto"/>
        </w:rPr>
        <w:t>Under U.S. GAAP for income taxes, the amount of tax benefit to be recognized is the amount of benefit that is “more 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consolidated financial statements. The Company recognizes accrued interest and penalties related to unrecognized tax positions in the provision for income taxes. If recognized, the entire amount of unrecognized tax positions would be recorded as a reduction in the provision for income taxes.</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Non-controlling Interests</w:t>
      </w:r>
    </w:p>
    <w:p>
      <w:pPr>
        <w:ind w:right="1460"/>
        <w:spacing w:after="0" w:line="203" w:lineRule="auto"/>
        <w:rPr>
          <w:sz w:val="20"/>
          <w:szCs w:val="20"/>
          <w:color w:val="auto"/>
        </w:rPr>
      </w:pPr>
      <w:r>
        <w:rPr>
          <w:rFonts w:ascii="Times New Roman" w:cs="Times New Roman" w:eastAsia="Times New Roman" w:hAnsi="Times New Roman"/>
          <w:sz w:val="16"/>
          <w:szCs w:val="16"/>
          <w:color w:val="auto"/>
        </w:rPr>
        <w:t>Non-controlling interests in consolidated entities represent the component of equity in consolidated entities held by third-party investors. These interests are adjusted for general partner allocations which occur during the reporting period. Any change in ownership of a subsidiary while the controlling financial interest is retained is accounted for as an equity transaction between the controlling and non -controlling interests. Transaction costs incurred in connection with such changes in ownership of a subsidiary are recorded as a direct charge to equity.</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Earnings Per Common Share</w:t>
      </w:r>
    </w:p>
    <w:p>
      <w:pPr>
        <w:jc w:val="both"/>
        <w:ind w:right="1920"/>
        <w:spacing w:after="0" w:line="244" w:lineRule="auto"/>
        <w:rPr>
          <w:sz w:val="20"/>
          <w:szCs w:val="20"/>
          <w:color w:val="auto"/>
        </w:rPr>
      </w:pPr>
      <w:r>
        <w:rPr>
          <w:rFonts w:ascii="Times New Roman" w:cs="Times New Roman" w:eastAsia="Times New Roman" w:hAnsi="Times New Roman"/>
          <w:sz w:val="14"/>
          <w:szCs w:val="14"/>
          <w:color w:val="auto"/>
        </w:rPr>
        <w:t xml:space="preserve">The Company computes earnings per common share in accordance with ASC 260,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Basic earnings per common share is calculated by dividing net income (loss) attributable to the common shares of the Company by the weighted -average number of common shares outstanding for the period. Diluted earnings per common share reflects the assumed conversion of all dilutive securities. The Company applies the treasury stock method to determine the dilutive</w:t>
      </w:r>
    </w:p>
    <w:p>
      <w:pPr>
        <w:sectPr>
          <w:pgSz w:w="11900" w:h="16840" w:orient="portrait"/>
          <w:cols w:equalWidth="0" w:num="1">
            <w:col w:w="9400"/>
          </w:cols>
          <w:pgMar w:left="1060" w:top="547" w:right="1440"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weighted-average common shares outstanding for certain equity-based compensation awards.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 w:lineRule="exact"/>
        <w:rPr>
          <w:sz w:val="20"/>
          <w:szCs w:val="20"/>
          <w:color w:val="auto"/>
        </w:rPr>
      </w:pPr>
    </w:p>
    <w:p>
      <w:pPr>
        <w:ind w:right="2280"/>
        <w:spacing w:after="0" w:line="203" w:lineRule="auto"/>
        <w:rPr>
          <w:sz w:val="20"/>
          <w:szCs w:val="20"/>
          <w:color w:val="auto"/>
        </w:rPr>
      </w:pPr>
      <w:r>
        <w:rPr>
          <w:rFonts w:ascii="Times New Roman" w:cs="Times New Roman" w:eastAsia="Times New Roman" w:hAnsi="Times New Roman"/>
          <w:sz w:val="16"/>
          <w:szCs w:val="16"/>
          <w:color w:val="auto"/>
        </w:rPr>
        <w:t>The underlying entities that the Company manages and invests in (and in certain cases, consolidates) are primarily investment companies which account for their investments at estimated fair value.</w:t>
      </w:r>
    </w:p>
    <w:p>
      <w:pPr>
        <w:spacing w:after="0" w:line="204" w:lineRule="auto"/>
        <w:rPr>
          <w:sz w:val="20"/>
          <w:szCs w:val="20"/>
          <w:color w:val="auto"/>
        </w:rPr>
      </w:pPr>
      <w:r>
        <w:rPr>
          <w:rFonts w:ascii="Times New Roman" w:cs="Times New Roman" w:eastAsia="Times New Roman" w:hAnsi="Times New Roman"/>
          <w:sz w:val="16"/>
          <w:szCs w:val="16"/>
          <w:color w:val="auto"/>
        </w:rPr>
        <w:t xml:space="preserve">The fair value measurement accounting guidance under ASC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establishes a hierarchical disclosure framework which ranks the observability of market price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3" w:lineRule="exact"/>
        <w:rPr>
          <w:sz w:val="20"/>
          <w:szCs w:val="20"/>
          <w:color w:val="auto"/>
        </w:rPr>
      </w:pPr>
    </w:p>
    <w:p>
      <w:pPr>
        <w:ind w:right="2240"/>
        <w:spacing w:after="0" w:line="203" w:lineRule="auto"/>
        <w:rPr>
          <w:sz w:val="20"/>
          <w:szCs w:val="20"/>
          <w:color w:val="auto"/>
        </w:rPr>
      </w:pPr>
      <w:r>
        <w:rPr>
          <w:rFonts w:ascii="Times New Roman" w:cs="Times New Roman" w:eastAsia="Times New Roman" w:hAnsi="Times New Roman"/>
          <w:sz w:val="16"/>
          <w:szCs w:val="16"/>
          <w:color w:val="auto"/>
        </w:rPr>
        <w:t>Financial instruments measured and reported at fair value are classified and disclosed based on the observability of inputs used in the determination of fair values, as follows:</w:t>
      </w:r>
    </w:p>
    <w:p>
      <w:pPr>
        <w:spacing w:after="0" w:line="1" w:lineRule="exact"/>
        <w:rPr>
          <w:sz w:val="20"/>
          <w:szCs w:val="20"/>
          <w:color w:val="auto"/>
        </w:rPr>
      </w:pPr>
    </w:p>
    <w:p>
      <w:pPr>
        <w:jc w:val="both"/>
        <w:ind w:right="2020"/>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Level I </w:t>
      </w:r>
      <w:r>
        <w:rPr>
          <w:rFonts w:ascii="Times New Roman" w:cs="Times New Roman" w:eastAsia="Times New Roman" w:hAnsi="Times New Roman"/>
          <w:sz w:val="14"/>
          <w:szCs w:val="14"/>
          <w:color w:val="auto"/>
        </w:rPr>
        <w:t>– inputs to the valuation methodology are quoted prices available in active markets for identical instruments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reporting date. The type of financial instruments in this category include unrestricted securities, such as equities and derivatives, listed in active markets. The Company does not adjust the quoted price for these instruments, even in situations where the Company holds a large position and a sale could reasonably impact the quoted price.</w:t>
      </w:r>
    </w:p>
    <w:p>
      <w:pPr>
        <w:spacing w:after="0" w:line="2" w:lineRule="exact"/>
        <w:rPr>
          <w:sz w:val="20"/>
          <w:szCs w:val="20"/>
          <w:color w:val="auto"/>
        </w:rPr>
      </w:pPr>
    </w:p>
    <w:p>
      <w:pPr>
        <w:jc w:val="both"/>
        <w:ind w:right="2020"/>
        <w:spacing w:after="0" w:line="232" w:lineRule="auto"/>
        <w:rPr>
          <w:sz w:val="20"/>
          <w:szCs w:val="20"/>
          <w:color w:val="auto"/>
        </w:rPr>
      </w:pPr>
      <w:r>
        <w:rPr>
          <w:rFonts w:ascii="Times New Roman" w:cs="Times New Roman" w:eastAsia="Times New Roman" w:hAnsi="Times New Roman"/>
          <w:sz w:val="14"/>
          <w:szCs w:val="14"/>
          <w:i w:val="1"/>
          <w:iCs w:val="1"/>
          <w:color w:val="auto"/>
        </w:rPr>
        <w:t xml:space="preserve">Level II </w:t>
      </w:r>
      <w:r>
        <w:rPr>
          <w:rFonts w:ascii="Times New Roman" w:cs="Times New Roman" w:eastAsia="Times New Roman" w:hAnsi="Times New Roman"/>
          <w:sz w:val="14"/>
          <w:szCs w:val="14"/>
          <w:color w:val="auto"/>
        </w:rPr>
        <w:t>– inputs to the valuation methodology are other than quoted prices in active markets, which are either directly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indirectly observable as of the reporting date. The types of financial instruments in this category include less liquid and restricted securities listed in active markets, securities traded in other than active markets, government and agency securities, and certain over-the-counter derivatives where the fair value is based on observable inputs.</w:t>
      </w:r>
    </w:p>
    <w:p>
      <w:pPr>
        <w:spacing w:after="0" w:line="2" w:lineRule="exact"/>
        <w:rPr>
          <w:sz w:val="20"/>
          <w:szCs w:val="20"/>
          <w:color w:val="auto"/>
        </w:rPr>
      </w:pPr>
    </w:p>
    <w:p>
      <w:pPr>
        <w:ind w:right="19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Level III </w:t>
      </w:r>
      <w:r>
        <w:rPr>
          <w:rFonts w:ascii="Times New Roman" w:cs="Times New Roman" w:eastAsia="Times New Roman" w:hAnsi="Times New Roman"/>
          <w:sz w:val="16"/>
          <w:szCs w:val="16"/>
          <w:color w:val="auto"/>
        </w:rPr>
        <w:t>– inputs to the valuation methodology are unobservable and significant to overall fair value measurement.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inputs into the determination of fair value require significant management judgment or estimation. The types of financial instruments in this category include investments in privately -held entities, non-investment grade residual interests in securitizations, collateralized loan obligations, and certain over-the-counter derivatives where the fair value is based on unobservable inputs.</w:t>
      </w:r>
    </w:p>
    <w:p>
      <w:pPr>
        <w:spacing w:after="0" w:line="206"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w:t>
      </w:r>
    </w:p>
    <w:p>
      <w:pPr>
        <w:ind w:right="1420"/>
        <w:spacing w:after="0" w:line="203" w:lineRule="auto"/>
        <w:rPr>
          <w:sz w:val="20"/>
          <w:szCs w:val="20"/>
          <w:color w:val="auto"/>
        </w:rPr>
      </w:pPr>
      <w:r>
        <w:rPr>
          <w:rFonts w:ascii="Times New Roman" w:cs="Times New Roman" w:eastAsia="Times New Roman" w:hAnsi="Times New Roman"/>
          <w:sz w:val="16"/>
          <w:szCs w:val="16"/>
          <w:color w:val="auto"/>
        </w:rPr>
        <w:t>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205" w:lineRule="auto"/>
        <w:rPr>
          <w:sz w:val="20"/>
          <w:szCs w:val="20"/>
          <w:color w:val="auto"/>
        </w:rPr>
      </w:pPr>
      <w:r>
        <w:rPr>
          <w:rFonts w:ascii="Times New Roman" w:cs="Times New Roman" w:eastAsia="Times New Roman" w:hAnsi="Times New Roman"/>
          <w:sz w:val="16"/>
          <w:szCs w:val="16"/>
          <w:color w:val="auto"/>
        </w:rPr>
        <w:t>In certain cases, debt and equity securities (including corporate treasury investments) are valued on the basis of prices</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from an orderly transaction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w:t>
      </w:r>
    </w:p>
    <w:p>
      <w:pPr>
        <w:spacing w:after="0" w:line="205" w:lineRule="auto"/>
        <w:rPr>
          <w:sz w:val="20"/>
          <w:szCs w:val="20"/>
          <w:color w:val="auto"/>
        </w:rPr>
      </w:pPr>
      <w:r>
        <w:rPr>
          <w:rFonts w:ascii="Times New Roman" w:cs="Times New Roman" w:eastAsia="Times New Roman" w:hAnsi="Times New Roman"/>
          <w:sz w:val="16"/>
          <w:szCs w:val="16"/>
          <w:color w:val="auto"/>
        </w:rPr>
        <w:t>In the absence of observable market prices, the Company values its investments and its funds’ investments using</w:t>
      </w:r>
    </w:p>
    <w:p>
      <w:pPr>
        <w:spacing w:after="0" w:line="1" w:lineRule="exact"/>
        <w:rPr>
          <w:sz w:val="20"/>
          <w:szCs w:val="20"/>
          <w:color w:val="auto"/>
        </w:rPr>
      </w:pPr>
    </w:p>
    <w:p>
      <w:pPr>
        <w:ind w:right="1400"/>
        <w:spacing w:after="0" w:line="208" w:lineRule="auto"/>
        <w:rPr>
          <w:sz w:val="20"/>
          <w:szCs w:val="20"/>
          <w:color w:val="auto"/>
        </w:rPr>
      </w:pPr>
      <w:r>
        <w:rPr>
          <w:rFonts w:ascii="Times New Roman" w:cs="Times New Roman" w:eastAsia="Times New Roman" w:hAnsi="Times New Roman"/>
          <w:sz w:val="16"/>
          <w:szCs w:val="16"/>
          <w:color w:val="auto"/>
        </w:rPr>
        <w:t>valuation methodologies applied on a consistent basis. For some investments little market activity may exist. Management’s determination of fair value is then based on the best information available in the circumstances and may incorporate management’s own assumptions and involve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and debt of operating companies and real assets, CLO investments and CLO loans payable and fund investments. The valuation technique for each of these investments is described below:</w:t>
      </w: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b w:val="1"/>
          <w:bCs w:val="1"/>
          <w:color w:val="auto"/>
        </w:rPr>
        <w:t>The Carlyle Group Inc.</w:t>
      </w:r>
    </w:p>
    <w:p>
      <w:pPr>
        <w:sectPr>
          <w:pgSz w:w="11900" w:h="16840" w:orient="portrait"/>
          <w:cols w:equalWidth="0" w:num="1">
            <w:col w:w="9400"/>
          </w:cols>
          <w:pgMar w:left="1060" w:top="1440" w:right="1440" w:bottom="79"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202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Investments in Operating Companies and Real Assets </w:t>
      </w:r>
      <w:r>
        <w:rPr>
          <w:rFonts w:ascii="Times New Roman" w:cs="Times New Roman" w:eastAsia="Times New Roman" w:hAnsi="Times New Roman"/>
          <w:sz w:val="16"/>
          <w:szCs w:val="16"/>
          <w:color w:val="auto"/>
        </w:rPr>
        <w:t>– The fair values of private investments in operating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real assets are generally determined by reference to the income approach (including the discounted cash flow method and the income capitalization method) and the market approach (including the comparable publicly traded company method and the comparable transaction method) . Valuations under these approaches are typically derived by reference to investment-specific inputs (such as projected cash flows, earnings before interest, taxes, depreciation and amortization (“EBITDA”), and net operating income) combined with market-based inputs (such as discount rates, EBITDA multiples and capitalization rates). In many cases, the investment -specific inputs are unaudited at the time received. Management may also adjust the market-based inputs to account for differences between the subject investment and the companies, assets or investments used to derive the market - based inputs. Adjustments to observable valuation measures are frequently made upon the initial investment to calibrate the initial investment valuation to industry observable inputs. Such adjustments are made to align the investment to observable industry inputs for differences in size, profitability, projected growth rates, geography, capital structure, and other factors as applicable. The adjustments are then reviewed with each subsequent valuation to assess how the investment has evolved relative to the observable inputs. Additionally, the investment may be subject to certain specific risks and/or development milestones which are also taken into account in the valuation assessment. Option pricing models and similar tools may also be considered but do not currently drive a significant portion of operating company or real asset valuations and are used primarily to value warrants, derivatives, certain restrictions and other atypical investment instruments.</w:t>
      </w:r>
    </w:p>
    <w:p>
      <w:pPr>
        <w:spacing w:after="0" w:line="8" w:lineRule="exact"/>
        <w:rPr>
          <w:sz w:val="20"/>
          <w:szCs w:val="20"/>
          <w:color w:val="auto"/>
        </w:rPr>
      </w:pPr>
    </w:p>
    <w:p>
      <w:pPr>
        <w:ind w:right="196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Credit-Oriented Investments </w:t>
      </w:r>
      <w:r>
        <w:rPr>
          <w:rFonts w:ascii="Times New Roman" w:cs="Times New Roman" w:eastAsia="Times New Roman" w:hAnsi="Times New Roman"/>
          <w:sz w:val="16"/>
          <w:szCs w:val="16"/>
          <w:color w:val="auto"/>
        </w:rPr>
        <w:t>– The fair values of credit-oriented investments (including corporate treasury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investments)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are generally determined by valuations of comparable investments. In some instances, the Company may utilize other valuation techniques, including the discounted cash flow method. </w:t>
      </w:r>
      <w:r>
        <w:rPr>
          <w:rFonts w:ascii="Times New Roman" w:cs="Times New Roman" w:eastAsia="Times New Roman" w:hAnsi="Times New Roman"/>
          <w:sz w:val="16"/>
          <w:szCs w:val="16"/>
          <w:i w:val="1"/>
          <w:iCs w:val="1"/>
          <w:color w:val="auto"/>
        </w:rPr>
        <w:t xml:space="preserve">CLO Investments and CLO Loans Payable </w:t>
      </w:r>
      <w:r>
        <w:rPr>
          <w:rFonts w:ascii="Times New Roman" w:cs="Times New Roman" w:eastAsia="Times New Roman" w:hAnsi="Times New Roman"/>
          <w:sz w:val="16"/>
          <w:szCs w:val="16"/>
          <w:color w:val="auto"/>
        </w:rPr>
        <w:t>– The Company measures the financial liabilities of its consolidated CLOs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the fair value of the financial assets of its consolidated CLOs, as the Company believes the fair value of the financial assets are more observable. The fair values of the CLO loan and bond assets are primarily based on quotations from reputable dealers or relevant pricing services. In situations where valuation quotations are unavailable, the assets are valued based on similar securities, market index changes, and other factors. The Company performs certain procedures to ensure the reliability of the quotations from pricing services for its CLO assets and CLO structured asset positions, which generally includes corroborating prices with a discounted cash flow analysis. Generally, the loan and bond assets of the CLOs are not publicly traded and are classified as Level III. The fair values of the CLO structured asset positions are determined based on both discounted cash flow analyses and third party quotes. Those analyses consider the position size, liquidity, current financial condition of the CLOs, the third party financing environment, reinvestment rates, recovery lags, discount rates and default forecasts and are compared to broker quotations from market makers and third party dealers.</w:t>
      </w:r>
    </w:p>
    <w:p>
      <w:pPr>
        <w:spacing w:after="0" w:line="8" w:lineRule="exact"/>
        <w:rPr>
          <w:sz w:val="20"/>
          <w:szCs w:val="20"/>
          <w:color w:val="auto"/>
        </w:rPr>
      </w:pPr>
    </w:p>
    <w:p>
      <w:pPr>
        <w:ind w:right="2100"/>
        <w:spacing w:after="0" w:line="203" w:lineRule="auto"/>
        <w:rPr>
          <w:sz w:val="20"/>
          <w:szCs w:val="20"/>
          <w:color w:val="auto"/>
        </w:rPr>
      </w:pPr>
      <w:r>
        <w:rPr>
          <w:rFonts w:ascii="Times New Roman" w:cs="Times New Roman" w:eastAsia="Times New Roman" w:hAnsi="Times New Roman"/>
          <w:sz w:val="16"/>
          <w:szCs w:val="16"/>
          <w:color w:val="auto"/>
        </w:rPr>
        <w:t>The Company measures the CLO loan payables held by third party beneficial interest holders on the basis of the fair value of the financial assets of the CLO and the beneficial interests held by the Company. The Company continues to measure the CLO loans payable that it holds at fair value based on relevant pricing services or discounted cash flow analyses, as described above.</w:t>
      </w:r>
    </w:p>
    <w:p>
      <w:pPr>
        <w:spacing w:after="0" w:line="2" w:lineRule="exact"/>
        <w:rPr>
          <w:sz w:val="20"/>
          <w:szCs w:val="20"/>
          <w:color w:val="auto"/>
        </w:rPr>
      </w:pPr>
    </w:p>
    <w:p>
      <w:pPr>
        <w:ind w:right="202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Fund Investments </w:t>
      </w:r>
      <w:r>
        <w:rPr>
          <w:rFonts w:ascii="Times New Roman" w:cs="Times New Roman" w:eastAsia="Times New Roman" w:hAnsi="Times New Roman"/>
          <w:sz w:val="16"/>
          <w:szCs w:val="16"/>
          <w:color w:val="auto"/>
        </w:rPr>
        <w:t>– The Company’s primary and secondary investments in external funds are generally valued as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proportionate share of the most recent net asset value provided by the third-party general partners of the underlying fund partnerships, adjusted for subsequent cash flows received from or distributed to the underlying fund partnerships. The Company also adjusts for any changes in the market prices of public securities held by the underlying fund partnerships and may also apply a market adjustment to reflect the estimated change in the fair value of the underlying fund partnerships’ non-public investments from the date of the most recent net asset value provided by the third-party general partners.</w:t>
      </w:r>
    </w:p>
    <w:p>
      <w:pPr>
        <w:spacing w:after="0" w:line="207" w:lineRule="auto"/>
        <w:rPr>
          <w:sz w:val="20"/>
          <w:szCs w:val="20"/>
          <w:color w:val="auto"/>
        </w:rPr>
      </w:pPr>
      <w:r>
        <w:rPr>
          <w:rFonts w:ascii="Times New Roman" w:cs="Times New Roman" w:eastAsia="Times New Roman" w:hAnsi="Times New Roman"/>
          <w:sz w:val="16"/>
          <w:szCs w:val="16"/>
          <w:color w:val="auto"/>
        </w:rPr>
        <w:t>Investment professionals with responsibility for the underlying investments are responsible for preparing the</w:t>
      </w:r>
    </w:p>
    <w:p>
      <w:pPr>
        <w:ind w:right="1400"/>
        <w:spacing w:after="0" w:line="244" w:lineRule="auto"/>
        <w:rPr>
          <w:sz w:val="20"/>
          <w:szCs w:val="20"/>
          <w:color w:val="auto"/>
        </w:rPr>
      </w:pPr>
      <w:r>
        <w:rPr>
          <w:rFonts w:ascii="Times New Roman" w:cs="Times New Roman" w:eastAsia="Times New Roman" w:hAnsi="Times New Roman"/>
          <w:sz w:val="14"/>
          <w:szCs w:val="14"/>
          <w:color w:val="auto"/>
        </w:rPr>
        <w:t>investment valuations pursuant to the policies, methodologies and templates prepared by the Company’s valuation group, which is a team made up of dedicated valuation professionals reporting to the Company’s chief accounting officer. The valuation group is responsible for maintaining the Company’s valuation policy and related guidance, templates and systems that are designed to be consistent with the guidance found in ASC 820. These valuations, inputs and preliminary conclusions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reviewed by the fund management teams. The valuations are then reviewed and approved by the respective fund valuation subcommittees, which include the respective fund head(s), segment head, chief financial officer and chief accounting officer, as well as members of the valuation group. The valuation group compiles the aggregate results and significant matters and presents them for review and approval by the global valuation committee, which includes the Company’s Chief Executive Officer, Chief Risk Officer, Chief Financial Officer, Chief Accounting Officer, and the business segment heads, and observed by the Chief Compliance Officer, the Chief Audit Executive, the Company’s Audit Committee and others. Additionally, each quarter a sample of valuations are reviewed by external valuation firms. Valuations of the funds’ investments are used in the calculation of accrued performance allocations, or “carried interest.”</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Investments, at Fair Value</w:t>
      </w:r>
    </w:p>
    <w:p>
      <w:pPr>
        <w:spacing w:after="0" w:line="204" w:lineRule="auto"/>
        <w:rPr>
          <w:sz w:val="20"/>
          <w:szCs w:val="20"/>
          <w:color w:val="auto"/>
        </w:rPr>
      </w:pPr>
      <w:r>
        <w:rPr>
          <w:rFonts w:ascii="Times New Roman" w:cs="Times New Roman" w:eastAsia="Times New Roman" w:hAnsi="Times New Roman"/>
          <w:sz w:val="16"/>
          <w:szCs w:val="16"/>
          <w:color w:val="auto"/>
        </w:rPr>
        <w:t>Investments include (i) the Company’s ownership interests (typically general partner interests) in the Funds, including</w:t>
      </w:r>
    </w:p>
    <w:p>
      <w:pPr>
        <w:ind w:right="1480"/>
        <w:spacing w:after="0" w:line="203" w:lineRule="auto"/>
        <w:rPr>
          <w:sz w:val="20"/>
          <w:szCs w:val="20"/>
          <w:color w:val="auto"/>
        </w:rPr>
      </w:pPr>
      <w:r>
        <w:rPr>
          <w:rFonts w:ascii="Times New Roman" w:cs="Times New Roman" w:eastAsia="Times New Roman" w:hAnsi="Times New Roman"/>
          <w:sz w:val="16"/>
          <w:szCs w:val="16"/>
          <w:color w:val="auto"/>
        </w:rPr>
        <w:t>the Company’s investment in Fortitude held through Carlyle FRL (which are accounted for as equity method investments), (ii) the Company’s investment in NGP (which is accounted for as an equity method investment), (iii) the investments held by the Consolidated Funds (which are presented at fair value in the Company’s consolidated financial statements), and (iv) certain credit-oriented investments, including investments in the CLOs and the preferred securities of Carlyle Secured Lending, Inc. (“CSL,” formerly known as “TCG BDC, Inc.,” the preferred securities of which are referred to as the “BDC Preferred Shares”) (which are accounted for as trading securities).</w:t>
      </w:r>
    </w:p>
    <w:p>
      <w:pPr>
        <w:spacing w:after="0" w:line="206" w:lineRule="auto"/>
        <w:rPr>
          <w:sz w:val="20"/>
          <w:szCs w:val="20"/>
          <w:color w:val="auto"/>
        </w:rPr>
      </w:pPr>
      <w:r>
        <w:rPr>
          <w:rFonts w:ascii="Times New Roman" w:cs="Times New Roman" w:eastAsia="Times New Roman" w:hAnsi="Times New Roman"/>
          <w:sz w:val="16"/>
          <w:szCs w:val="16"/>
          <w:color w:val="auto"/>
        </w:rPr>
        <w:t>Upon the sale of a security or other investment, the realized net gain or loss is computed on a weighted average cost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basis, with the exception of the investments held by the CLOs, which compute the realized net gain or loss on a first in, first out</w:t>
      </w:r>
    </w:p>
    <w:p>
      <w:pPr>
        <w:sectPr>
          <w:pgSz w:w="11900" w:h="16840" w:orient="portrait"/>
          <w:cols w:equalWidth="0" w:num="1">
            <w:col w:w="9400"/>
          </w:cols>
          <w:pgMar w:left="1060" w:top="547" w:right="1440" w:bottom="19"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t>basis. Securities transactions are recorded on a trade date basis.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Equity Method Investments</w:t>
      </w:r>
    </w:p>
    <w:p>
      <w:pPr>
        <w:ind w:right="1640"/>
        <w:spacing w:after="0" w:line="203" w:lineRule="auto"/>
        <w:rPr>
          <w:sz w:val="20"/>
          <w:szCs w:val="20"/>
          <w:color w:val="auto"/>
        </w:rPr>
      </w:pPr>
      <w:r>
        <w:rPr>
          <w:rFonts w:ascii="Times New Roman" w:cs="Times New Roman" w:eastAsia="Times New Roman" w:hAnsi="Times New Roman"/>
          <w:sz w:val="16"/>
          <w:szCs w:val="16"/>
          <w:color w:val="auto"/>
        </w:rPr>
        <w:t>The Company accounts for all investments in which it has or is otherwise presumed to have significant influence, including investments in the unconsolidated Funds and the Company’s investment in NGP, using the equity method of accounting. The carrying value of equity method investments is determined based on amounts invested by the Company, adjusted for the equity in earnings or losses of the investee (including performance allocations) allocated based on the respective partnership agreement, less distributions received. The Company evaluates its equity method investments for impairment whenever events or changes in circumstances indicate that the carrying amounts of such investments may not be recoverable.</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Cash and Cash Equivalents</w:t>
      </w:r>
    </w:p>
    <w:p>
      <w:pPr>
        <w:ind w:right="2060"/>
        <w:spacing w:after="0" w:line="232" w:lineRule="auto"/>
        <w:rPr>
          <w:sz w:val="20"/>
          <w:szCs w:val="20"/>
          <w:color w:val="auto"/>
        </w:rPr>
      </w:pPr>
      <w:r>
        <w:rPr>
          <w:rFonts w:ascii="Times New Roman" w:cs="Times New Roman" w:eastAsia="Times New Roman" w:hAnsi="Times New Roman"/>
          <w:sz w:val="14"/>
          <w:szCs w:val="14"/>
          <w:color w:val="auto"/>
        </w:rPr>
        <w:t>Cash and cash equivalents include cash held at banks and cash held for distributions, including investments with original maturities of less than three months when purchased. The Company is subject to credit risk should a financial institution be unable to fulfil its obligations and if balances held at a financial institution exceed insured limits.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Cash and Cash Equivalents Held at Consolidated Funds</w:t>
      </w:r>
    </w:p>
    <w:p>
      <w:pPr>
        <w:ind w:right="2080"/>
        <w:spacing w:after="0" w:line="232" w:lineRule="auto"/>
        <w:rPr>
          <w:sz w:val="20"/>
          <w:szCs w:val="20"/>
          <w:color w:val="auto"/>
        </w:rPr>
      </w:pPr>
      <w:r>
        <w:rPr>
          <w:rFonts w:ascii="Times New Roman" w:cs="Times New Roman" w:eastAsia="Times New Roman" w:hAnsi="Times New Roman"/>
          <w:sz w:val="14"/>
          <w:szCs w:val="14"/>
          <w:color w:val="auto"/>
        </w:rPr>
        <w:t>Cash and cash equivalents held at Consolidated Funds consists of cash and cash equivalents held by the Consolidated Funds, which, although not legally restricted, is not available to fund the general liquidity needs of the Company.</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1" w:lineRule="exact"/>
        <w:rPr>
          <w:sz w:val="20"/>
          <w:szCs w:val="20"/>
          <w:color w:val="auto"/>
        </w:rPr>
      </w:pPr>
    </w:p>
    <w:p>
      <w:pPr>
        <w:ind w:right="2420"/>
        <w:spacing w:after="0" w:line="203" w:lineRule="auto"/>
        <w:rPr>
          <w:sz w:val="20"/>
          <w:szCs w:val="20"/>
          <w:color w:val="auto"/>
        </w:rPr>
      </w:pPr>
      <w:r>
        <w:rPr>
          <w:rFonts w:ascii="Times New Roman" w:cs="Times New Roman" w:eastAsia="Times New Roman" w:hAnsi="Times New Roman"/>
          <w:sz w:val="16"/>
          <w:szCs w:val="16"/>
          <w:color w:val="auto"/>
        </w:rPr>
        <w:t>Restricted cash primarily represents cash held by the Company’s foreign subsidiaries due to certain government regulatory capital requirements as well as certain amounts held on behalf of Carlyle funds.</w:t>
      </w:r>
    </w:p>
    <w:p>
      <w:pPr>
        <w:ind w:left="560"/>
        <w:spacing w:after="0" w:line="204" w:lineRule="auto"/>
        <w:rPr>
          <w:sz w:val="20"/>
          <w:szCs w:val="20"/>
          <w:color w:val="auto"/>
        </w:rPr>
      </w:pPr>
      <w:r>
        <w:rPr>
          <w:rFonts w:ascii="Times New Roman" w:cs="Times New Roman" w:eastAsia="Times New Roman" w:hAnsi="Times New Roman"/>
          <w:sz w:val="16"/>
          <w:szCs w:val="16"/>
          <w:b w:val="1"/>
          <w:bCs w:val="1"/>
          <w:color w:val="auto"/>
        </w:rPr>
        <w:t>Corporate Treasury Investments</w:t>
      </w:r>
    </w:p>
    <w:p>
      <w:pPr>
        <w:spacing w:after="0" w:line="204" w:lineRule="auto"/>
        <w:rPr>
          <w:sz w:val="20"/>
          <w:szCs w:val="20"/>
          <w:color w:val="auto"/>
        </w:rPr>
      </w:pPr>
      <w:r>
        <w:rPr>
          <w:rFonts w:ascii="Times New Roman" w:cs="Times New Roman" w:eastAsia="Times New Roman" w:hAnsi="Times New Roman"/>
          <w:sz w:val="16"/>
          <w:szCs w:val="16"/>
          <w:color w:val="auto"/>
        </w:rPr>
        <w:t>Corporate treasury investments represent investments in U.S. Treasury and government agency obligations,</w:t>
      </w:r>
    </w:p>
    <w:p>
      <w:pPr>
        <w:ind w:right="1620"/>
        <w:spacing w:after="0" w:line="213" w:lineRule="auto"/>
        <w:rPr>
          <w:sz w:val="20"/>
          <w:szCs w:val="20"/>
          <w:color w:val="auto"/>
        </w:rPr>
      </w:pPr>
      <w:r>
        <w:rPr>
          <w:rFonts w:ascii="Times New Roman" w:cs="Times New Roman" w:eastAsia="Times New Roman" w:hAnsi="Times New Roman"/>
          <w:sz w:val="16"/>
          <w:szCs w:val="16"/>
          <w:color w:val="auto"/>
        </w:rPr>
        <w:t>commercial paper, certificates of deposit, other investment grade securities and other investments with original maturities of greater than three months when purchased. These investments are accounted for as trading securities in which changes in the fair value of each investment are recorded through investment income (loss). Any interest earned on debt investments is recorded through interest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Derivative Instruments</w:t>
      </w:r>
    </w:p>
    <w:p>
      <w:pPr>
        <w:ind w:right="1620" w:firstLine="576"/>
        <w:spacing w:after="0" w:line="232" w:lineRule="auto"/>
        <w:rPr>
          <w:sz w:val="20"/>
          <w:szCs w:val="20"/>
          <w:color w:val="auto"/>
        </w:rPr>
      </w:pPr>
      <w:r>
        <w:rPr>
          <w:rFonts w:ascii="Times New Roman" w:cs="Times New Roman" w:eastAsia="Times New Roman" w:hAnsi="Times New Roman"/>
          <w:sz w:val="14"/>
          <w:szCs w:val="14"/>
          <w:color w:val="auto"/>
        </w:rPr>
        <w:t>The Company uses derivative instruments primarily to reduce its exposure to changes in foreign currency exchange rates. Derivative instruments are recognized at fair value in the consolidated balance sheets with changes in fair value recognized in the consolidated statements of operations for all derivatives not designated as hedging instruments.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Securities Sold Under Agreements to Repurchase</w:t>
      </w:r>
    </w:p>
    <w:p>
      <w:pPr>
        <w:ind w:right="1420"/>
        <w:spacing w:after="0" w:line="203" w:lineRule="auto"/>
        <w:rPr>
          <w:sz w:val="20"/>
          <w:szCs w:val="20"/>
          <w:color w:val="auto"/>
        </w:rPr>
      </w:pPr>
      <w:r>
        <w:rPr>
          <w:rFonts w:ascii="Times New Roman" w:cs="Times New Roman" w:eastAsia="Times New Roman" w:hAnsi="Times New Roman"/>
          <w:sz w:val="16"/>
          <w:szCs w:val="16"/>
          <w:color w:val="auto"/>
        </w:rPr>
        <w:t>As it relates to certain European CLOs sponsored by the Company, securities sold under agreements to repurchase (“Repurchase Agreements”) are accounted for as collateralized financing transactions. The Company provides securities to counterparties to collateralize amounts borrowed under repurchase agreements on terms that permit the counterparties to repledge or resell the securities to others. As of December 31, 2024, $240.4 million of securities were transferred to counterparties under repurchase agreements and are included within investments in the consolidated balance sheets. Cash received under repurchase agreements is recognized as a liability within debt obligations in the consolidated balance sheets. See Note 6, Borrowings, for additional information.</w:t>
      </w:r>
    </w:p>
    <w:p>
      <w:pPr>
        <w:ind w:left="560"/>
        <w:spacing w:after="0" w:line="223" w:lineRule="auto"/>
        <w:rPr>
          <w:sz w:val="20"/>
          <w:szCs w:val="20"/>
          <w:color w:val="auto"/>
        </w:rPr>
      </w:pPr>
      <w:r>
        <w:rPr>
          <w:rFonts w:ascii="Times New Roman" w:cs="Times New Roman" w:eastAsia="Times New Roman" w:hAnsi="Times New Roman"/>
          <w:sz w:val="16"/>
          <w:szCs w:val="16"/>
          <w:b w:val="1"/>
          <w:bCs w:val="1"/>
          <w:color w:val="auto"/>
        </w:rPr>
        <w:t>Fixed Assets</w:t>
      </w:r>
    </w:p>
    <w:p>
      <w:pPr>
        <w:spacing w:after="0" w:line="203" w:lineRule="auto"/>
        <w:rPr>
          <w:sz w:val="20"/>
          <w:szCs w:val="20"/>
          <w:color w:val="auto"/>
        </w:rPr>
      </w:pPr>
      <w:r>
        <w:rPr>
          <w:rFonts w:ascii="Times New Roman" w:cs="Times New Roman" w:eastAsia="Times New Roman" w:hAnsi="Times New Roman"/>
          <w:sz w:val="16"/>
          <w:szCs w:val="16"/>
          <w:color w:val="auto"/>
        </w:rPr>
        <w:t>Fixed assets consist of furniture, fixtures and equipment, leasehold improvements, computer hardware and software,</w:t>
      </w:r>
    </w:p>
    <w:p>
      <w:pPr>
        <w:ind w:right="1480"/>
        <w:spacing w:after="0" w:line="232" w:lineRule="auto"/>
        <w:rPr>
          <w:sz w:val="20"/>
          <w:szCs w:val="20"/>
          <w:color w:val="auto"/>
        </w:rPr>
      </w:pPr>
      <w:r>
        <w:rPr>
          <w:rFonts w:ascii="Times New Roman" w:cs="Times New Roman" w:eastAsia="Times New Roman" w:hAnsi="Times New Roman"/>
          <w:sz w:val="14"/>
          <w:szCs w:val="14"/>
          <w:color w:val="auto"/>
        </w:rPr>
        <w:t>and fractional shares in corporate aircraft,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fixed assets. Fixed assets are reviewed for impairment whenever events or changes in circumstances indicate that the carrying amount of an asset may not be recoverable.</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Leases</w:t>
      </w:r>
    </w:p>
    <w:p>
      <w:pPr>
        <w:spacing w:after="0" w:line="1" w:lineRule="exact"/>
        <w:rPr>
          <w:sz w:val="20"/>
          <w:szCs w:val="20"/>
          <w:color w:val="auto"/>
        </w:rPr>
      </w:pPr>
    </w:p>
    <w:p>
      <w:pPr>
        <w:ind w:right="1460"/>
        <w:spacing w:after="0"/>
        <w:rPr>
          <w:sz w:val="20"/>
          <w:szCs w:val="20"/>
          <w:color w:val="auto"/>
        </w:rPr>
      </w:pPr>
      <w:r>
        <w:rPr>
          <w:rFonts w:ascii="Times New Roman" w:cs="Times New Roman" w:eastAsia="Times New Roman" w:hAnsi="Times New Roman"/>
          <w:sz w:val="14"/>
          <w:szCs w:val="14"/>
          <w:color w:val="auto"/>
        </w:rPr>
        <w:t xml:space="preserve">The Company accounts for its leases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and recognizes a lease liability and right - of-use (“ROU”) asset in the consolidated balance sheet for contracts that it determines are leases or contain a lease. The Company’s leases primarily consist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ROU assets represent the Company’s right to use an underlying asset for the lease term and lease liabilities represent the Company’s obligation to make lease payments arising from the leases. The Company’s ROU assets and lease liabilities are recognized at lease commencement based on the present value of lease payments over the lease term. Lease ROU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ROU assets are reviewed for impairment whenever events or changes in circumstances indicate that the carrying amount of the asset may not be recoverable.</w:t>
      </w:r>
    </w:p>
    <w:p>
      <w:pPr>
        <w:spacing w:after="0" w:line="87" w:lineRule="exact"/>
        <w:rPr>
          <w:sz w:val="20"/>
          <w:szCs w:val="20"/>
          <w:color w:val="auto"/>
        </w:rPr>
      </w:pPr>
    </w:p>
    <w:p>
      <w:pPr>
        <w:ind w:right="1480"/>
        <w:spacing w:after="0" w:line="268" w:lineRule="auto"/>
        <w:rPr>
          <w:sz w:val="20"/>
          <w:szCs w:val="20"/>
          <w:color w:val="auto"/>
        </w:rPr>
      </w:pPr>
      <w:r>
        <w:rPr>
          <w:rFonts w:ascii="Times New Roman" w:cs="Times New Roman" w:eastAsia="Times New Roman" w:hAnsi="Times New Roman"/>
          <w:sz w:val="14"/>
          <w:szCs w:val="14"/>
          <w:color w:val="auto"/>
        </w:rPr>
        <w:t>The Company does not recognize a lease liability or ROU asset on the balance sheet for short- term leases. Instead, the Company recognizes short-term lease payments as an expense on a straight-line basis over the lease term. A short- term lease is</w:t>
      </w:r>
    </w:p>
    <w:p>
      <w:pPr>
        <w:sectPr>
          <w:pgSz w:w="11900" w:h="16840" w:orient="portrait"/>
          <w:cols w:equalWidth="0" w:num="1">
            <w:col w:w="9400"/>
          </w:cols>
          <w:pgMar w:left="1060" w:top="547" w:right="1440" w:bottom="61" w:gutter="0" w:footer="0" w:header="0"/>
        </w:sectPr>
      </w:pPr>
    </w:p>
    <w:bookmarkStart w:id="143" w:name="page144"/>
    <w:bookmarkEnd w:id="143"/>
    <w:p>
      <w:pPr>
        <w:ind w:right="1520"/>
        <w:spacing w:after="0" w:line="211" w:lineRule="auto"/>
        <w:rPr>
          <w:sz w:val="20"/>
          <w:szCs w:val="20"/>
          <w:color w:val="auto"/>
        </w:rPr>
      </w:pPr>
      <w:r>
        <w:rPr>
          <w:rFonts w:ascii="Times New Roman" w:cs="Times New Roman" w:eastAsia="Times New Roman" w:hAnsi="Times New Roman"/>
          <w:sz w:val="16"/>
          <w:szCs w:val="16"/>
          <w:color w:val="auto"/>
        </w:rPr>
        <w:t>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 w:lineRule="exact"/>
        <w:rPr>
          <w:sz w:val="20"/>
          <w:szCs w:val="20"/>
          <w:color w:val="auto"/>
        </w:rPr>
      </w:pPr>
    </w:p>
    <w:p>
      <w:pPr>
        <w:ind w:right="2400"/>
        <w:spacing w:after="0" w:line="203" w:lineRule="auto"/>
        <w:rPr>
          <w:sz w:val="20"/>
          <w:szCs w:val="20"/>
          <w:color w:val="auto"/>
        </w:rPr>
      </w:pPr>
      <w:r>
        <w:rPr>
          <w:rFonts w:ascii="Times New Roman" w:cs="Times New Roman" w:eastAsia="Times New Roman" w:hAnsi="Times New Roman"/>
          <w:sz w:val="16"/>
          <w:szCs w:val="16"/>
          <w:color w:val="auto"/>
        </w:rPr>
        <w:t>ROU assets are reviewed for impairment whenever events or changes in circumstances indicate that the carrying amount of an asset may not be recoverable.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Intangible Assets and Goodwill</w:t>
      </w:r>
    </w:p>
    <w:p>
      <w:pPr>
        <w:spacing w:after="0" w:line="204" w:lineRule="auto"/>
        <w:rPr>
          <w:sz w:val="20"/>
          <w:szCs w:val="20"/>
          <w:color w:val="auto"/>
        </w:rPr>
      </w:pPr>
      <w:r>
        <w:rPr>
          <w:rFonts w:ascii="Times New Roman" w:cs="Times New Roman" w:eastAsia="Times New Roman" w:hAnsi="Times New Roman"/>
          <w:sz w:val="16"/>
          <w:szCs w:val="16"/>
          <w:color w:val="auto"/>
        </w:rPr>
        <w:t>The Company’s intangible assets consist of acquired contractual rights to earn future fee income, including</w:t>
      </w:r>
    </w:p>
    <w:p>
      <w:pPr>
        <w:jc w:val="both"/>
        <w:ind w:right="1620"/>
        <w:spacing w:after="0" w:line="216" w:lineRule="auto"/>
        <w:rPr>
          <w:sz w:val="20"/>
          <w:szCs w:val="20"/>
          <w:color w:val="auto"/>
        </w:rPr>
      </w:pPr>
      <w:r>
        <w:rPr>
          <w:rFonts w:ascii="Times New Roman" w:cs="Times New Roman" w:eastAsia="Times New Roman" w:hAnsi="Times New Roman"/>
          <w:sz w:val="16"/>
          <w:szCs w:val="16"/>
          <w:color w:val="auto"/>
        </w:rPr>
        <w:t>management and advisory fees, customer relationships, and acquired trademarks. Finite- lived intangible assets are amortized over their estimated useful lives, which range from four to eight years, and are reviewed for impairment whenever events or changes in circumstances indicate that the carrying amount of the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680"/>
        <w:spacing w:after="0" w:line="203" w:lineRule="auto"/>
        <w:rPr>
          <w:sz w:val="20"/>
          <w:szCs w:val="20"/>
          <w:color w:val="auto"/>
        </w:rPr>
      </w:pPr>
      <w:r>
        <w:rPr>
          <w:rFonts w:ascii="Times New Roman" w:cs="Times New Roman" w:eastAsia="Times New Roman" w:hAnsi="Times New Roman"/>
          <w:sz w:val="16"/>
          <w:szCs w:val="16"/>
          <w:color w:val="auto"/>
        </w:rPr>
        <w:t>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203" w:lineRule="auto"/>
        <w:rPr>
          <w:sz w:val="20"/>
          <w:szCs w:val="20"/>
          <w:color w:val="auto"/>
        </w:rPr>
      </w:pPr>
      <w:r>
        <w:rPr>
          <w:rFonts w:ascii="Times New Roman" w:cs="Times New Roman" w:eastAsia="Times New Roman" w:hAnsi="Times New Roman"/>
          <w:sz w:val="16"/>
          <w:szCs w:val="16"/>
          <w:color w:val="auto"/>
        </w:rPr>
        <w:t>Deferred revenue represents management fees and other revenue received prior to the balance sheet date, which has</w:t>
      </w:r>
    </w:p>
    <w:p>
      <w:pPr>
        <w:spacing w:after="0" w:line="1" w:lineRule="exact"/>
        <w:rPr>
          <w:sz w:val="20"/>
          <w:szCs w:val="20"/>
          <w:color w:val="auto"/>
        </w:rPr>
      </w:pPr>
    </w:p>
    <w:p>
      <w:pPr>
        <w:ind w:right="1600"/>
        <w:spacing w:after="0" w:line="203" w:lineRule="auto"/>
        <w:rPr>
          <w:sz w:val="20"/>
          <w:szCs w:val="20"/>
          <w:color w:val="auto"/>
        </w:rPr>
      </w:pPr>
      <w:r>
        <w:rPr>
          <w:rFonts w:ascii="Times New Roman" w:cs="Times New Roman" w:eastAsia="Times New Roman" w:hAnsi="Times New Roman"/>
          <w:sz w:val="16"/>
          <w:szCs w:val="16"/>
          <w:color w:val="auto"/>
        </w:rPr>
        <w:t>not yet been earned. Deferred revenue also includes transaction and portfolio advisory fees received by the Company that are required to offset fund management fees pursuant to the related fund agreements.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p>
      <w:pPr>
        <w:spacing w:after="0" w:line="204" w:lineRule="auto"/>
        <w:rPr>
          <w:sz w:val="20"/>
          <w:szCs w:val="20"/>
          <w:color w:val="auto"/>
        </w:rPr>
      </w:pPr>
      <w:r>
        <w:rPr>
          <w:rFonts w:ascii="Times New Roman" w:cs="Times New Roman" w:eastAsia="Times New Roman" w:hAnsi="Times New Roman"/>
          <w:sz w:val="16"/>
          <w:szCs w:val="16"/>
          <w:color w:val="auto"/>
        </w:rPr>
        <w:t>The Company’s accumulated other comprehensive income (loss) comprised foreign currency translation adjustments</w:t>
      </w:r>
    </w:p>
    <w:p>
      <w:pPr>
        <w:ind w:right="1640"/>
        <w:spacing w:after="0" w:line="222" w:lineRule="auto"/>
        <w:rPr>
          <w:sz w:val="20"/>
          <w:szCs w:val="20"/>
          <w:color w:val="auto"/>
        </w:rPr>
      </w:pPr>
      <w:r>
        <w:rPr>
          <w:rFonts w:ascii="Times New Roman" w:cs="Times New Roman" w:eastAsia="Times New Roman" w:hAnsi="Times New Roman"/>
          <w:sz w:val="16"/>
          <w:szCs w:val="16"/>
          <w:color w:val="auto"/>
        </w:rPr>
        <w:t>and gains and losses on defined benefit plans sponsored by AlpInvest. The components of accumulated other comprehensive income (loss) as of December 31,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80"/>
        </w:trPr>
        <w:tc>
          <w:tcPr>
            <w:tcW w:w="368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r>
      <w:tr>
        <w:trPr>
          <w:trHeight w:val="172"/>
        </w:trPr>
        <w:tc>
          <w:tcPr>
            <w:tcW w:w="36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(327.9)</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(292.8)</w:t>
            </w: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losses on defined benefit plans</w:t>
            </w:r>
          </w:p>
        </w:tc>
        <w:tc>
          <w:tcPr>
            <w:tcW w:w="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r>
      <w:tr>
        <w:trPr>
          <w:trHeight w:val="38"/>
        </w:trPr>
        <w:tc>
          <w:tcPr>
            <w:tcW w:w="36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w:t>
            </w: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(297.3)</w:t>
            </w:r>
          </w:p>
        </w:tc>
      </w:tr>
    </w:tbl>
    <w:p>
      <w:pPr>
        <w:spacing w:after="0" w:line="225" w:lineRule="auto"/>
        <w:rPr>
          <w:sz w:val="20"/>
          <w:szCs w:val="20"/>
          <w:color w:val="auto"/>
        </w:rPr>
      </w:pPr>
      <w:r>
        <w:rPr>
          <w:rFonts w:ascii="Times New Roman" w:cs="Times New Roman" w:eastAsia="Times New Roman" w:hAnsi="Times New Roman"/>
          <w:sz w:val="16"/>
          <w:szCs w:val="16"/>
          <w:b w:val="1"/>
          <w:bCs w:val="1"/>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-100965</wp:posOffset>
            </wp:positionV>
            <wp:extent cx="169989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699895" cy="7620"/>
                    </a:xfrm>
                    <a:prstGeom prst="rect">
                      <a:avLst/>
                    </a:prstGeom>
                    <a:noFill/>
                  </pic:spPr>
                </pic:pic>
              </a:graphicData>
            </a:graphic>
          </wp:anchor>
        </w:drawing>
      </w:r>
    </w:p>
    <w:p>
      <w:pPr>
        <w:ind w:right="1480"/>
        <w:spacing w:after="0" w:line="203" w:lineRule="auto"/>
        <w:rPr>
          <w:sz w:val="20"/>
          <w:szCs w:val="20"/>
          <w:color w:val="auto"/>
        </w:rPr>
      </w:pPr>
      <w:r>
        <w:rPr>
          <w:rFonts w:ascii="Times New Roman" w:cs="Times New Roman" w:eastAsia="Times New Roman" w:hAnsi="Times New Roman"/>
          <w:sz w:val="16"/>
          <w:szCs w:val="16"/>
          <w:color w:val="auto"/>
        </w:rPr>
        <w:t>Non-U.S. dollar denominated assets and liabilities are translated at period-end rates of exchange, and the consolidated statements of operations are translated at rates of exchange in effect throughout the period. Foreign currency gains (losses) resulting from transactions outside of the functional currency of an entity of $2.5 million, $(13.6) million and $25.2 million for the years ended December 31, 2024, 2023 and 2022, respectively, are included in general, administrative and other expenses in the consolidated statements of operations.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Recent Accounting Pronouncements</w:t>
      </w:r>
    </w:p>
    <w:p>
      <w:pPr>
        <w:ind w:right="1940"/>
        <w:spacing w:after="0" w:line="203" w:lineRule="auto"/>
        <w:rPr>
          <w:sz w:val="20"/>
          <w:szCs w:val="20"/>
          <w:color w:val="auto"/>
        </w:rPr>
      </w:pPr>
      <w:r>
        <w:rPr>
          <w:rFonts w:ascii="Times New Roman" w:cs="Times New Roman" w:eastAsia="Times New Roman" w:hAnsi="Times New Roman"/>
          <w:sz w:val="16"/>
          <w:szCs w:val="16"/>
          <w:color w:val="auto"/>
        </w:rPr>
        <w:t>The Company considers the applicability and impact of all accounting standard updates (“ASU”) issued by the Financial Accounting Standards Board (“FASB”). ASUs not listed below were assessed and either determined to be not applicable or expected to have minimal impact on the Company’s consolidated financial statements.</w:t>
      </w:r>
    </w:p>
    <w:p>
      <w:pPr>
        <w:spacing w:after="0" w:line="205"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Reporting–Improvements to Reportable Segment</w:t>
      </w:r>
    </w:p>
    <w:p>
      <w:pPr>
        <w:ind w:right="1680"/>
        <w:spacing w:after="0" w:line="203" w:lineRule="auto"/>
        <w:rPr>
          <w:sz w:val="20"/>
          <w:szCs w:val="20"/>
          <w:color w:val="auto"/>
        </w:rPr>
      </w:pPr>
      <w:r>
        <w:rPr>
          <w:rFonts w:ascii="Times New Roman" w:cs="Times New Roman" w:eastAsia="Times New Roman" w:hAnsi="Times New Roman"/>
          <w:sz w:val="16"/>
          <w:szCs w:val="16"/>
          <w:i w:val="1"/>
          <w:iCs w:val="1"/>
          <w:color w:val="auto"/>
        </w:rPr>
        <w:t>Disclosures</w:t>
      </w:r>
      <w:r>
        <w:rPr>
          <w:rFonts w:ascii="Times New Roman" w:cs="Times New Roman" w:eastAsia="Times New Roman" w:hAnsi="Times New Roman"/>
          <w:sz w:val="16"/>
          <w:szCs w:val="16"/>
          <w:color w:val="auto"/>
        </w:rPr>
        <w:t>, which requires, among other things, disclosure of significant segment expense categories and amounts for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reportable segment on an interim and annual basis. The guidance is effective for fiscal years beginning after December 15, 2023, and interim periods in fiscal years beginning after December 15, 2024, with early adoption permitted. The Company adopted this guidance effective for the fiscal year ended December 31, 2024. The adoption of this guidance did not have a material impact on the Company’s consolidated financial statements.</w:t>
      </w:r>
    </w:p>
    <w:p>
      <w:pPr>
        <w:spacing w:after="0" w:line="206"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Improvements to Income Tax Disclosure</w:t>
      </w:r>
      <w:r>
        <w:rPr>
          <w:rFonts w:ascii="Times New Roman" w:cs="Times New Roman" w:eastAsia="Times New Roman" w:hAnsi="Times New Roman"/>
          <w:sz w:val="16"/>
          <w:szCs w:val="16"/>
          <w:color w:val="auto"/>
        </w:rPr>
        <w:t>, which requires</w:t>
      </w:r>
    </w:p>
    <w:p>
      <w:pPr>
        <w:ind w:right="1560"/>
        <w:spacing w:after="0" w:line="211" w:lineRule="auto"/>
        <w:rPr>
          <w:sz w:val="20"/>
          <w:szCs w:val="20"/>
          <w:color w:val="auto"/>
        </w:rPr>
      </w:pPr>
      <w:r>
        <w:rPr>
          <w:rFonts w:ascii="Times New Roman" w:cs="Times New Roman" w:eastAsia="Times New Roman" w:hAnsi="Times New Roman"/>
          <w:sz w:val="16"/>
          <w:szCs w:val="16"/>
          <w:color w:val="auto"/>
        </w:rPr>
        <w:t>disclosure of disaggregated information about a reporting entity’s effective tax rate reconciliation, using both percentages and reporting currency amounts for specific standardized categories, as well as disclosure of income taxes paid disaggregated by jurisdiction. The guidance is effective for annual periods beginning after December 15, 2024, with early adoption permitted. Upon adoption, which will be effective for our annual period beginning on January 1, 2025, the Company does not expect the impact of this guidance to be material to its consolidated financial statements.</w:t>
      </w:r>
    </w:p>
    <w:p>
      <w:pPr>
        <w:sectPr>
          <w:pgSz w:w="11900" w:h="16840" w:orient="portrait"/>
          <w:cols w:equalWidth="0" w:num="1">
            <w:col w:w="9400"/>
          </w:cols>
          <w:pgMar w:left="1060" w:top="557" w:right="1440" w:bottom="884"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3. Fair Value Measurement</w:t>
      </w:r>
    </w:p>
    <w:p>
      <w:pPr>
        <w:ind w:right="1820"/>
        <w:spacing w:after="0"/>
        <w:rPr>
          <w:sz w:val="20"/>
          <w:szCs w:val="20"/>
          <w:color w:val="auto"/>
        </w:rPr>
      </w:pPr>
      <w:r>
        <w:rPr>
          <w:rFonts w:ascii="Times New Roman" w:cs="Times New Roman" w:eastAsia="Times New Roman" w:hAnsi="Times New Roman"/>
          <w:sz w:val="14"/>
          <w:szCs w:val="14"/>
          <w:color w:val="auto"/>
        </w:rPr>
        <w:t>The following table summarizes the Company’s assets and liabilities measured at fair value on a recurring basis by the fair value hierarchy levels as disclosed in Note 2, Summary of Significant Accounting Policies, as of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Level III</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r>
      <w:tr>
        <w:trPr>
          <w:trHeight w:val="34"/>
        </w:trPr>
        <w:tc>
          <w:tcPr>
            <w:tcW w:w="3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r>
      <w:tr>
        <w:trPr>
          <w:trHeight w:val="34"/>
        </w:trPr>
        <w:tc>
          <w:tcPr>
            <w:tcW w:w="3680" w:type="dxa"/>
            <w:vAlign w:val="bottom"/>
          </w:tcPr>
          <w:p>
            <w:pPr>
              <w:spacing w:after="0"/>
              <w:rPr>
                <w:sz w:val="20"/>
                <w:szCs w:val="20"/>
                <w:color w:val="auto"/>
              </w:rPr>
            </w:pPr>
            <w:r>
              <w:rPr>
                <w:rFonts w:ascii="Times New Roman" w:cs="Times New Roman" w:eastAsia="Times New Roman" w:hAnsi="Times New Roman"/>
                <w:sz w:val="3"/>
                <w:szCs w:val="3"/>
                <w:color w:val="auto"/>
              </w:rPr>
              <w:t>Investments of Consolidated Funds  :</w:t>
            </w: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24"/>
        </w:trPr>
        <w:tc>
          <w:tcPr>
            <w:tcW w:w="3680" w:type="dxa"/>
            <w:vAlign w:val="bottom"/>
          </w:tcPr>
          <w:p>
            <w:pPr>
              <w:ind w:left="2040"/>
              <w:spacing w:after="0"/>
              <w:rPr>
                <w:sz w:val="20"/>
                <w:szCs w:val="20"/>
                <w:color w:val="auto"/>
              </w:rPr>
            </w:pPr>
            <w:r>
              <w:rPr>
                <w:rFonts w:ascii="Times New Roman" w:cs="Times New Roman" w:eastAsia="Times New Roman" w:hAnsi="Times New Roman"/>
                <w:sz w:val="10"/>
                <w:szCs w:val="10"/>
                <w:color w:val="auto"/>
              </w:rPr>
              <w:t>(1)</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70"/>
        </w:trPr>
        <w:tc>
          <w:tcPr>
            <w:tcW w:w="3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3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Equity securities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5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572.0</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3"/>
                <w:szCs w:val="3"/>
                <w:b w:val="1"/>
                <w:bCs w:val="1"/>
                <w:color w:val="auto"/>
              </w:rPr>
              <w:t>572.0</w:t>
            </w:r>
          </w:p>
        </w:tc>
      </w:tr>
      <w:tr>
        <w:trPr>
          <w:trHeight w:val="124"/>
        </w:trPr>
        <w:tc>
          <w:tcPr>
            <w:tcW w:w="3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(2)</w:t>
            </w: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70"/>
        </w:trPr>
        <w:tc>
          <w:tcPr>
            <w:tcW w:w="36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Bonds</w:t>
            </w:r>
          </w:p>
        </w:tc>
        <w:tc>
          <w:tcPr>
            <w:tcW w:w="580" w:type="dxa"/>
            <w:vAlign w:val="bottom"/>
          </w:tcPr>
          <w:p>
            <w:pPr>
              <w:spacing w:after="0"/>
              <w:rPr>
                <w:sz w:val="16"/>
                <w:szCs w:val="16"/>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465.1</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465.1</w:t>
            </w:r>
          </w:p>
        </w:tc>
      </w:tr>
      <w:tr>
        <w:trPr>
          <w:trHeight w:val="38"/>
        </w:trPr>
        <w:tc>
          <w:tcPr>
            <w:tcW w:w="3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6,431.4</w:t>
            </w: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6,431.4</w:t>
            </w: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6"/>
                <w:szCs w:val="16"/>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38"/>
        </w:trPr>
        <w:tc>
          <w:tcPr>
            <w:tcW w:w="36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8"/>
        </w:trPr>
        <w:tc>
          <w:tcPr>
            <w:tcW w:w="36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1.3</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7,468.5</w:t>
            </w:r>
          </w:p>
        </w:tc>
        <w:tc>
          <w:tcPr>
            <w:tcW w:w="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7,469.8</w:t>
            </w:r>
          </w:p>
        </w:tc>
      </w:tr>
      <w:tr>
        <w:trPr>
          <w:trHeight w:val="18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CLOs and other:</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0"/>
        </w:trPr>
        <w:tc>
          <w:tcPr>
            <w:tcW w:w="3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378.9</w:t>
            </w: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378.9</w:t>
            </w: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9"/>
                <w:szCs w:val="9"/>
                <w:color w:val="auto"/>
              </w:rPr>
              <w:t>(3)</w:t>
            </w:r>
          </w:p>
        </w:tc>
        <w:tc>
          <w:tcPr>
            <w:tcW w:w="580" w:type="dxa"/>
            <w:vAlign w:val="bottom"/>
          </w:tcPr>
          <w:p>
            <w:pPr>
              <w:spacing w:after="0"/>
              <w:rPr>
                <w:sz w:val="16"/>
                <w:szCs w:val="16"/>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40.4</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21.5</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85.1</w:t>
            </w: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147.0</w:t>
            </w:r>
          </w:p>
        </w:tc>
      </w:tr>
      <w:tr>
        <w:trPr>
          <w:trHeight w:val="38"/>
        </w:trPr>
        <w:tc>
          <w:tcPr>
            <w:tcW w:w="36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8"/>
        </w:trPr>
        <w:tc>
          <w:tcPr>
            <w:tcW w:w="36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40.4</w:t>
            </w: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21.5</w:t>
            </w: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464.0</w:t>
            </w: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525.9</w:t>
            </w:r>
          </w:p>
        </w:tc>
      </w:tr>
      <w:tr>
        <w:trPr>
          <w:trHeight w:val="18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Subtotal</w:t>
            </w: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40.4</w:t>
            </w: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22.8</w:t>
            </w:r>
          </w:p>
        </w:tc>
        <w:tc>
          <w:tcPr>
            <w:tcW w:w="4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7,932.5</w:t>
            </w:r>
          </w:p>
        </w:tc>
        <w:tc>
          <w:tcPr>
            <w:tcW w:w="40" w:type="dxa"/>
            <w:vAlign w:val="bottom"/>
          </w:tcPr>
          <w:p>
            <w:pPr>
              <w:spacing w:after="0"/>
              <w:rPr>
                <w:sz w:val="15"/>
                <w:szCs w:val="15"/>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7,995.7</w:t>
            </w:r>
          </w:p>
        </w:tc>
      </w:tr>
      <w:tr>
        <w:trPr>
          <w:trHeight w:val="26"/>
        </w:trPr>
        <w:tc>
          <w:tcPr>
            <w:tcW w:w="3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measured at net asset value</w:t>
            </w: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320.7</w:t>
            </w:r>
          </w:p>
        </w:tc>
      </w:t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8,316.4</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3"/>
        </w:trPr>
        <w:tc>
          <w:tcPr>
            <w:tcW w:w="36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r>
      <w:tr>
        <w:trPr>
          <w:trHeight w:val="34"/>
        </w:trPr>
        <w:tc>
          <w:tcPr>
            <w:tcW w:w="3680" w:type="dxa"/>
            <w:vAlign w:val="bottom"/>
          </w:tcPr>
          <w:p>
            <w:pPr>
              <w:spacing w:after="0"/>
              <w:rPr>
                <w:sz w:val="20"/>
                <w:szCs w:val="20"/>
                <w:color w:val="auto"/>
              </w:rPr>
            </w:pPr>
            <w:r>
              <w:rPr>
                <w:rFonts w:ascii="Times New Roman" w:cs="Times New Roman" w:eastAsia="Times New Roman" w:hAnsi="Times New Roman"/>
                <w:sz w:val="3"/>
                <w:szCs w:val="3"/>
                <w:color w:val="auto"/>
              </w:rPr>
              <w:t>Loans payable of Consolidated Funds</w:t>
            </w:r>
          </w:p>
        </w:tc>
        <w:tc>
          <w:tcPr>
            <w:tcW w:w="58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w:t>
            </w: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3"/>
                <w:szCs w:val="3"/>
                <w:b w:val="1"/>
                <w:bCs w:val="1"/>
                <w:color w:val="auto"/>
              </w:rPr>
              <w:t>6,809.1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3"/>
                <w:szCs w:val="3"/>
                <w:b w:val="1"/>
                <w:bCs w:val="1"/>
                <w:color w:val="auto"/>
              </w:rPr>
              <w:t>6,809.1</w:t>
            </w:r>
          </w:p>
        </w:tc>
      </w:tr>
      <w:tr>
        <w:trPr>
          <w:trHeight w:val="124"/>
        </w:trPr>
        <w:tc>
          <w:tcPr>
            <w:tcW w:w="3680" w:type="dxa"/>
            <w:vAlign w:val="bottom"/>
          </w:tcPr>
          <w:p>
            <w:pPr>
              <w:ind w:left="2180"/>
              <w:spacing w:after="0"/>
              <w:rPr>
                <w:sz w:val="20"/>
                <w:szCs w:val="20"/>
                <w:color w:val="auto"/>
              </w:rPr>
            </w:pPr>
            <w:r>
              <w:rPr>
                <w:rFonts w:ascii="Times New Roman" w:cs="Times New Roman" w:eastAsia="Times New Roman" w:hAnsi="Times New Roman"/>
                <w:sz w:val="10"/>
                <w:szCs w:val="10"/>
                <w:color w:val="auto"/>
              </w:rPr>
              <w:t>(4)(5)</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70"/>
        </w:trPr>
        <w:tc>
          <w:tcPr>
            <w:tcW w:w="3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2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5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0.6</w:t>
            </w:r>
          </w:p>
        </w:tc>
        <w:tc>
          <w:tcPr>
            <w:tcW w:w="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0.6</w:t>
            </w:r>
          </w:p>
        </w:tc>
      </w:tr>
      <w:tr>
        <w:trPr>
          <w:trHeight w:val="182"/>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0.6</w:t>
            </w:r>
          </w:p>
        </w:tc>
        <w:tc>
          <w:tcPr>
            <w:tcW w:w="4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6,809.1</w:t>
            </w:r>
          </w:p>
        </w:tc>
        <w:tc>
          <w:tcPr>
            <w:tcW w:w="40" w:type="dxa"/>
            <w:vAlign w:val="bottom"/>
          </w:tcPr>
          <w:p>
            <w:pPr>
              <w:spacing w:after="0"/>
              <w:rPr>
                <w:sz w:val="15"/>
                <w:szCs w:val="15"/>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6,809.7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1270</wp:posOffset>
            </wp:positionV>
            <wp:extent cx="286575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spacing w:after="0" w:line="5" w:lineRule="exact"/>
        <w:rPr>
          <w:sz w:val="20"/>
          <w:szCs w:val="20"/>
          <w:color w:val="auto"/>
        </w:rPr>
      </w:pPr>
    </w:p>
    <w:p>
      <w:pPr>
        <w:ind w:right="1720"/>
        <w:spacing w:after="0" w:line="226" w:lineRule="auto"/>
        <w:rPr>
          <w:sz w:val="20"/>
          <w:szCs w:val="20"/>
          <w:color w:val="auto"/>
        </w:rPr>
      </w:pPr>
      <w:r>
        <w:rPr>
          <w:rFonts w:ascii="Times New Roman" w:cs="Times New Roman" w:eastAsia="Times New Roman" w:hAnsi="Times New Roman"/>
          <w:sz w:val="14"/>
          <w:szCs w:val="14"/>
          <w:color w:val="auto"/>
        </w:rPr>
        <w:t>(1)This balance excludes $312.6 million of Investments of Consolidated Funds that are included in Investments measured at net asset value, which relate to certain consolidated investment fund of funds in the Company’s Global Investment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2333625</wp:posOffset>
            </wp:positionH>
            <wp:positionV relativeFrom="paragraph">
              <wp:posOffset>-184150</wp:posOffset>
            </wp:positionV>
            <wp:extent cx="28657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ind w:right="1860"/>
        <w:spacing w:after="0" w:line="214" w:lineRule="auto"/>
        <w:rPr>
          <w:sz w:val="20"/>
          <w:szCs w:val="20"/>
          <w:color w:val="auto"/>
        </w:rPr>
      </w:pPr>
      <w:r>
        <w:rPr>
          <w:rFonts w:ascii="Times New Roman" w:cs="Times New Roman" w:eastAsia="Times New Roman" w:hAnsi="Times New Roman"/>
          <w:sz w:val="14"/>
          <w:szCs w:val="14"/>
          <w:color w:val="auto"/>
        </w:rPr>
        <w:t>(2)This balance includes $441.9 million related to investments that have been bridged by the Company to investment funds and are accounted for as consolidated VIEs as of December 31, 2024.</w:t>
      </w:r>
    </w:p>
    <w:p>
      <w:pPr>
        <w:spacing w:after="0" w:line="1" w:lineRule="exact"/>
        <w:rPr>
          <w:sz w:val="20"/>
          <w:szCs w:val="20"/>
          <w:color w:val="auto"/>
        </w:rPr>
      </w:pPr>
    </w:p>
    <w:p>
      <w:pPr>
        <w:ind w:right="1900"/>
        <w:spacing w:after="0" w:line="214" w:lineRule="auto"/>
        <w:rPr>
          <w:sz w:val="20"/>
          <w:szCs w:val="20"/>
          <w:color w:val="auto"/>
        </w:rPr>
      </w:pPr>
      <w:r>
        <w:rPr>
          <w:rFonts w:ascii="Times New Roman" w:cs="Times New Roman" w:eastAsia="Times New Roman" w:hAnsi="Times New Roman"/>
          <w:sz w:val="14"/>
          <w:szCs w:val="14"/>
          <w:color w:val="auto"/>
        </w:rPr>
        <w:t xml:space="preserve">(3)The Level III balance excludes $55.4 million related to three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4"/>
          <w:szCs w:val="14"/>
          <w:i w:val="1"/>
          <w:iCs w:val="1"/>
          <w:color w:val="auto"/>
        </w:rPr>
        <w:t>Investments–Equity Securities</w:t>
      </w:r>
      <w:r>
        <w:rPr>
          <w:rFonts w:ascii="Times New Roman" w:cs="Times New Roman" w:eastAsia="Times New Roman" w:hAnsi="Times New Roman"/>
          <w:sz w:val="14"/>
          <w:szCs w:val="14"/>
          <w:color w:val="auto"/>
        </w:rPr>
        <w:t>. As a non-recurring fair value measurement, the fair value of these equity securities is excluded from the tabular Level III rollforward disclosures.</w:t>
      </w:r>
    </w:p>
    <w:p>
      <w:pPr>
        <w:spacing w:after="0" w:line="2" w:lineRule="exact"/>
        <w:rPr>
          <w:sz w:val="20"/>
          <w:szCs w:val="20"/>
          <w:color w:val="auto"/>
        </w:rPr>
      </w:pPr>
    </w:p>
    <w:p>
      <w:pPr>
        <w:ind w:right="1780"/>
        <w:spacing w:after="0" w:line="214" w:lineRule="auto"/>
        <w:rPr>
          <w:sz w:val="20"/>
          <w:szCs w:val="20"/>
          <w:color w:val="auto"/>
        </w:rPr>
      </w:pPr>
      <w:r>
        <w:rPr>
          <w:rFonts w:ascii="Times New Roman" w:cs="Times New Roman" w:eastAsia="Times New Roman" w:hAnsi="Times New Roman"/>
          <w:sz w:val="14"/>
          <w:szCs w:val="14"/>
          <w:color w:val="auto"/>
        </w:rPr>
        <w:t>(4)Senior and subordinated notes issued by CLO vehicles are valued based on the more observable fair value of the CLO financial assets, less (i) the fair value of any beneficial interest held by the Company and (ii) the carrying value of any beneficial interests that represent compensation for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(5)Loans payable of Consolidated Funds balance excludes a $55.1 million revolving credit balance.</w:t>
      </w:r>
    </w:p>
    <w:p>
      <w:pPr>
        <w:sectPr>
          <w:pgSz w:w="11900" w:h="16840" w:orient="portrait"/>
          <w:cols w:equalWidth="0" w:num="1">
            <w:col w:w="9400"/>
          </w:cols>
          <w:pgMar w:left="1060" w:top="1440" w:right="1440" w:bottom="1440" w:gutter="0" w:footer="0" w:header="0"/>
        </w:sectPr>
      </w:pPr>
    </w:p>
    <w:bookmarkStart w:id="145" w:name="page146"/>
    <w:bookmarkEnd w:id="145"/>
    <w:p>
      <w:pPr>
        <w:ind w:left="10"/>
        <w:spacing w:after="0"/>
        <w:rPr>
          <w:sz w:val="20"/>
          <w:szCs w:val="20"/>
          <w:color w:val="auto"/>
        </w:rPr>
      </w:pPr>
      <w:r>
        <w:rPr>
          <w:rFonts w:ascii="Times New Roman" w:cs="Times New Roman" w:eastAsia="Times New Roman" w:hAnsi="Times New Roman"/>
          <w:sz w:val="16"/>
          <w:szCs w:val="16"/>
          <w:color w:val="auto"/>
        </w:rPr>
        <w:t>178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10" w:right="2020"/>
        <w:spacing w:after="0" w:line="209" w:lineRule="auto"/>
        <w:rPr>
          <w:sz w:val="20"/>
          <w:szCs w:val="20"/>
          <w:color w:val="auto"/>
        </w:rPr>
      </w:pPr>
      <w:r>
        <w:rPr>
          <w:rFonts w:ascii="Times New Roman" w:cs="Times New Roman" w:eastAsia="Times New Roman" w:hAnsi="Times New Roman"/>
          <w:sz w:val="16"/>
          <w:szCs w:val="16"/>
          <w:color w:val="auto"/>
        </w:rPr>
        <w:t>The following table summarizes the Company’s assets and liabilities measured at fair value on a recurring basis by the above fair value hierarchy levels as of December 31, 2023:</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Level III</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6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680" w:type="dxa"/>
            <w:vAlign w:val="bottom"/>
          </w:tcPr>
          <w:p>
            <w:pPr>
              <w:spacing w:after="0"/>
              <w:rPr>
                <w:sz w:val="20"/>
                <w:szCs w:val="20"/>
                <w:color w:val="auto"/>
              </w:rPr>
            </w:pPr>
            <w:r>
              <w:rPr>
                <w:rFonts w:ascii="Times New Roman" w:cs="Times New Roman" w:eastAsia="Times New Roman" w:hAnsi="Times New Roman"/>
                <w:sz w:val="3"/>
                <w:szCs w:val="3"/>
                <w:color w:val="auto"/>
              </w:rPr>
              <w:t>Investments of Consolidated Funds  :</w:t>
            </w: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680" w:type="dxa"/>
            <w:vAlign w:val="bottom"/>
          </w:tcPr>
          <w:p>
            <w:pPr>
              <w:ind w:left="2040"/>
              <w:spacing w:after="0"/>
              <w:rPr>
                <w:sz w:val="20"/>
                <w:szCs w:val="20"/>
                <w:color w:val="auto"/>
              </w:rPr>
            </w:pPr>
            <w:r>
              <w:rPr>
                <w:rFonts w:ascii="Times New Roman" w:cs="Times New Roman" w:eastAsia="Times New Roman" w:hAnsi="Times New Roman"/>
                <w:sz w:val="10"/>
                <w:szCs w:val="10"/>
                <w:color w:val="auto"/>
              </w:rPr>
              <w:t>(1)</w:t>
            </w: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Equity securities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377.6</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3"/>
                <w:szCs w:val="3"/>
                <w:color w:val="auto"/>
              </w:rPr>
              <w:t>377.6</w:t>
            </w:r>
          </w:p>
        </w:tc>
        <w:tc>
          <w:tcPr>
            <w:tcW w:w="0" w:type="dxa"/>
            <w:vAlign w:val="bottom"/>
          </w:tcPr>
          <w:p>
            <w:pPr>
              <w:spacing w:after="0" w:line="20" w:lineRule="exact"/>
              <w:rPr>
                <w:sz w:val="1"/>
                <w:szCs w:val="1"/>
                <w:color w:val="auto"/>
              </w:rPr>
            </w:pPr>
          </w:p>
        </w:tc>
      </w:tr>
      <w:tr>
        <w:trPr>
          <w:trHeight w:val="124"/>
        </w:trPr>
        <w:tc>
          <w:tcPr>
            <w:tcW w:w="36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0"/>
                <w:szCs w:val="10"/>
                <w:color w:val="auto"/>
              </w:rPr>
              <w:t>(2)</w:t>
            </w: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6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Bonds</w:t>
            </w:r>
          </w:p>
        </w:tc>
        <w:tc>
          <w:tcPr>
            <w:tcW w:w="58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522.5</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522.5</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5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w w:val="99"/>
              </w:rPr>
              <w:t>5,862.1</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5,862.1</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w w:val="99"/>
              </w:rPr>
              <w:t>6,762.2</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6,762.2</w:t>
            </w:r>
          </w:p>
        </w:tc>
        <w:tc>
          <w:tcPr>
            <w:tcW w:w="0" w:type="dxa"/>
            <w:vAlign w:val="bottom"/>
          </w:tcPr>
          <w:p>
            <w:pPr>
              <w:spacing w:after="0"/>
              <w:rPr>
                <w:sz w:val="1"/>
                <w:szCs w:val="1"/>
                <w:color w:val="auto"/>
              </w:rPr>
            </w:pPr>
          </w:p>
        </w:tc>
      </w:tr>
      <w:tr>
        <w:trPr>
          <w:trHeight w:val="28"/>
        </w:trPr>
        <w:tc>
          <w:tcPr>
            <w:tcW w:w="3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CLOs and other:</w:t>
            </w: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58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532.6</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532.6</w:t>
            </w: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9"/>
                <w:szCs w:val="9"/>
                <w:color w:val="auto"/>
              </w:rPr>
              <w:t>(3)</w:t>
            </w:r>
          </w:p>
        </w:tc>
        <w:tc>
          <w:tcPr>
            <w:tcW w:w="5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38.7</w:t>
            </w: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42.8</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84.6</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166.1</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38.7</w:t>
            </w: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42.8</w:t>
            </w: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617.2</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698.7</w:t>
            </w:r>
          </w:p>
        </w:tc>
        <w:tc>
          <w:tcPr>
            <w:tcW w:w="0" w:type="dxa"/>
            <w:vAlign w:val="bottom"/>
          </w:tcPr>
          <w:p>
            <w:pPr>
              <w:spacing w:after="0"/>
              <w:rPr>
                <w:sz w:val="1"/>
                <w:szCs w:val="1"/>
                <w:color w:val="auto"/>
              </w:rPr>
            </w:pPr>
          </w:p>
        </w:tc>
      </w:tr>
      <w:tr>
        <w:trPr>
          <w:trHeight w:val="28"/>
        </w:trPr>
        <w:tc>
          <w:tcPr>
            <w:tcW w:w="3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Subtotal</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38.7</w:t>
            </w: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42.8</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w w:val="99"/>
              </w:rPr>
              <w:t>7,379.4</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7,460.9</w:t>
            </w: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measured at net asset value</w:t>
            </w:r>
          </w:p>
        </w:tc>
        <w:tc>
          <w:tcPr>
            <w:tcW w:w="5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502.0</w:t>
            </w:r>
          </w:p>
        </w:tc>
        <w:tc>
          <w:tcPr>
            <w:tcW w:w="0" w:type="dxa"/>
            <w:vAlign w:val="bottom"/>
          </w:tcPr>
          <w:p>
            <w:pPr>
              <w:spacing w:after="0"/>
              <w:rPr>
                <w:sz w:val="1"/>
                <w:szCs w:val="1"/>
                <w:color w:val="auto"/>
              </w:rPr>
            </w:pPr>
          </w:p>
        </w:tc>
      </w:tr>
      <w:tr>
        <w:trPr>
          <w:trHeight w:val="28"/>
        </w:trPr>
        <w:tc>
          <w:tcPr>
            <w:tcW w:w="36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7,962.9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Loans payable of Consolidated Funds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5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3"/>
                <w:szCs w:val="3"/>
                <w:color w:val="auto"/>
              </w:rPr>
              <w:t>6,298.6</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3"/>
                <w:szCs w:val="3"/>
                <w:color w:val="auto"/>
              </w:rPr>
              <w:t>$</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3"/>
                <w:szCs w:val="3"/>
                <w:color w:val="auto"/>
              </w:rPr>
              <w:t>6,298.6</w:t>
            </w:r>
          </w:p>
        </w:tc>
        <w:tc>
          <w:tcPr>
            <w:tcW w:w="0" w:type="dxa"/>
            <w:vAlign w:val="bottom"/>
          </w:tcPr>
          <w:p>
            <w:pPr>
              <w:spacing w:after="0" w:line="20" w:lineRule="exact"/>
              <w:rPr>
                <w:sz w:val="1"/>
                <w:szCs w:val="1"/>
                <w:color w:val="auto"/>
              </w:rPr>
            </w:pPr>
          </w:p>
        </w:tc>
      </w:tr>
      <w:tr>
        <w:trPr>
          <w:trHeight w:val="124"/>
        </w:trPr>
        <w:tc>
          <w:tcPr>
            <w:tcW w:w="36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0"/>
                <w:szCs w:val="10"/>
                <w:color w:val="auto"/>
              </w:rPr>
              <w:t>(4)(5)</w:t>
            </w:r>
          </w:p>
        </w:tc>
        <w:tc>
          <w:tcPr>
            <w:tcW w:w="5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68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w w:val="99"/>
              </w:rPr>
              <w:t>6,298.6</w:t>
            </w:r>
          </w:p>
        </w:tc>
        <w:tc>
          <w:tcPr>
            <w:tcW w:w="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6,298.6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2540</wp:posOffset>
            </wp:positionV>
            <wp:extent cx="29343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934335" cy="7620"/>
                    </a:xfrm>
                    <a:prstGeom prst="rect">
                      <a:avLst/>
                    </a:prstGeom>
                    <a:noFill/>
                  </pic:spPr>
                </pic:pic>
              </a:graphicData>
            </a:graphic>
          </wp:anchor>
        </w:drawing>
      </w:r>
    </w:p>
    <w:p>
      <w:pPr>
        <w:spacing w:after="0" w:line="7" w:lineRule="exact"/>
        <w:rPr>
          <w:sz w:val="20"/>
          <w:szCs w:val="20"/>
          <w:color w:val="auto"/>
        </w:rPr>
      </w:pPr>
    </w:p>
    <w:p>
      <w:pPr>
        <w:ind w:left="10" w:right="1720"/>
        <w:spacing w:after="0" w:line="226" w:lineRule="auto"/>
        <w:rPr>
          <w:sz w:val="20"/>
          <w:szCs w:val="20"/>
          <w:color w:val="auto"/>
        </w:rPr>
      </w:pPr>
      <w:r>
        <w:rPr>
          <w:rFonts w:ascii="Times New Roman" w:cs="Times New Roman" w:eastAsia="Times New Roman" w:hAnsi="Times New Roman"/>
          <w:sz w:val="14"/>
          <w:szCs w:val="14"/>
          <w:color w:val="auto"/>
        </w:rPr>
        <w:t>(1)This balance excludes $490.9 million of Investments of Consolidated Funds that are included in Investments measured at net asset value, which relate to certain consolidated investment fund of funds in the Company’s Global Investment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-184150</wp:posOffset>
            </wp:positionV>
            <wp:extent cx="29343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934335" cy="7620"/>
                    </a:xfrm>
                    <a:prstGeom prst="rect">
                      <a:avLst/>
                    </a:prstGeom>
                    <a:noFill/>
                  </pic:spPr>
                </pic:pic>
              </a:graphicData>
            </a:graphic>
          </wp:anchor>
        </w:drawing>
      </w:r>
    </w:p>
    <w:p>
      <w:pPr>
        <w:ind w:left="10" w:right="1860"/>
        <w:spacing w:after="0" w:line="215" w:lineRule="auto"/>
        <w:rPr>
          <w:sz w:val="20"/>
          <w:szCs w:val="20"/>
          <w:color w:val="auto"/>
        </w:rPr>
      </w:pPr>
      <w:r>
        <w:rPr>
          <w:rFonts w:ascii="Times New Roman" w:cs="Times New Roman" w:eastAsia="Times New Roman" w:hAnsi="Times New Roman"/>
          <w:sz w:val="14"/>
          <w:szCs w:val="14"/>
          <w:color w:val="auto"/>
        </w:rPr>
        <w:t>(2)This balance includes $322.0 million related to investments that have been bridged by the Company to investment funds and are accounted for as consolidated VIEs as of December 31, 2023</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left="10" w:right="1900"/>
        <w:spacing w:after="0" w:line="214" w:lineRule="auto"/>
        <w:rPr>
          <w:sz w:val="20"/>
          <w:szCs w:val="20"/>
          <w:color w:val="auto"/>
        </w:rPr>
      </w:pPr>
      <w:r>
        <w:rPr>
          <w:rFonts w:ascii="Times New Roman" w:cs="Times New Roman" w:eastAsia="Times New Roman" w:hAnsi="Times New Roman"/>
          <w:sz w:val="14"/>
          <w:szCs w:val="14"/>
          <w:color w:val="auto"/>
        </w:rPr>
        <w:t xml:space="preserve">(3)The Level III balance excludes $50.4 million related to three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4"/>
          <w:szCs w:val="14"/>
          <w:i w:val="1"/>
          <w:iCs w:val="1"/>
          <w:color w:val="auto"/>
        </w:rPr>
        <w:t>Investments–Equity Securities</w:t>
      </w:r>
      <w:r>
        <w:rPr>
          <w:rFonts w:ascii="Times New Roman" w:cs="Times New Roman" w:eastAsia="Times New Roman" w:hAnsi="Times New Roman"/>
          <w:sz w:val="14"/>
          <w:szCs w:val="14"/>
          <w:color w:val="auto"/>
        </w:rPr>
        <w:t>. As a non-recurring fair value measurement, the fair value of these equity securities is excluded from the tabular Level III rollforward disclosures.</w:t>
      </w:r>
    </w:p>
    <w:p>
      <w:pPr>
        <w:spacing w:after="0" w:line="2" w:lineRule="exact"/>
        <w:rPr>
          <w:sz w:val="20"/>
          <w:szCs w:val="20"/>
          <w:color w:val="auto"/>
        </w:rPr>
      </w:pPr>
    </w:p>
    <w:p>
      <w:pPr>
        <w:ind w:left="10" w:right="1900"/>
        <w:spacing w:after="0" w:line="214" w:lineRule="auto"/>
        <w:rPr>
          <w:sz w:val="20"/>
          <w:szCs w:val="20"/>
          <w:color w:val="auto"/>
        </w:rPr>
      </w:pPr>
      <w:r>
        <w:rPr>
          <w:rFonts w:ascii="Times New Roman" w:cs="Times New Roman" w:eastAsia="Times New Roman" w:hAnsi="Times New Roman"/>
          <w:sz w:val="14"/>
          <w:szCs w:val="14"/>
          <w:color w:val="auto"/>
        </w:rPr>
        <w:t>(4)Senior and subordinated notes issued by CLO vehicles are valued based on the more observable fair value of the CLO financial assets, less (i) the fair value of any beneficial interests held by the Company and (ii) the carrying value of any beneficial interests that represent compensation for services.</w:t>
      </w:r>
    </w:p>
    <w:p>
      <w:pPr>
        <w:spacing w:after="0" w:line="1" w:lineRule="exact"/>
        <w:rPr>
          <w:sz w:val="20"/>
          <w:szCs w:val="20"/>
          <w:color w:val="auto"/>
        </w:rPr>
      </w:pPr>
    </w:p>
    <w:p>
      <w:pPr>
        <w:ind w:left="10" w:right="1660" w:hanging="10"/>
        <w:spacing w:after="0" w:line="235" w:lineRule="auto"/>
        <w:tabs>
          <w:tab w:leader="none" w:pos="21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payable of Consolidated Funds balance excludes a $177.9 million revolving credit balance and $10.0 million of senior notes and subordinated notes, which are not measured at fair value.</w:t>
      </w:r>
    </w:p>
    <w:p>
      <w:pPr>
        <w:sectPr>
          <w:pgSz w:w="11900" w:h="16840" w:orient="portrait"/>
          <w:cols w:equalWidth="0" w:num="1">
            <w:col w:w="9410"/>
          </w:cols>
          <w:pgMar w:left="1050" w:top="11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179</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left="10" w:right="2440"/>
        <w:spacing w:after="0" w:line="222" w:lineRule="auto"/>
        <w:rPr>
          <w:sz w:val="20"/>
          <w:szCs w:val="20"/>
          <w:color w:val="auto"/>
        </w:rPr>
      </w:pPr>
      <w:r>
        <w:rPr>
          <w:rFonts w:ascii="Times New Roman" w:cs="Times New Roman" w:eastAsia="Times New Roman" w:hAnsi="Times New Roman"/>
          <w:sz w:val="16"/>
          <w:szCs w:val="16"/>
          <w:color w:val="auto"/>
        </w:rPr>
        <w:t>The changes in financial instruments measured at fair value for which the Company has used Level III inputs to determine fair value are as follows (Dollars in millions):</w:t>
      </w:r>
    </w:p>
    <w:p>
      <w:pPr>
        <w:sectPr>
          <w:pgSz w:w="11900" w:h="16840" w:orient="portrait"/>
          <w:cols w:equalWidth="0" w:num="1">
            <w:col w:w="9410"/>
          </w:cols>
          <w:pgMar w:left="1050" w:top="1171" w:right="1440" w:bottom="144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Deconsolidation of funds</w:t>
      </w:r>
      <w:r>
        <w:rPr>
          <w:rFonts w:ascii="Times New Roman" w:cs="Times New Roman" w:eastAsia="Times New Roman" w:hAnsi="Times New Roman"/>
          <w:sz w:val="8"/>
          <w:szCs w:val="8"/>
          <w:color w:val="auto"/>
        </w:rPr>
        <w:t>(1)</w:t>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Purchases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Sales and distributions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Settlements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Realized and unrealized gains (losses), net</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earnings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other comprehensive income</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55" w:lineRule="exact"/>
        <w:rPr>
          <w:sz w:val="20"/>
          <w:szCs w:val="20"/>
          <w:color w:val="auto"/>
        </w:rPr>
      </w:pPr>
    </w:p>
    <w:p>
      <w:pPr>
        <w:ind w:left="10"/>
        <w:spacing w:after="0" w:line="220" w:lineRule="auto"/>
        <w:rPr>
          <w:sz w:val="20"/>
          <w:szCs w:val="20"/>
          <w:color w:val="auto"/>
        </w:rPr>
      </w:pPr>
      <w:r>
        <w:rPr>
          <w:rFonts w:ascii="Times New Roman" w:cs="Times New Roman" w:eastAsia="Times New Roman" w:hAnsi="Times New Roman"/>
          <w:sz w:val="13"/>
          <w:szCs w:val="13"/>
          <w:color w:val="auto"/>
        </w:rPr>
        <w:t>Changes in unrealized gains (losses) included in earnings related to financial assets still held at the reporting date</w:t>
      </w:r>
    </w:p>
    <w:p>
      <w:pPr>
        <w:spacing w:after="0" w:line="57" w:lineRule="exact"/>
        <w:rPr>
          <w:sz w:val="20"/>
          <w:szCs w:val="20"/>
          <w:color w:val="auto"/>
        </w:rPr>
      </w:pPr>
    </w:p>
    <w:p>
      <w:pPr>
        <w:jc w:val="both"/>
        <w:ind w:left="10" w:right="80"/>
        <w:spacing w:after="0" w:line="220" w:lineRule="auto"/>
        <w:rPr>
          <w:sz w:val="20"/>
          <w:szCs w:val="20"/>
          <w:color w:val="auto"/>
        </w:rPr>
      </w:pPr>
      <w:r>
        <w:rPr>
          <w:rFonts w:ascii="Times New Roman" w:cs="Times New Roman" w:eastAsia="Times New Roman" w:hAnsi="Times New Roman"/>
          <w:sz w:val="13"/>
          <w:szCs w:val="13"/>
          <w:color w:val="auto"/>
        </w:rPr>
        <w:t>Changes in unrealized gains (losses) included in other comprehensive income related to financial assets still held at the reporting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Deconsolidation of funds</w:t>
      </w:r>
      <w:r>
        <w:rPr>
          <w:rFonts w:ascii="Times New Roman" w:cs="Times New Roman" w:eastAsia="Times New Roman" w:hAnsi="Times New Roman"/>
          <w:sz w:val="8"/>
          <w:szCs w:val="8"/>
          <w:color w:val="auto"/>
        </w:rPr>
        <w:t>(2)</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Purchases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Sales and distributions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Settlements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Realized and unrealized gains (losses), net</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earnings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other comprehensive income</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55" w:lineRule="exact"/>
        <w:rPr>
          <w:sz w:val="20"/>
          <w:szCs w:val="20"/>
          <w:color w:val="auto"/>
        </w:rPr>
      </w:pPr>
    </w:p>
    <w:p>
      <w:pPr>
        <w:ind w:left="10"/>
        <w:spacing w:after="0" w:line="220" w:lineRule="auto"/>
        <w:rPr>
          <w:sz w:val="20"/>
          <w:szCs w:val="20"/>
          <w:color w:val="auto"/>
        </w:rPr>
      </w:pPr>
      <w:r>
        <w:rPr>
          <w:rFonts w:ascii="Times New Roman" w:cs="Times New Roman" w:eastAsia="Times New Roman" w:hAnsi="Times New Roman"/>
          <w:sz w:val="13"/>
          <w:szCs w:val="13"/>
          <w:color w:val="auto"/>
        </w:rPr>
        <w:t>Changes in unrealized gains (losses) included in earnings related to financial assets still held at the reporting date</w:t>
      </w:r>
    </w:p>
    <w:p>
      <w:pPr>
        <w:spacing w:after="0" w:line="57" w:lineRule="exact"/>
        <w:rPr>
          <w:sz w:val="20"/>
          <w:szCs w:val="20"/>
          <w:color w:val="auto"/>
        </w:rPr>
      </w:pPr>
    </w:p>
    <w:p>
      <w:pPr>
        <w:jc w:val="both"/>
        <w:ind w:left="10" w:right="80"/>
        <w:spacing w:after="0" w:line="220" w:lineRule="auto"/>
        <w:rPr>
          <w:sz w:val="20"/>
          <w:szCs w:val="20"/>
          <w:color w:val="auto"/>
        </w:rPr>
      </w:pPr>
      <w:r>
        <w:rPr>
          <w:rFonts w:ascii="Times New Roman" w:cs="Times New Roman" w:eastAsia="Times New Roman" w:hAnsi="Times New Roman"/>
          <w:sz w:val="13"/>
          <w:szCs w:val="13"/>
          <w:color w:val="auto"/>
        </w:rPr>
        <w:t>Changes in unrealized gains (losses) included in other comprehensive income related to financial assets still held at the reporting date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 Year Ended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100" w:type="dxa"/>
            <w:vAlign w:val="bottom"/>
            <w:tcBorders>
              <w:top w:val="single" w:sz="8" w:color="auto"/>
            </w:tcBorders>
            <w:gridSpan w:val="7"/>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Investments of Consolidated Funds</w:t>
            </w: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gridSpan w:val="2"/>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CLOs</w:t>
            </w:r>
          </w:p>
        </w:tc>
        <w:tc>
          <w:tcPr>
            <w:tcW w:w="20" w:type="dxa"/>
            <w:vAlign w:val="bottom"/>
          </w:tcPr>
          <w:p>
            <w:pPr>
              <w:spacing w:after="0"/>
              <w:rPr>
                <w:sz w:val="5"/>
                <w:szCs w:val="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20" w:type="dxa"/>
            <w:vAlign w:val="bottom"/>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Equity</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Bonds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Loans</w:t>
            </w: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377.6</w:t>
            </w:r>
          </w:p>
        </w:tc>
        <w:tc>
          <w:tcPr>
            <w:tcW w:w="6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522.5</w:t>
            </w:r>
          </w:p>
        </w:tc>
        <w:tc>
          <w:tcPr>
            <w:tcW w:w="6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5,862.1</w:t>
            </w:r>
          </w:p>
        </w:tc>
        <w:tc>
          <w:tcPr>
            <w:tcW w:w="6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532.6</w:t>
            </w:r>
          </w:p>
        </w:tc>
        <w:tc>
          <w:tcPr>
            <w:tcW w:w="2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84.6</w:t>
            </w:r>
          </w:p>
        </w:tc>
        <w:tc>
          <w:tcPr>
            <w:tcW w:w="2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7,379.4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(34.1)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(1,219.5)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(1,251.3)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199.5</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335.3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6,867.6</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4.0</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36.5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7,442.9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(11.7)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(343.4)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(3,090.3)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(184.4)</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(10.0)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(3,639.8)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(1,882.8)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(1,884.4)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20" w:type="dxa"/>
            <w:vAlign w:val="bottom"/>
          </w:tcPr>
          <w:p>
            <w:pPr>
              <w:spacing w:after="0"/>
              <w:rPr>
                <w:sz w:val="24"/>
                <w:szCs w:val="24"/>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6.6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29.9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(26.0)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103.8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(28.7)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(183.9)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572.0</w:t>
            </w:r>
          </w:p>
        </w:tc>
        <w:tc>
          <w:tcPr>
            <w:tcW w:w="6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465.1</w:t>
            </w:r>
          </w:p>
        </w:tc>
        <w:tc>
          <w:tcPr>
            <w:tcW w:w="60" w:type="dxa"/>
            <w:vAlign w:val="bottom"/>
            <w:vMerge w:val="continue"/>
          </w:tcPr>
          <w:p>
            <w:pPr>
              <w:spacing w:after="0"/>
              <w:rPr>
                <w:sz w:val="13"/>
                <w:szCs w:val="13"/>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6,431.4</w:t>
            </w:r>
          </w:p>
        </w:tc>
        <w:tc>
          <w:tcPr>
            <w:tcW w:w="60" w:type="dxa"/>
            <w:vAlign w:val="bottom"/>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378.9</w:t>
            </w:r>
          </w:p>
        </w:tc>
        <w:tc>
          <w:tcPr>
            <w:tcW w:w="20" w:type="dxa"/>
            <w:vAlign w:val="bottom"/>
            <w:vMerge w:val="continue"/>
          </w:tcPr>
          <w:p>
            <w:pPr>
              <w:spacing w:after="0"/>
              <w:rPr>
                <w:sz w:val="13"/>
                <w:szCs w:val="13"/>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85.1</w:t>
            </w:r>
          </w:p>
        </w:tc>
        <w:tc>
          <w:tcPr>
            <w:tcW w:w="20" w:type="dxa"/>
            <w:vAlign w:val="bottom"/>
            <w:vMerge w:val="continue"/>
          </w:tcPr>
          <w:p>
            <w:pPr>
              <w:spacing w:after="0"/>
              <w:rPr>
                <w:sz w:val="13"/>
                <w:szCs w:val="13"/>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7,932.5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3.5</w:t>
            </w:r>
          </w:p>
        </w:tc>
        <w:tc>
          <w:tcPr>
            <w:tcW w:w="60" w:type="dxa"/>
            <w:vAlign w:val="bottom"/>
            <w:vMerge w:val="continue"/>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7.9</w:t>
            </w:r>
          </w:p>
        </w:tc>
        <w:tc>
          <w:tcPr>
            <w:tcW w:w="60" w:type="dxa"/>
            <w:vAlign w:val="bottom"/>
            <w:vMerge w:val="continue"/>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33.4</w:t>
            </w:r>
          </w:p>
        </w:tc>
        <w:tc>
          <w:tcPr>
            <w:tcW w:w="6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29.0</w:t>
            </w:r>
          </w:p>
        </w:tc>
        <w:tc>
          <w:tcPr>
            <w:tcW w:w="20" w:type="dxa"/>
            <w:vAlign w:val="bottom"/>
            <w:vMerge w:val="continue"/>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w:t>
            </w:r>
          </w:p>
        </w:tc>
        <w:tc>
          <w:tcPr>
            <w:tcW w:w="20" w:type="dxa"/>
            <w:vAlign w:val="bottom"/>
            <w:vMerge w:val="continue"/>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(115.7)</w:t>
            </w:r>
          </w:p>
        </w:tc>
        <w:tc>
          <w:tcPr>
            <w:tcW w:w="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80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Assets Year Ended December 31, 2023</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auto"/>
            </w:tcBorders>
            <w:gridSpan w:val="7"/>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2100" w:type="dxa"/>
            <w:vAlign w:val="bottom"/>
            <w:gridSpan w:val="7"/>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Investments of Consolidated Funds</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Investments</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CLOs</w:t>
            </w:r>
          </w:p>
        </w:tc>
        <w:tc>
          <w:tcPr>
            <w:tcW w:w="20" w:type="dxa"/>
            <w:vAlign w:val="bottom"/>
          </w:tcPr>
          <w:p>
            <w:pPr>
              <w:spacing w:after="0"/>
              <w:rPr>
                <w:sz w:val="5"/>
                <w:szCs w:val="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20" w:type="dxa"/>
            <w:vAlign w:val="bottom"/>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Equity</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Bonds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Loans</w:t>
            </w: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430.6</w:t>
            </w: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594.9</w:t>
            </w:r>
          </w:p>
        </w:tc>
        <w:tc>
          <w:tcPr>
            <w:tcW w:w="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5,352.9</w:t>
            </w:r>
          </w:p>
        </w:tc>
        <w:tc>
          <w:tcPr>
            <w:tcW w:w="6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526.1</w:t>
            </w:r>
          </w:p>
        </w:tc>
        <w:tc>
          <w:tcPr>
            <w:tcW w:w="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6,983.9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168.9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2,549.5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2,806.2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20" w:type="dxa"/>
            <w:vAlign w:val="bottom"/>
          </w:tcPr>
          <w:p>
            <w:pPr>
              <w:spacing w:after="0"/>
              <w:rPr>
                <w:sz w:val="24"/>
                <w:szCs w:val="24"/>
                <w:color w:val="auto"/>
              </w:rPr>
            </w:pP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182.7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43.4</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98.1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377.6</w:t>
            </w:r>
          </w:p>
        </w:tc>
        <w:tc>
          <w:tcPr>
            <w:tcW w:w="6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522.5</w:t>
            </w: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5,862.1</w:t>
            </w: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532.6</w:t>
            </w:r>
          </w:p>
        </w:tc>
        <w:tc>
          <w:tcPr>
            <w:tcW w:w="20" w:type="dxa"/>
            <w:vAlign w:val="bottom"/>
          </w:tcPr>
          <w:p>
            <w:pPr>
              <w:spacing w:after="0"/>
              <w:rPr>
                <w:sz w:val="13"/>
                <w:szCs w:val="13"/>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84.6</w:t>
            </w: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7,379.4</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60" w:type="dxa"/>
            <w:vAlign w:val="bottom"/>
          </w:tcPr>
          <w:p>
            <w:pPr>
              <w:spacing w:after="0"/>
              <w:rPr>
                <w:sz w:val="13"/>
                <w:szCs w:val="13"/>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13.8</w:t>
            </w: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131.5</w:t>
            </w:r>
          </w:p>
        </w:tc>
        <w:tc>
          <w:tcPr>
            <w:tcW w:w="60" w:type="dxa"/>
            <w:vAlign w:val="bottom"/>
          </w:tcPr>
          <w:p>
            <w:pPr>
              <w:spacing w:after="0"/>
              <w:rPr>
                <w:sz w:val="13"/>
                <w:szCs w:val="13"/>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43.3</w:t>
            </w:r>
          </w:p>
        </w:tc>
        <w:tc>
          <w:tcPr>
            <w:tcW w:w="20" w:type="dxa"/>
            <w:vAlign w:val="bottom"/>
          </w:tcPr>
          <w:p>
            <w:pPr>
              <w:spacing w:after="0"/>
              <w:rPr>
                <w:sz w:val="13"/>
                <w:szCs w:val="13"/>
                <w:color w:val="auto"/>
              </w:rPr>
            </w:pPr>
          </w:p>
        </w:tc>
        <w:tc>
          <w:tcPr>
            <w:tcW w:w="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178.1</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3"/>
        </w:trPr>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12.4</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93.4</w:t>
            </w:r>
          </w:p>
        </w:tc>
        <w:tc>
          <w:tcPr>
            <w:tcW w:w="6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-3775075</wp:posOffset>
            </wp:positionV>
            <wp:extent cx="5297170" cy="1295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29717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-3523615</wp:posOffset>
            </wp:positionV>
            <wp:extent cx="5297170" cy="1295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29717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-3263900</wp:posOffset>
            </wp:positionV>
            <wp:extent cx="5297170" cy="1295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29717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-3004820</wp:posOffset>
            </wp:positionV>
            <wp:extent cx="5297170" cy="1295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29717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-2745740</wp:posOffset>
            </wp:positionV>
            <wp:extent cx="5297170" cy="1295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29717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-2319020</wp:posOffset>
            </wp:positionV>
            <wp:extent cx="5297170" cy="297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297170" cy="29718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-1564640</wp:posOffset>
            </wp:positionV>
            <wp:extent cx="5312410" cy="1295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31241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-1305560</wp:posOffset>
            </wp:positionV>
            <wp:extent cx="5312410" cy="1295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31241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-1045845</wp:posOffset>
            </wp:positionV>
            <wp:extent cx="5312410" cy="129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31241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-786765</wp:posOffset>
            </wp:positionV>
            <wp:extent cx="5312410" cy="1295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31241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-527685</wp:posOffset>
            </wp:positionV>
            <wp:extent cx="5312410" cy="1295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312410" cy="12954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-100965</wp:posOffset>
            </wp:positionV>
            <wp:extent cx="5312410" cy="297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312410" cy="297180"/>
                    </a:xfrm>
                    <a:prstGeom prst="rect">
                      <a:avLst/>
                    </a:prstGeom>
                    <a:noFill/>
                  </pic:spPr>
                </pic:pic>
              </a:graphicData>
            </a:graphic>
          </wp:anchor>
        </w:drawing>
      </w:r>
    </w:p>
    <w:p>
      <w:pPr>
        <w:spacing w:after="0" w:line="365" w:lineRule="exact"/>
        <w:rPr>
          <w:sz w:val="20"/>
          <w:szCs w:val="20"/>
          <w:color w:val="auto"/>
        </w:rPr>
      </w:pPr>
    </w:p>
    <w:p>
      <w:pPr>
        <w:sectPr>
          <w:pgSz w:w="11900" w:h="16840" w:orient="portrait"/>
          <w:cols w:equalWidth="0" w:num="2">
            <w:col w:w="2630" w:space="180"/>
            <w:col w:w="6600"/>
          </w:cols>
          <w:pgMar w:left="1050" w:top="556" w:right="1440" w:bottom="152" w:gutter="0" w:footer="0" w:header="0"/>
        </w:sectPr>
      </w:pPr>
    </w:p>
    <w:p>
      <w:pPr>
        <w:ind w:left="190" w:hanging="190"/>
        <w:spacing w:after="0"/>
        <w:tabs>
          <w:tab w:leader="none" w:pos="19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deconsolidation of four funds during the year ended December 31, 2024.</w:t>
      </w:r>
    </w:p>
    <w:p>
      <w:pPr>
        <w:ind w:left="190" w:hanging="190"/>
        <w:spacing w:after="0"/>
        <w:tabs>
          <w:tab w:leader="none" w:pos="19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the deconsolidation of three funds during the year ended December 31, 2023.</w:t>
      </w:r>
    </w:p>
    <w:p>
      <w:pPr>
        <w:sectPr>
          <w:pgSz w:w="11900" w:h="16840" w:orient="portrait"/>
          <w:cols w:equalWidth="0" w:num="1">
            <w:col w:w="9410"/>
          </w:cols>
          <w:pgMar w:left="1050" w:top="556"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180</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039870" cy="1295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4039870" cy="129540"/>
                    </a:xfrm>
                    <a:prstGeom prst="rect">
                      <a:avLst/>
                    </a:prstGeom>
                    <a:noFill/>
                  </pic:spPr>
                </pic:pic>
              </a:graphicData>
            </a:graphic>
          </wp:anchor>
        </w:drawing>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Deconsolidation of funds</w:t>
      </w:r>
      <w:r>
        <w:rPr>
          <w:rFonts w:ascii="Times New Roman" w:cs="Times New Roman" w:eastAsia="Times New Roman" w:hAnsi="Times New Roman"/>
          <w:sz w:val="8"/>
          <w:szCs w:val="8"/>
          <w:color w:val="auto"/>
        </w:rPr>
        <w:t>(1)</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039870" cy="1295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4039870" cy="129540"/>
                    </a:xfrm>
                    <a:prstGeom prst="rect">
                      <a:avLst/>
                    </a:prstGeom>
                    <a:noFill/>
                  </pic:spPr>
                </pic:pic>
              </a:graphicData>
            </a:graphic>
          </wp:anchor>
        </w:drawing>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Paydowns</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039870" cy="1295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4039870" cy="129540"/>
                    </a:xfrm>
                    <a:prstGeom prst="rect">
                      <a:avLst/>
                    </a:prstGeom>
                    <a:noFill/>
                  </pic:spPr>
                </pic:pic>
              </a:graphicData>
            </a:graphic>
          </wp:anchor>
        </w:drawing>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Realized and unrealized (gains) losses, net</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039870" cy="1295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4039870" cy="129540"/>
                    </a:xfrm>
                    <a:prstGeom prst="rect">
                      <a:avLst/>
                    </a:prstGeom>
                    <a:noFill/>
                  </pic:spPr>
                </pic:pic>
              </a:graphicData>
            </a:graphic>
          </wp:anchor>
        </w:drawing>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Included in other comprehensive income</w:t>
      </w:r>
    </w:p>
    <w:p>
      <w:pPr>
        <w:spacing w:after="0" w:line="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039870" cy="1295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4039870" cy="129540"/>
                    </a:xfrm>
                    <a:prstGeom prst="rect">
                      <a:avLst/>
                    </a:prstGeom>
                    <a:noFill/>
                  </pic:spPr>
                </pic:pic>
              </a:graphicData>
            </a:graphic>
          </wp:anchor>
        </w:drawing>
      </w:r>
    </w:p>
    <w:p>
      <w:pPr>
        <w:spacing w:after="0" w:line="35" w:lineRule="exact"/>
        <w:rPr>
          <w:sz w:val="20"/>
          <w:szCs w:val="20"/>
          <w:color w:val="auto"/>
        </w:rPr>
      </w:pPr>
    </w:p>
    <w:p>
      <w:pPr>
        <w:ind w:left="10" w:right="120"/>
        <w:spacing w:after="0" w:line="234" w:lineRule="auto"/>
        <w:rPr>
          <w:sz w:val="20"/>
          <w:szCs w:val="20"/>
          <w:color w:val="auto"/>
        </w:rPr>
      </w:pPr>
      <w:r>
        <w:rPr>
          <w:rFonts w:ascii="Times New Roman" w:cs="Times New Roman" w:eastAsia="Times New Roman" w:hAnsi="Times New Roman"/>
          <w:sz w:val="13"/>
          <w:szCs w:val="13"/>
          <w:color w:val="auto"/>
        </w:rPr>
        <w:t>Changes in unrealized (gains) losses included in earnings related to financial liabilities still held at the reporting date</w:t>
      </w:r>
    </w:p>
    <w:p>
      <w:pPr>
        <w:spacing w:after="0" w:line="45" w:lineRule="exact"/>
        <w:rPr>
          <w:sz w:val="20"/>
          <w:szCs w:val="20"/>
          <w:color w:val="auto"/>
        </w:rPr>
      </w:pPr>
    </w:p>
    <w:p>
      <w:pPr>
        <w:ind w:left="10"/>
        <w:spacing w:after="0" w:line="234" w:lineRule="auto"/>
        <w:rPr>
          <w:sz w:val="20"/>
          <w:szCs w:val="20"/>
          <w:color w:val="auto"/>
        </w:rPr>
      </w:pPr>
      <w:r>
        <w:rPr>
          <w:rFonts w:ascii="Times New Roman" w:cs="Times New Roman" w:eastAsia="Times New Roman" w:hAnsi="Times New Roman"/>
          <w:sz w:val="13"/>
          <w:szCs w:val="13"/>
          <w:color w:val="auto"/>
        </w:rPr>
        <w:t>Changes in unrealized (gains) losses included in other comprehensive income related to financial liabilities still held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4039870" cy="2133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4039870" cy="213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Financial Liabilities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Loans Payable of Consolidated Funds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top w:val="single" w:sz="8" w:color="auto"/>
            </w:tcBorders>
          </w:tcPr>
          <w:p>
            <w:pPr>
              <w:spacing w:after="0"/>
              <w:rPr>
                <w:sz w:val="17"/>
                <w:szCs w:val="17"/>
                <w:color w:val="auto"/>
              </w:rPr>
            </w:pPr>
          </w:p>
        </w:tc>
      </w:tr>
      <w:tr>
        <w:trPr>
          <w:trHeight w:val="174"/>
        </w:trPr>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6,298.6</w:t>
            </w:r>
          </w:p>
        </w:tc>
        <w:tc>
          <w:tcPr>
            <w:tcW w:w="60" w:type="dxa"/>
            <w:vAlign w:val="bottom"/>
          </w:tcPr>
          <w:p>
            <w:pPr>
              <w:spacing w:after="0"/>
              <w:rPr>
                <w:sz w:val="15"/>
                <w:szCs w:val="15"/>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5,491.6</w:t>
            </w:r>
          </w:p>
        </w:tc>
      </w:tr>
      <w:tr>
        <w:trPr>
          <w:trHeight w:val="178"/>
        </w:trPr>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(1,269.3)</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r>
      <w:tr>
        <w:trPr>
          <w:trHeight w:val="204"/>
        </w:trPr>
        <w:tc>
          <w:tcPr>
            <w:tcW w:w="4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7,006.0</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903.0</w:t>
            </w:r>
          </w:p>
        </w:tc>
      </w:tr>
      <w:tr>
        <w:trPr>
          <w:trHeight w:val="204"/>
        </w:trPr>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(2,101.8)</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w:t>
            </w:r>
          </w:p>
        </w:tc>
      </w:tr>
      <w:tr>
        <w:trPr>
          <w:trHeight w:val="204"/>
        </w:trPr>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(2,986.7)</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r>
      <w:tr>
        <w:trPr>
          <w:trHeight w:val="408"/>
        </w:trPr>
        <w:tc>
          <w:tcPr>
            <w:tcW w:w="480" w:type="dxa"/>
            <w:vAlign w:val="bottom"/>
          </w:tcPr>
          <w:p>
            <w:pPr>
              <w:spacing w:after="0"/>
              <w:rPr>
                <w:sz w:val="24"/>
                <w:szCs w:val="24"/>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72.0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239.7</w:t>
            </w:r>
          </w:p>
        </w:tc>
      </w:tr>
      <w:tr>
        <w:trPr>
          <w:trHeight w:val="204"/>
        </w:trPr>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(209.7)</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114.7</w:t>
            </w:r>
          </w:p>
        </w:tc>
      </w:tr>
      <w:tr>
        <w:trPr>
          <w:trHeight w:val="44"/>
        </w:trPr>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r>
      <w:tr>
        <w:trPr>
          <w:trHeight w:val="160"/>
        </w:trPr>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6,809.1</w:t>
            </w:r>
          </w:p>
        </w:tc>
        <w:tc>
          <w:tcPr>
            <w:tcW w:w="6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6,298.6</w:t>
            </w:r>
          </w:p>
        </w:tc>
      </w:tr>
      <w:tr>
        <w:trPr>
          <w:trHeight w:val="20"/>
        </w:trPr>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2"/>
        </w:trPr>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86.4</w:t>
            </w:r>
          </w:p>
        </w:tc>
        <w:tc>
          <w:tcPr>
            <w:tcW w:w="60" w:type="dxa"/>
            <w:vAlign w:val="bottom"/>
          </w:tcPr>
          <w:p>
            <w:pPr>
              <w:spacing w:after="0"/>
              <w:rPr>
                <w:sz w:val="14"/>
                <w:szCs w:val="14"/>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250.1</w:t>
            </w:r>
          </w:p>
        </w:tc>
      </w:tr>
      <w:tr>
        <w:trPr>
          <w:trHeight w:val="298"/>
        </w:trPr>
        <w:tc>
          <w:tcPr>
            <w:tcW w:w="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(254.2)</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112.4</w:t>
            </w:r>
          </w:p>
        </w:tc>
      </w:tr>
    </w:tbl>
    <w:p>
      <w:pPr>
        <w:spacing w:after="0" w:line="139" w:lineRule="exact"/>
        <w:rPr>
          <w:sz w:val="20"/>
          <w:szCs w:val="20"/>
          <w:color w:val="auto"/>
        </w:rPr>
      </w:pPr>
    </w:p>
    <w:p>
      <w:pPr>
        <w:sectPr>
          <w:pgSz w:w="11900" w:h="16840" w:orient="portrait"/>
          <w:cols w:equalWidth="0" w:num="2">
            <w:col w:w="3690" w:space="160"/>
            <w:col w:w="5560"/>
          </w:cols>
          <w:pgMar w:left="1050" w:top="556" w:right="1440" w:bottom="152" w:gutter="0" w:footer="0" w:header="0"/>
          <w:type w:val="continuous"/>
        </w:sectPr>
      </w:pPr>
    </w:p>
    <w:p>
      <w:pPr>
        <w:ind w:left="10"/>
        <w:spacing w:after="0"/>
        <w:rPr>
          <w:sz w:val="20"/>
          <w:szCs w:val="20"/>
          <w:color w:val="auto"/>
        </w:rPr>
      </w:pPr>
      <w:r>
        <w:rPr>
          <w:rFonts w:ascii="Times New Roman" w:cs="Times New Roman" w:eastAsia="Times New Roman" w:hAnsi="Times New Roman"/>
          <w:sz w:val="13"/>
          <w:szCs w:val="13"/>
          <w:color w:val="auto"/>
        </w:rPr>
        <w:t>(1) As a result of the deconsolidation of four funds during the year ended December 31, 2024.</w:t>
      </w:r>
    </w:p>
    <w:p>
      <w:pPr>
        <w:ind w:left="10"/>
        <w:spacing w:after="0" w:line="203" w:lineRule="auto"/>
        <w:rPr>
          <w:sz w:val="20"/>
          <w:szCs w:val="20"/>
          <w:color w:val="auto"/>
        </w:rPr>
      </w:pPr>
      <w:r>
        <w:rPr>
          <w:rFonts w:ascii="Times New Roman" w:cs="Times New Roman" w:eastAsia="Times New Roman" w:hAnsi="Times New Roman"/>
          <w:sz w:val="16"/>
          <w:szCs w:val="16"/>
          <w:color w:val="auto"/>
        </w:rPr>
        <w:t>Realized and unrealized gains and losses included in earnings for Level III investments for investments in CLOs and</w:t>
      </w:r>
    </w:p>
    <w:p>
      <w:pPr>
        <w:ind w:left="10" w:right="1600"/>
        <w:spacing w:after="0" w:line="203" w:lineRule="auto"/>
        <w:rPr>
          <w:sz w:val="20"/>
          <w:szCs w:val="20"/>
          <w:color w:val="auto"/>
        </w:rPr>
      </w:pPr>
      <w:r>
        <w:rPr>
          <w:rFonts w:ascii="Times New Roman" w:cs="Times New Roman" w:eastAsia="Times New Roman" w:hAnsi="Times New Roman"/>
          <w:sz w:val="16"/>
          <w:szCs w:val="16"/>
          <w:color w:val="auto"/>
        </w:rPr>
        <w:t>other investments are included in investment income (loss), and such gains and losses for investments of Consolidated Funds and loans payable of the Consolidated Funds are included in net investment gains (losses) of Consolidated Funds in the consolidated statements of operations.</w:t>
      </w:r>
    </w:p>
    <w:p>
      <w:pPr>
        <w:spacing w:after="0" w:line="1" w:lineRule="exact"/>
        <w:rPr>
          <w:sz w:val="20"/>
          <w:szCs w:val="20"/>
          <w:color w:val="auto"/>
        </w:rPr>
      </w:pPr>
    </w:p>
    <w:p>
      <w:pPr>
        <w:ind w:left="10" w:right="2020"/>
        <w:spacing w:after="0" w:line="222" w:lineRule="auto"/>
        <w:rPr>
          <w:sz w:val="20"/>
          <w:szCs w:val="20"/>
          <w:color w:val="auto"/>
        </w:rPr>
      </w:pPr>
      <w:r>
        <w:rPr>
          <w:rFonts w:ascii="Times New Roman" w:cs="Times New Roman" w:eastAsia="Times New Roman" w:hAnsi="Times New Roman"/>
          <w:sz w:val="16"/>
          <w:szCs w:val="16"/>
          <w:color w:val="auto"/>
        </w:rPr>
        <w:t>Gains and losses included in other comprehensive income for all Level III financial asset and liabilities are included in accumulated other comprehensive loss and non-controlling interests in consolidated entities.</w:t>
      </w:r>
    </w:p>
    <w:p>
      <w:pPr>
        <w:sectPr>
          <w:pgSz w:w="11900" w:h="16840" w:orient="portrait"/>
          <w:cols w:equalWidth="0" w:num="1">
            <w:col w:w="9410"/>
          </w:cols>
          <w:pgMar w:left="1050" w:top="556" w:right="1440" w:bottom="152" w:gutter="0" w:footer="0" w:header="0"/>
          <w:type w:val="continuous"/>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2200"/>
        <w:spacing w:after="0" w:line="222" w:lineRule="auto"/>
        <w:rPr>
          <w:sz w:val="20"/>
          <w:szCs w:val="20"/>
          <w:color w:val="auto"/>
        </w:rPr>
      </w:pPr>
      <w:r>
        <w:rPr>
          <w:rFonts w:ascii="Times New Roman" w:cs="Times New Roman" w:eastAsia="Times New Roman" w:hAnsi="Times New Roman"/>
          <w:sz w:val="16"/>
          <w:szCs w:val="16"/>
          <w:color w:val="auto"/>
        </w:rPr>
        <w:t>The following table summarizes quantitative information about the Company’s Level III inputs as of December 31, 2024:</w:t>
      </w:r>
    </w:p>
    <w:p>
      <w:pPr>
        <w:sectPr>
          <w:pgSz w:w="11900" w:h="16840" w:orient="portrait"/>
          <w:cols w:equalWidth="0" w:num="1">
            <w:col w:w="9400"/>
          </w:cols>
          <w:pgMar w:left="1060" w:top="1440"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Impact to</w:t>
            </w: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from</w:t>
            </w:r>
          </w:p>
        </w:tc>
        <w:tc>
          <w:tcPr>
            <w:tcW w:w="0" w:type="dxa"/>
            <w:vAlign w:val="bottom"/>
          </w:tcPr>
          <w:p>
            <w:pPr>
              <w:spacing w:after="0"/>
              <w:rPr>
                <w:sz w:val="1"/>
                <w:szCs w:val="1"/>
                <w:color w:val="auto"/>
              </w:rPr>
            </w:pPr>
          </w:p>
        </w:tc>
      </w:tr>
      <w:tr>
        <w:trPr>
          <w:trHeight w:val="120"/>
        </w:trPr>
        <w:tc>
          <w:tcPr>
            <w:tcW w:w="17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Pr>
          <w:p>
            <w:pPr>
              <w:spacing w:after="0"/>
              <w:rPr>
                <w:sz w:val="10"/>
                <w:szCs w:val="10"/>
                <w:color w:val="auto"/>
              </w:rPr>
            </w:pPr>
          </w:p>
        </w:tc>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20" w:type="dxa"/>
            <w:vAlign w:val="bottom"/>
          </w:tcPr>
          <w:p>
            <w:pPr>
              <w:spacing w:after="0"/>
              <w:rPr>
                <w:sz w:val="10"/>
                <w:szCs w:val="10"/>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Increase in</w:t>
            </w:r>
          </w:p>
        </w:tc>
        <w:tc>
          <w:tcPr>
            <w:tcW w:w="0" w:type="dxa"/>
            <w:vAlign w:val="bottom"/>
          </w:tcPr>
          <w:p>
            <w:pPr>
              <w:spacing w:after="0"/>
              <w:rPr>
                <w:sz w:val="1"/>
                <w:szCs w:val="1"/>
                <w:color w:val="auto"/>
              </w:rPr>
            </w:pPr>
          </w:p>
        </w:tc>
      </w:tr>
      <w:tr>
        <w:trPr>
          <w:trHeight w:val="174"/>
        </w:trPr>
        <w:tc>
          <w:tcPr>
            <w:tcW w:w="17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Input</w:t>
            </w:r>
          </w:p>
        </w:tc>
        <w:tc>
          <w:tcPr>
            <w:tcW w:w="0" w:type="dxa"/>
            <w:vAlign w:val="bottom"/>
          </w:tcPr>
          <w:p>
            <w:pPr>
              <w:spacing w:after="0"/>
              <w:rPr>
                <w:sz w:val="1"/>
                <w:szCs w:val="1"/>
                <w:color w:val="auto"/>
              </w:rPr>
            </w:pPr>
          </w:p>
        </w:tc>
      </w:tr>
      <w:tr>
        <w:trPr>
          <w:trHeight w:val="30"/>
        </w:trPr>
        <w:tc>
          <w:tcPr>
            <w:tcW w:w="1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Investments of Consolidated</w:t>
            </w: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Funds:</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3.9</w:t>
            </w:r>
          </w:p>
        </w:tc>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Consensus Pricing</w:t>
            </w:r>
          </w:p>
        </w:tc>
        <w:tc>
          <w:tcPr>
            <w:tcW w:w="20" w:type="dxa"/>
            <w:vAlign w:val="bottom"/>
            <w:shd w:val="clear" w:color="auto" w:fill="CCEEFF"/>
          </w:tcPr>
          <w:p>
            <w:pPr>
              <w:spacing w:after="0"/>
              <w:rPr>
                <w:sz w:val="16"/>
                <w:szCs w:val="16"/>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Indicative Quotes ($ per share)</w:t>
            </w: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0.00 - 112.17 (0.01)</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485.0</w:t>
            </w:r>
          </w:p>
        </w:tc>
        <w:tc>
          <w:tcPr>
            <w:tcW w:w="2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2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 - 13% (11%)</w:t>
            </w: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1"/>
        </w:trPr>
        <w:tc>
          <w:tcPr>
            <w:tcW w:w="17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Terminal Growth Rate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- 7% (6%)</w:t>
            </w: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Comparable Multiple</w:t>
            </w:r>
          </w:p>
        </w:tc>
        <w:tc>
          <w:tcPr>
            <w:tcW w:w="2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EBITDA Multiple</w:t>
            </w:r>
          </w:p>
        </w:tc>
        <w:tc>
          <w:tcPr>
            <w:tcW w:w="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7.7x - 23.2x (12.8x)</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7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TCF Multiple</w:t>
            </w:r>
          </w:p>
        </w:tc>
        <w:tc>
          <w:tcPr>
            <w:tcW w:w="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26.0x - 26.0x (26.0x)</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38.2</w:t>
            </w:r>
          </w:p>
        </w:tc>
        <w:tc>
          <w:tcPr>
            <w:tcW w:w="2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2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14% - 34% (18%)</w:t>
            </w: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1"/>
        </w:trPr>
        <w:tc>
          <w:tcPr>
            <w:tcW w:w="17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Constant Prepayment Rate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- 16% (11%)</w:t>
            </w: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Constant Default Rate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- 4% (2%)</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7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Recovery Rate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- 40% (17%)</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44.9</w:t>
            </w:r>
          </w:p>
        </w:tc>
        <w:tc>
          <w:tcPr>
            <w:tcW w:w="2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(1)</w:t>
            </w:r>
          </w:p>
        </w:tc>
        <w:tc>
          <w:tcPr>
            <w:tcW w:w="2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61"/>
        </w:trPr>
        <w:tc>
          <w:tcPr>
            <w:tcW w:w="1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Bonds</w:t>
            </w:r>
          </w:p>
        </w:tc>
        <w:tc>
          <w:tcPr>
            <w:tcW w:w="3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465.1</w:t>
            </w:r>
          </w:p>
        </w:tc>
        <w:tc>
          <w:tcPr>
            <w:tcW w:w="2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Consensus Pricing</w:t>
            </w:r>
          </w:p>
        </w:tc>
        <w:tc>
          <w:tcPr>
            <w:tcW w:w="2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30 - 103 (93)</w:t>
            </w: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6,408.2</w:t>
            </w:r>
          </w:p>
        </w:tc>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Consensus Pricing</w:t>
            </w:r>
          </w:p>
        </w:tc>
        <w:tc>
          <w:tcPr>
            <w:tcW w:w="20" w:type="dxa"/>
            <w:vAlign w:val="bottom"/>
            <w:shd w:val="clear" w:color="auto" w:fill="CCEEFF"/>
          </w:tcPr>
          <w:p>
            <w:pPr>
              <w:spacing w:after="0"/>
              <w:rPr>
                <w:sz w:val="17"/>
                <w:szCs w:val="17"/>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0 - 105 (97)</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10.2</w:t>
            </w:r>
          </w:p>
        </w:tc>
        <w:tc>
          <w:tcPr>
            <w:tcW w:w="20" w:type="dxa"/>
            <w:vAlign w:val="bottom"/>
          </w:tcPr>
          <w:p>
            <w:pPr>
              <w:spacing w:after="0"/>
              <w:rPr>
                <w:sz w:val="15"/>
                <w:szCs w:val="15"/>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2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Rates</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- 19% (18%)</w:t>
            </w: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201"/>
        </w:trPr>
        <w:tc>
          <w:tcPr>
            <w:tcW w:w="1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6.4</w:t>
            </w:r>
          </w:p>
        </w:tc>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20" w:type="dxa"/>
            <w:vAlign w:val="bottom"/>
            <w:shd w:val="clear" w:color="auto" w:fill="CCEEFF"/>
          </w:tcPr>
          <w:p>
            <w:pPr>
              <w:spacing w:after="0"/>
              <w:rPr>
                <w:sz w:val="17"/>
                <w:szCs w:val="17"/>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16% - 16% (16%)</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Constant Prepayment Rate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- 14% (11%)</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7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Constant Default Rate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- 1% (1%)</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Recovery Rate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0%</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- 0% (0%)</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bl>
    <w:p>
      <w:pPr>
        <w:spacing w:after="0" w:line="221" w:lineRule="auto"/>
        <w:rPr>
          <w:sz w:val="20"/>
          <w:szCs w:val="20"/>
          <w:color w:val="auto"/>
        </w:rPr>
      </w:pPr>
      <w:r>
        <w:rPr>
          <w:rFonts w:ascii="Times New Roman" w:cs="Times New Roman" w:eastAsia="Times New Roman" w:hAnsi="Times New Roman"/>
          <w:sz w:val="16"/>
          <w:szCs w:val="16"/>
          <w:color w:val="auto"/>
        </w:rPr>
        <w:t>182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2"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520"/>
        <w:spacing w:after="0" w:line="214" w:lineRule="auto"/>
        <w:rPr>
          <w:sz w:val="20"/>
          <w:szCs w:val="20"/>
          <w:color w:val="auto"/>
        </w:rPr>
      </w:pPr>
      <w:r>
        <w:rPr>
          <w:rFonts w:ascii="Times New Roman" w:cs="Times New Roman" w:eastAsia="Times New Roman" w:hAnsi="Times New Roman"/>
          <w:sz w:val="14"/>
          <w:szCs w:val="14"/>
          <w:color w:val="auto"/>
        </w:rPr>
        <w:t>(2)The valuation technique for the investment in BDC preferred shares changed during the fiscal year ended December 31, 2024 due to a proposed merger between CSL and another Carlyle-advised BDC (see Note 9, Related Party Transactions, for more information) .</w:t>
      </w:r>
    </w:p>
    <w:p>
      <w:pPr>
        <w:spacing w:after="0" w:line="1" w:lineRule="exact"/>
        <w:rPr>
          <w:sz w:val="20"/>
          <w:szCs w:val="20"/>
          <w:color w:val="auto"/>
        </w:rPr>
      </w:pPr>
    </w:p>
    <w:p>
      <w:pPr>
        <w:ind w:right="1340"/>
        <w:spacing w:after="0" w:line="228" w:lineRule="auto"/>
        <w:rPr>
          <w:sz w:val="20"/>
          <w:szCs w:val="20"/>
          <w:color w:val="auto"/>
        </w:rPr>
      </w:pPr>
      <w:r>
        <w:rPr>
          <w:rFonts w:ascii="Times New Roman" w:cs="Times New Roman" w:eastAsia="Times New Roman" w:hAnsi="Times New Roman"/>
          <w:sz w:val="14"/>
          <w:szCs w:val="14"/>
          <w:color w:val="auto"/>
        </w:rPr>
        <w:t>(3)Senior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ectPr>
          <w:pgSz w:w="11900" w:h="16840" w:orient="portrait"/>
          <w:cols w:equalWidth="0" w:num="1">
            <w:col w:w="9400"/>
          </w:cols>
          <w:pgMar w:left="1060" w:top="540" w:right="1440"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2200"/>
        <w:spacing w:after="0" w:line="209" w:lineRule="auto"/>
        <w:rPr>
          <w:sz w:val="20"/>
          <w:szCs w:val="20"/>
          <w:color w:val="auto"/>
        </w:rPr>
      </w:pPr>
      <w:r>
        <w:rPr>
          <w:rFonts w:ascii="Times New Roman" w:cs="Times New Roman" w:eastAsia="Times New Roman" w:hAnsi="Times New Roman"/>
          <w:sz w:val="16"/>
          <w:szCs w:val="16"/>
          <w:color w:val="auto"/>
        </w:rPr>
        <w:t>The following table summarizes quantitative information about the Company’s Level III inputs as of December 31, 2023:</w:t>
      </w:r>
    </w:p>
    <w:tbl>
      <w:tblPr>
        <w:tblLayout w:type="fixed"/>
        <w:tblInd w:w="0" w:type="dxa"/>
        <w:tblCellMar>
          <w:top w:w="0" w:type="dxa"/>
          <w:left w:w="0" w:type="dxa"/>
          <w:bottom w:w="0" w:type="dxa"/>
          <w:right w:w="0" w:type="dxa"/>
        </w:tblCellMar>
      </w:tblPr>
      <w:tr>
        <w:trPr>
          <w:trHeight w:val="119"/>
        </w:trPr>
        <w:tc>
          <w:tcPr>
            <w:tcW w:w="178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Fair Value at</w:t>
            </w: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Range</w:t>
            </w:r>
          </w:p>
        </w:tc>
        <w:tc>
          <w:tcPr>
            <w:tcW w:w="20" w:type="dxa"/>
            <w:vAlign w:val="bottom"/>
          </w:tcPr>
          <w:p>
            <w:pPr>
              <w:spacing w:after="0"/>
              <w:rPr>
                <w:sz w:val="10"/>
                <w:szCs w:val="10"/>
                <w:color w:val="auto"/>
              </w:rPr>
            </w:pPr>
          </w:p>
        </w:tc>
        <w:tc>
          <w:tcPr>
            <w:tcW w:w="7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Impact to</w:t>
            </w:r>
          </w:p>
        </w:tc>
      </w:tr>
      <w:tr>
        <w:trPr>
          <w:trHeight w:val="120"/>
        </w:trPr>
        <w:tc>
          <w:tcPr>
            <w:tcW w:w="1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Valuation</w:t>
            </w:r>
          </w:p>
        </w:tc>
      </w:tr>
      <w:tr>
        <w:trPr>
          <w:trHeight w:val="120"/>
        </w:trPr>
        <w:tc>
          <w:tcPr>
            <w:tcW w:w="1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from</w:t>
            </w:r>
          </w:p>
        </w:tc>
      </w:tr>
      <w:tr>
        <w:trPr>
          <w:trHeight w:val="120"/>
        </w:trPr>
        <w:tc>
          <w:tcPr>
            <w:tcW w:w="1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Increase in</w:t>
            </w: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4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Input</w:t>
            </w:r>
          </w:p>
        </w:tc>
      </w:tr>
      <w:tr>
        <w:trPr>
          <w:trHeight w:val="32"/>
        </w:trPr>
        <w:tc>
          <w:tcPr>
            <w:tcW w:w="1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2"/>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20"/>
        </w:trPr>
        <w:tc>
          <w:tcPr>
            <w:tcW w:w="1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Investments of Consolidated</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Funds: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
        </w:trPr>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20"/>
        </w:trPr>
        <w:tc>
          <w:tcPr>
            <w:tcW w:w="17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Equity securities</w:t>
            </w:r>
          </w:p>
        </w:tc>
        <w:tc>
          <w:tcPr>
            <w:tcW w:w="4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CEEFF"/>
          </w:tcPr>
          <w:p>
            <w:pPr>
              <w:spacing w:after="0"/>
              <w:rPr>
                <w:sz w:val="10"/>
                <w:szCs w:val="10"/>
                <w:color w:val="auto"/>
              </w:rPr>
            </w:pPr>
          </w:p>
        </w:tc>
        <w:tc>
          <w:tcPr>
            <w:tcW w:w="14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Consensus Pricing</w:t>
            </w:r>
          </w:p>
        </w:tc>
        <w:tc>
          <w:tcPr>
            <w:tcW w:w="4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Indicative Quotes</w:t>
            </w:r>
          </w:p>
        </w:tc>
        <w:tc>
          <w:tcPr>
            <w:tcW w:w="1260" w:type="dxa"/>
            <w:vAlign w:val="bottom"/>
            <w:gridSpan w:val="2"/>
            <w:shd w:val="clear" w:color="auto" w:fill="CCEEFF"/>
          </w:tcPr>
          <w:p>
            <w:pPr>
              <w:ind w:left="40"/>
              <w:spacing w:after="0" w:line="120" w:lineRule="exact"/>
              <w:rPr>
                <w:sz w:val="20"/>
                <w:szCs w:val="20"/>
                <w:color w:val="auto"/>
              </w:rPr>
            </w:pPr>
            <w:r>
              <w:rPr>
                <w:rFonts w:ascii="Times New Roman" w:cs="Times New Roman" w:eastAsia="Times New Roman" w:hAnsi="Times New Roman"/>
                <w:sz w:val="13"/>
                <w:szCs w:val="13"/>
                <w:color w:val="auto"/>
              </w:rPr>
              <w:t>0.00 - 208.38 (0.11)</w:t>
            </w: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Higher</w:t>
            </w:r>
          </w:p>
        </w:tc>
      </w:tr>
      <w:tr>
        <w:trPr>
          <w:trHeight w:val="184"/>
        </w:trPr>
        <w:tc>
          <w:tcPr>
            <w:tcW w:w="1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per share)</w:t>
            </w: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366.5</w:t>
            </w: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 - 11% (10%)</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Terminal Growth Rate</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0% - 7% (5%)</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Comparable Multiple</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EBITDA Multiple</w:t>
            </w:r>
          </w:p>
        </w:tc>
        <w:tc>
          <w:tcPr>
            <w:tcW w:w="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12.7x - 12.7x (12.7x)</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TCF Multiple</w:t>
            </w:r>
          </w:p>
        </w:tc>
        <w:tc>
          <w:tcPr>
            <w:tcW w:w="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24.3x - 24.3x (24.3x)</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(1)</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2"/>
        </w:trPr>
        <w:tc>
          <w:tcPr>
            <w:tcW w:w="17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Bonds</w:t>
            </w:r>
          </w:p>
        </w:tc>
        <w:tc>
          <w:tcPr>
            <w:tcW w:w="4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522.5</w:t>
            </w: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Consensus Pricing</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30 - 105 (90)</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5,829.3</w:t>
            </w: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Consensus Pricing</w:t>
            </w: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0 - 102 (95)</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11.0</w:t>
            </w: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7% - 16% (15%)</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9.4</w:t>
            </w: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tcBorders>
              <w:bottom w:val="single" w:sz="8" w:color="CCEEFF"/>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rPr>
              <w:t>17% - 17% (17%)</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Constant Prepayment Rate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8% - 8% (8%)</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Constant Default Rate</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 - 1% (1%)</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Recovery Rate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0% - 0% (0%)</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12.4</w:t>
            </w:r>
          </w:p>
        </w:tc>
        <w:tc>
          <w:tcPr>
            <w:tcW w:w="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(1)</w:t>
            </w:r>
          </w:p>
        </w:tc>
        <w:tc>
          <w:tcPr>
            <w:tcW w:w="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168"/>
        </w:trPr>
        <w:tc>
          <w:tcPr>
            <w:tcW w:w="17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6,762.2</w:t>
            </w: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CLOs</w:t>
            </w:r>
          </w:p>
        </w:tc>
        <w:tc>
          <w:tcPr>
            <w:tcW w:w="4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20"/>
        </w:trPr>
        <w:tc>
          <w:tcPr>
            <w:tcW w:w="1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Senior secured notes</w:t>
            </w:r>
          </w:p>
        </w:tc>
        <w:tc>
          <w:tcPr>
            <w:tcW w:w="460" w:type="dxa"/>
            <w:vAlign w:val="bottom"/>
          </w:tcPr>
          <w:p>
            <w:pPr>
              <w:spacing w:after="0"/>
              <w:rPr>
                <w:sz w:val="10"/>
                <w:szCs w:val="10"/>
                <w:color w:val="auto"/>
              </w:rPr>
            </w:pPr>
          </w:p>
        </w:tc>
        <w:tc>
          <w:tcPr>
            <w:tcW w:w="720" w:type="dxa"/>
            <w:vAlign w:val="bottom"/>
          </w:tcPr>
          <w:p>
            <w:pPr>
              <w:jc w:val="right"/>
              <w:ind w:right="54"/>
              <w:spacing w:after="0" w:line="120" w:lineRule="exact"/>
              <w:rPr>
                <w:sz w:val="20"/>
                <w:szCs w:val="20"/>
                <w:color w:val="auto"/>
              </w:rPr>
            </w:pPr>
            <w:r>
              <w:rPr>
                <w:rFonts w:ascii="Times New Roman" w:cs="Times New Roman" w:eastAsia="Times New Roman" w:hAnsi="Times New Roman"/>
                <w:sz w:val="13"/>
                <w:szCs w:val="13"/>
                <w:color w:val="auto"/>
              </w:rPr>
              <w:t>472.2</w:t>
            </w:r>
          </w:p>
        </w:tc>
        <w:tc>
          <w:tcPr>
            <w:tcW w:w="20" w:type="dxa"/>
            <w:vAlign w:val="bottom"/>
          </w:tcPr>
          <w:p>
            <w:pPr>
              <w:spacing w:after="0"/>
              <w:rPr>
                <w:sz w:val="10"/>
                <w:szCs w:val="10"/>
                <w:color w:val="auto"/>
              </w:rPr>
            </w:pPr>
          </w:p>
        </w:tc>
        <w:tc>
          <w:tcPr>
            <w:tcW w:w="14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Pr>
          <w:p>
            <w:pPr>
              <w:spacing w:after="0"/>
              <w:rPr>
                <w:sz w:val="10"/>
                <w:szCs w:val="10"/>
                <w:color w:val="auto"/>
              </w:rPr>
            </w:pPr>
          </w:p>
        </w:tc>
        <w:tc>
          <w:tcPr>
            <w:tcW w:w="17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3"/>
                <w:szCs w:val="13"/>
                <w:color w:val="auto"/>
              </w:rPr>
              <w:t>72 - 101 (96)</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Consensus Pricing</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
        </w:trPr>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20"/>
        </w:trPr>
        <w:tc>
          <w:tcPr>
            <w:tcW w:w="1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Discount Margins (Basis</w:t>
            </w:r>
          </w:p>
        </w:tc>
        <w:tc>
          <w:tcPr>
            <w:tcW w:w="1260" w:type="dxa"/>
            <w:vAlign w:val="bottom"/>
            <w:gridSpan w:val="2"/>
            <w:shd w:val="clear" w:color="auto" w:fill="CCEEFF"/>
          </w:tcPr>
          <w:p>
            <w:pPr>
              <w:ind w:left="40"/>
              <w:spacing w:after="0" w:line="120" w:lineRule="exact"/>
              <w:rPr>
                <w:sz w:val="20"/>
                <w:szCs w:val="20"/>
                <w:color w:val="auto"/>
              </w:rPr>
            </w:pPr>
            <w:r>
              <w:rPr>
                <w:rFonts w:ascii="Times New Roman" w:cs="Times New Roman" w:eastAsia="Times New Roman" w:hAnsi="Times New Roman"/>
                <w:sz w:val="13"/>
                <w:szCs w:val="13"/>
                <w:color w:val="auto"/>
              </w:rPr>
              <w:t>139 - 1,600 (319)</w:t>
            </w: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Lower</w:t>
            </w:r>
          </w:p>
        </w:tc>
      </w:tr>
      <w:tr>
        <w:trPr>
          <w:trHeight w:val="184"/>
        </w:trPr>
        <w:tc>
          <w:tcPr>
            <w:tcW w:w="1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Points)</w:t>
            </w:r>
          </w:p>
        </w:tc>
        <w:tc>
          <w:tcPr>
            <w:tcW w:w="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Default Rates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 - 2% (2%)</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Recovery Rates</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60% - 60% (60%)</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20"/>
        </w:trPr>
        <w:tc>
          <w:tcPr>
            <w:tcW w:w="1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Subordinated notes and</w:t>
            </w:r>
          </w:p>
        </w:tc>
        <w:tc>
          <w:tcPr>
            <w:tcW w:w="460" w:type="dxa"/>
            <w:vAlign w:val="bottom"/>
          </w:tcPr>
          <w:p>
            <w:pPr>
              <w:spacing w:after="0"/>
              <w:rPr>
                <w:sz w:val="10"/>
                <w:szCs w:val="10"/>
                <w:color w:val="auto"/>
              </w:rPr>
            </w:pPr>
          </w:p>
        </w:tc>
        <w:tc>
          <w:tcPr>
            <w:tcW w:w="720" w:type="dxa"/>
            <w:vAlign w:val="bottom"/>
          </w:tcPr>
          <w:p>
            <w:pPr>
              <w:jc w:val="right"/>
              <w:ind w:right="54"/>
              <w:spacing w:after="0" w:line="120" w:lineRule="exact"/>
              <w:rPr>
                <w:sz w:val="20"/>
                <w:szCs w:val="20"/>
                <w:color w:val="auto"/>
              </w:rPr>
            </w:pPr>
            <w:r>
              <w:rPr>
                <w:rFonts w:ascii="Times New Roman" w:cs="Times New Roman" w:eastAsia="Times New Roman" w:hAnsi="Times New Roman"/>
                <w:sz w:val="13"/>
                <w:szCs w:val="13"/>
                <w:color w:val="auto"/>
              </w:rPr>
              <w:t>59.4</w:t>
            </w:r>
          </w:p>
        </w:tc>
        <w:tc>
          <w:tcPr>
            <w:tcW w:w="20" w:type="dxa"/>
            <w:vAlign w:val="bottom"/>
          </w:tcPr>
          <w:p>
            <w:pPr>
              <w:spacing w:after="0"/>
              <w:rPr>
                <w:sz w:val="10"/>
                <w:szCs w:val="10"/>
                <w:color w:val="auto"/>
              </w:rPr>
            </w:pPr>
          </w:p>
        </w:tc>
        <w:tc>
          <w:tcPr>
            <w:tcW w:w="14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Pr>
          <w:p>
            <w:pPr>
              <w:spacing w:after="0"/>
              <w:rPr>
                <w:sz w:val="10"/>
                <w:szCs w:val="10"/>
                <w:color w:val="auto"/>
              </w:rPr>
            </w:pPr>
          </w:p>
        </w:tc>
        <w:tc>
          <w:tcPr>
            <w:tcW w:w="17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3"/>
                <w:szCs w:val="13"/>
                <w:color w:val="auto"/>
              </w:rPr>
              <w:t>6 - 90 (40)</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shares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Consensus Pricing</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
        </w:trPr>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11% - 40% (21%)</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Default Rates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 - 2% (2%)</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Recovery Rates</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60% - 60% (60%)</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(1)</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BDC preferred shares</w:t>
            </w:r>
          </w:p>
        </w:tc>
        <w:tc>
          <w:tcPr>
            <w:tcW w:w="46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81.7</w:t>
            </w: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 Yield Analysis</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Market Yields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11% - 11% (11%)</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0"/>
        </w:trPr>
        <w:tc>
          <w:tcPr>
            <w:tcW w:w="17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Aviation subordinated</w:t>
            </w: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54"/>
              <w:spacing w:after="0" w:line="120" w:lineRule="exact"/>
              <w:rPr>
                <w:sz w:val="20"/>
                <w:szCs w:val="20"/>
                <w:color w:val="auto"/>
              </w:rPr>
            </w:pPr>
            <w:r>
              <w:rPr>
                <w:rFonts w:ascii="Times New Roman" w:cs="Times New Roman" w:eastAsia="Times New Roman" w:hAnsi="Times New Roman"/>
                <w:sz w:val="13"/>
                <w:szCs w:val="13"/>
                <w:color w:val="auto"/>
              </w:rPr>
              <w:t>2.9</w:t>
            </w:r>
          </w:p>
        </w:tc>
        <w:tc>
          <w:tcPr>
            <w:tcW w:w="20" w:type="dxa"/>
            <w:vAlign w:val="bottom"/>
            <w:shd w:val="clear" w:color="auto" w:fill="CCEEFF"/>
          </w:tcPr>
          <w:p>
            <w:pPr>
              <w:spacing w:after="0"/>
              <w:rPr>
                <w:sz w:val="10"/>
                <w:szCs w:val="10"/>
                <w:color w:val="auto"/>
              </w:rPr>
            </w:pPr>
          </w:p>
        </w:tc>
        <w:tc>
          <w:tcPr>
            <w:tcW w:w="14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gridSpan w:val="2"/>
            <w:shd w:val="clear" w:color="auto" w:fill="CCEEFF"/>
          </w:tcPr>
          <w:p>
            <w:pPr>
              <w:ind w:left="40"/>
              <w:spacing w:after="0" w:line="120" w:lineRule="exact"/>
              <w:rPr>
                <w:sz w:val="20"/>
                <w:szCs w:val="20"/>
                <w:color w:val="auto"/>
              </w:rPr>
            </w:pPr>
            <w:r>
              <w:rPr>
                <w:rFonts w:ascii="Times New Roman" w:cs="Times New Roman" w:eastAsia="Times New Roman" w:hAnsi="Times New Roman"/>
                <w:sz w:val="13"/>
                <w:szCs w:val="13"/>
                <w:color w:val="auto"/>
              </w:rPr>
              <w:t>21% - 21% (21%)</w:t>
            </w: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Lower</w:t>
            </w:r>
          </w:p>
        </w:tc>
      </w:tr>
      <w:tr>
        <w:trPr>
          <w:trHeight w:val="20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w:t>
            </w:r>
          </w:p>
        </w:tc>
        <w:tc>
          <w:tcPr>
            <w:tcW w:w="4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48"/>
        </w:trPr>
        <w:tc>
          <w:tcPr>
            <w:tcW w:w="17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460" w:type="dxa"/>
            <w:vAlign w:val="bottom"/>
            <w:tcBorders>
              <w:top w:val="single" w:sz="8" w:color="auto"/>
              <w:bottom w:val="single" w:sz="8" w:color="auto"/>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7,379.4</w:t>
            </w: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15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20"/>
        </w:trPr>
        <w:tc>
          <w:tcPr>
            <w:tcW w:w="1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Loans payable of Consolidated</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Funds: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
        </w:trPr>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secured notes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6,090.1</w:t>
            </w: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(2)</w:t>
            </w: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120"/>
        </w:trPr>
        <w:tc>
          <w:tcPr>
            <w:tcW w:w="1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Subordinated notes and</w:t>
            </w:r>
          </w:p>
        </w:tc>
        <w:tc>
          <w:tcPr>
            <w:tcW w:w="460" w:type="dxa"/>
            <w:vAlign w:val="bottom"/>
          </w:tcPr>
          <w:p>
            <w:pPr>
              <w:spacing w:after="0"/>
              <w:rPr>
                <w:sz w:val="10"/>
                <w:szCs w:val="10"/>
                <w:color w:val="auto"/>
              </w:rPr>
            </w:pPr>
          </w:p>
        </w:tc>
        <w:tc>
          <w:tcPr>
            <w:tcW w:w="720" w:type="dxa"/>
            <w:vAlign w:val="bottom"/>
          </w:tcPr>
          <w:p>
            <w:pPr>
              <w:jc w:val="right"/>
              <w:ind w:right="54"/>
              <w:spacing w:after="0" w:line="120" w:lineRule="exact"/>
              <w:rPr>
                <w:sz w:val="20"/>
                <w:szCs w:val="20"/>
                <w:color w:val="auto"/>
              </w:rPr>
            </w:pPr>
            <w:r>
              <w:rPr>
                <w:rFonts w:ascii="Times New Roman" w:cs="Times New Roman" w:eastAsia="Times New Roman" w:hAnsi="Times New Roman"/>
                <w:sz w:val="13"/>
                <w:szCs w:val="13"/>
                <w:color w:val="auto"/>
              </w:rPr>
              <w:t>190.0</w:t>
            </w:r>
          </w:p>
        </w:tc>
        <w:tc>
          <w:tcPr>
            <w:tcW w:w="20" w:type="dxa"/>
            <w:vAlign w:val="bottom"/>
          </w:tcPr>
          <w:p>
            <w:pPr>
              <w:spacing w:after="0"/>
              <w:rPr>
                <w:sz w:val="10"/>
                <w:szCs w:val="10"/>
                <w:color w:val="auto"/>
              </w:rPr>
            </w:pPr>
          </w:p>
        </w:tc>
        <w:tc>
          <w:tcPr>
            <w:tcW w:w="142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Discounted Cash Flow</w:t>
            </w:r>
          </w:p>
        </w:tc>
        <w:tc>
          <w:tcPr>
            <w:tcW w:w="40" w:type="dxa"/>
            <w:vAlign w:val="bottom"/>
          </w:tcPr>
          <w:p>
            <w:pPr>
              <w:spacing w:after="0"/>
              <w:rPr>
                <w:sz w:val="10"/>
                <w:szCs w:val="10"/>
                <w:color w:val="auto"/>
              </w:rPr>
            </w:pPr>
          </w:p>
        </w:tc>
        <w:tc>
          <w:tcPr>
            <w:tcW w:w="17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Indicative Quotes (% of Par)</w:t>
            </w:r>
          </w:p>
        </w:tc>
        <w:tc>
          <w:tcPr>
            <w:tcW w:w="126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3"/>
                <w:szCs w:val="13"/>
                <w:color w:val="auto"/>
              </w:rPr>
              <w:t>16 - 103 (41)</w:t>
            </w:r>
          </w:p>
        </w:tc>
        <w:tc>
          <w:tcPr>
            <w:tcW w:w="20" w:type="dxa"/>
            <w:vAlign w:val="bottom"/>
          </w:tcPr>
          <w:p>
            <w:pPr>
              <w:spacing w:after="0"/>
              <w:rPr>
                <w:sz w:val="10"/>
                <w:szCs w:val="10"/>
                <w:color w:val="auto"/>
              </w:rPr>
            </w:pPr>
          </w:p>
        </w:tc>
        <w:tc>
          <w:tcPr>
            <w:tcW w:w="7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shares</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 Consensus Pricing</w:t>
            </w: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
        </w:trPr>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Discount Rates</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14% - 30% (21%)</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172"/>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Default Rates</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 - 2% (2%)</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Lower</w:t>
            </w:r>
          </w:p>
        </w:tc>
      </w:tr>
      <w:tr>
        <w:trPr>
          <w:trHeight w:val="20"/>
        </w:trPr>
        <w:tc>
          <w:tcPr>
            <w:tcW w:w="1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2"/>
        </w:trPr>
        <w:tc>
          <w:tcPr>
            <w:tcW w:w="1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Recovery Rates</w:t>
            </w:r>
          </w:p>
        </w:tc>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60% - 60% (60%)</w:t>
            </w:r>
          </w:p>
        </w:tc>
        <w:tc>
          <w:tcPr>
            <w:tcW w:w="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Higher</w:t>
            </w:r>
          </w:p>
        </w:tc>
      </w:tr>
      <w:tr>
        <w:trPr>
          <w:trHeight w:val="172"/>
        </w:trPr>
        <w:tc>
          <w:tcPr>
            <w:tcW w:w="178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18.5</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8"/>
                <w:szCs w:val="8"/>
                <w:color w:val="auto"/>
              </w:rPr>
              <w:t>(1)</w:t>
            </w:r>
          </w:p>
        </w:tc>
        <w:tc>
          <w:tcPr>
            <w:tcW w:w="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w:t>
            </w:r>
          </w:p>
        </w:tc>
        <w:tc>
          <w:tcPr>
            <w:tcW w:w="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N/A</w:t>
            </w: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152"/>
        </w:trPr>
        <w:tc>
          <w:tcPr>
            <w:tcW w:w="178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w:t>
            </w:r>
          </w:p>
        </w:tc>
        <w:tc>
          <w:tcPr>
            <w:tcW w:w="460" w:type="dxa"/>
            <w:vAlign w:val="bottom"/>
            <w:tcBorders>
              <w:bottom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ind w:right="34"/>
              <w:spacing w:after="0" w:line="148" w:lineRule="exact"/>
              <w:rPr>
                <w:sz w:val="20"/>
                <w:szCs w:val="20"/>
                <w:color w:val="auto"/>
              </w:rPr>
            </w:pPr>
            <w:r>
              <w:rPr>
                <w:rFonts w:ascii="Times New Roman" w:cs="Times New Roman" w:eastAsia="Times New Roman" w:hAnsi="Times New Roman"/>
                <w:sz w:val="13"/>
                <w:szCs w:val="13"/>
                <w:color w:val="auto"/>
              </w:rPr>
              <w:t>6,298.6</w:t>
            </w:r>
          </w:p>
        </w:tc>
        <w:tc>
          <w:tcPr>
            <w:tcW w:w="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bl>
    <w:p>
      <w:pPr>
        <w:spacing w:after="0" w:line="238" w:lineRule="auto"/>
        <w:rPr>
          <w:sz w:val="20"/>
          <w:szCs w:val="20"/>
          <w:color w:val="auto"/>
        </w:rPr>
      </w:pPr>
      <w:r>
        <w:rPr>
          <w:rFonts w:ascii="Times New Roman" w:cs="Times New Roman" w:eastAsia="Times New Roman" w:hAnsi="Times New Roman"/>
          <w:sz w:val="14"/>
          <w:szCs w:val="14"/>
          <w:color w:val="auto"/>
        </w:rPr>
        <w:t>(1)Fair value approximates transaction price that was in close proximity to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-93345</wp:posOffset>
            </wp:positionV>
            <wp:extent cx="7467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46760" cy="7620"/>
                    </a:xfrm>
                    <a:prstGeom prst="rect">
                      <a:avLst/>
                    </a:prstGeom>
                    <a:noFill/>
                  </pic:spPr>
                </pic:pic>
              </a:graphicData>
            </a:graphic>
          </wp:anchor>
        </w:drawing>
      </w:r>
    </w:p>
    <w:p>
      <w:pPr>
        <w:ind w:right="1340"/>
        <w:spacing w:after="0" w:line="228" w:lineRule="auto"/>
        <w:rPr>
          <w:sz w:val="20"/>
          <w:szCs w:val="20"/>
          <w:color w:val="auto"/>
        </w:rPr>
      </w:pPr>
      <w:r>
        <w:rPr>
          <w:rFonts w:ascii="Times New Roman" w:cs="Times New Roman" w:eastAsia="Times New Roman" w:hAnsi="Times New Roman"/>
          <w:sz w:val="14"/>
          <w:szCs w:val="14"/>
          <w:color w:val="auto"/>
        </w:rPr>
        <w:t>(2)Senior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4. Investments</w:t>
      </w:r>
    </w:p>
    <w:p>
      <w:pPr>
        <w:spacing w:after="0"/>
        <w:rPr>
          <w:sz w:val="20"/>
          <w:szCs w:val="20"/>
          <w:color w:val="auto"/>
        </w:rPr>
      </w:pPr>
      <w:r>
        <w:rPr>
          <w:rFonts w:ascii="Times New Roman" w:cs="Times New Roman" w:eastAsia="Times New Roman" w:hAnsi="Times New Roman"/>
          <w:sz w:val="16"/>
          <w:szCs w:val="16"/>
          <w:color w:val="auto"/>
        </w:rPr>
        <w:t>Investments consist of the following:</w:t>
      </w:r>
    </w:p>
    <w:p>
      <w:pPr>
        <w:sectPr>
          <w:pgSz w:w="11900" w:h="16840" w:orient="portrait"/>
          <w:cols w:equalWidth="0" w:num="1">
            <w:col w:w="9400"/>
          </w:cols>
          <w:pgMar w:left="1060" w:top="1440" w:right="1440" w:bottom="140" w:gutter="0" w:footer="0" w:header="0"/>
        </w:sectPr>
      </w:pPr>
    </w:p>
    <w:bookmarkStart w:id="150" w:name="page151"/>
    <w:bookmarkEnd w:id="150"/>
    <w:tbl>
      <w:tblPr>
        <w:tblLayout w:type="fixed"/>
        <w:tblInd w:w="1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3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performance allocations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7,053.5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Principal equity method investments, excluding performance allocations</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3,292.3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investments in CLOs</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212.0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10,936.7</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9,955.3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line="141" w:lineRule="exact"/>
              <w:rPr>
                <w:sz w:val="20"/>
                <w:szCs w:val="20"/>
                <w:color w:val="auto"/>
              </w:rPr>
            </w:pPr>
            <w:r>
              <w:rPr>
                <w:rFonts w:ascii="Times New Roman" w:cs="Times New Roman" w:eastAsia="Times New Roman" w:hAnsi="Times New Roman"/>
                <w:sz w:val="16"/>
                <w:szCs w:val="16"/>
                <w:b w:val="1"/>
                <w:bCs w:val="1"/>
                <w:color w:val="auto"/>
              </w:rPr>
              <w:t>Accrued Performance Allocations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The components of accrued performance allocations are as follows:</w:t>
            </w:r>
          </w:p>
        </w:tc>
        <w:tc>
          <w:tcPr>
            <w:tcW w:w="180" w:type="dxa"/>
            <w:vAlign w:val="bottom"/>
          </w:tcPr>
          <w:p>
            <w:pPr>
              <w:spacing w:after="0"/>
              <w:rPr>
                <w:sz w:val="17"/>
                <w:szCs w:val="17"/>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530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4,910.2</w:t>
            </w:r>
          </w:p>
        </w:tc>
        <w:tc>
          <w:tcPr>
            <w:tcW w:w="6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527.1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1,616.2</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7,053.5</w:t>
            </w: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6,169.9</w:t>
            </w:r>
          </w:p>
        </w:tc>
        <w:tc>
          <w:tcPr>
            <w:tcW w:w="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1270</wp:posOffset>
            </wp:positionV>
            <wp:extent cx="176847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768475" cy="7620"/>
                    </a:xfrm>
                    <a:prstGeom prst="rect">
                      <a:avLst/>
                    </a:prstGeom>
                    <a:noFill/>
                  </pic:spPr>
                </pic:pic>
              </a:graphicData>
            </a:graphic>
          </wp:anchor>
        </w:drawing>
      </w:r>
    </w:p>
    <w:p>
      <w:pPr>
        <w:spacing w:after="0" w:line="5" w:lineRule="exact"/>
        <w:rPr>
          <w:sz w:val="20"/>
          <w:szCs w:val="20"/>
          <w:color w:val="auto"/>
        </w:rPr>
      </w:pPr>
    </w:p>
    <w:p>
      <w:pPr>
        <w:ind w:left="10" w:right="2240"/>
        <w:spacing w:after="0" w:line="215" w:lineRule="auto"/>
        <w:rPr>
          <w:sz w:val="20"/>
          <w:szCs w:val="20"/>
          <w:color w:val="auto"/>
        </w:rPr>
      </w:pPr>
      <w:r>
        <w:rPr>
          <w:rFonts w:ascii="Times New Roman" w:cs="Times New Roman" w:eastAsia="Times New Roman" w:hAnsi="Times New Roman"/>
          <w:sz w:val="16"/>
          <w:szCs w:val="16"/>
          <w:color w:val="auto"/>
        </w:rPr>
        <w:t>Approximately 20% of accrued performance allocations at December 31, 2024 was related to Carlyle Partners VII, L.P., one of the Company’s Global Private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-200660</wp:posOffset>
            </wp:positionV>
            <wp:extent cx="176847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768475" cy="7620"/>
                    </a:xfrm>
                    <a:prstGeom prst="rect">
                      <a:avLst/>
                    </a:prstGeom>
                    <a:noFill/>
                  </pic:spPr>
                </pic:pic>
              </a:graphicData>
            </a:graphic>
          </wp:anchor>
        </w:drawing>
      </w:r>
    </w:p>
    <w:p>
      <w:pPr>
        <w:ind w:left="10" w:right="2380"/>
        <w:spacing w:after="0" w:line="203" w:lineRule="auto"/>
        <w:rPr>
          <w:sz w:val="20"/>
          <w:szCs w:val="20"/>
          <w:color w:val="auto"/>
        </w:rPr>
      </w:pPr>
      <w:r>
        <w:rPr>
          <w:rFonts w:ascii="Times New Roman" w:cs="Times New Roman" w:eastAsia="Times New Roman" w:hAnsi="Times New Roman"/>
          <w:sz w:val="16"/>
          <w:szCs w:val="16"/>
          <w:color w:val="auto"/>
        </w:rPr>
        <w:t>None of the Company’s accrued performance allocations from an individual fund exceeded 10% of total accrued performance allocations at December 31, 2023.</w:t>
      </w:r>
    </w:p>
    <w:p>
      <w:pPr>
        <w:spacing w:after="0" w:line="1" w:lineRule="exact"/>
        <w:rPr>
          <w:sz w:val="20"/>
          <w:szCs w:val="20"/>
          <w:color w:val="auto"/>
        </w:rPr>
      </w:pPr>
    </w:p>
    <w:p>
      <w:pPr>
        <w:ind w:left="10" w:right="1660"/>
        <w:spacing w:after="0" w:line="237" w:lineRule="auto"/>
        <w:rPr>
          <w:sz w:val="20"/>
          <w:szCs w:val="20"/>
          <w:color w:val="auto"/>
        </w:rPr>
      </w:pPr>
      <w:r>
        <w:rPr>
          <w:rFonts w:ascii="Times New Roman" w:cs="Times New Roman" w:eastAsia="Times New Roman" w:hAnsi="Times New Roman"/>
          <w:sz w:val="14"/>
          <w:szCs w:val="14"/>
          <w:color w:val="auto"/>
        </w:rPr>
        <w:t>Accrued performance allocations are shown gross of the Company’s accrued performance allocations and incentive fee related compensation (see Note 7, Accrued Compensation and Benefits), and accrued giveback obligations, which are separately presented in the consolidated balance sheets. The components of the accrued giveback obligations are as follows: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
        </w:trPr>
        <w:tc>
          <w:tcPr>
            <w:tcW w:w="5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(18.5)</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r>
      <w:tr>
        <w:trPr>
          <w:trHeight w:val="19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6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(25.5)</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r>
      <w:tr>
        <w:trPr>
          <w:trHeight w:val="38"/>
        </w:trPr>
        <w:tc>
          <w:tcPr>
            <w:tcW w:w="54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(44.0)</w:t>
            </w: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185</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Principal Equity-Method Investments, Excluding Performance Allocations</w:t>
      </w:r>
    </w:p>
    <w:p>
      <w:pPr>
        <w:ind w:left="10" w:right="1660"/>
        <w:spacing w:after="0" w:line="207" w:lineRule="auto"/>
        <w:rPr>
          <w:sz w:val="20"/>
          <w:szCs w:val="20"/>
          <w:color w:val="auto"/>
        </w:rPr>
      </w:pPr>
      <w:r>
        <w:rPr>
          <w:rFonts w:ascii="Times New Roman" w:cs="Times New Roman" w:eastAsia="Times New Roman" w:hAnsi="Times New Roman"/>
          <w:sz w:val="16"/>
          <w:szCs w:val="16"/>
          <w:color w:val="auto"/>
        </w:rPr>
        <w:t>The Company’s principal equity method investments (excluding performance allocations) include its fund investments in Global Private Equity, Global Credit, and Global Investment Solutions typically as general partner interests, and its investments in Fortitude through a Carlyle-affiliated fund (included within Global Credit) and NGP (included within Global Private Equity), which are not consolidated. Principal investments are related to the following segments:</w:t>
      </w:r>
    </w:p>
    <w:tbl>
      <w:tblPr>
        <w:tblLayout w:type="fixed"/>
        <w:tblInd w:w="1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
        </w:trPr>
        <w:tc>
          <w:tcPr>
            <w:tcW w:w="5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2"/>
        </w:trPr>
        <w:tc>
          <w:tcPr>
            <w:tcW w:w="558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2"/>
        </w:trPr>
        <w:tc>
          <w:tcPr>
            <w:tcW w:w="55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r>
              <w:rPr>
                <w:rFonts w:ascii="Times New Roman" w:cs="Times New Roman" w:eastAsia="Times New Roman" w:hAnsi="Times New Roman"/>
                <w:sz w:val="9"/>
                <w:szCs w:val="9"/>
                <w:color w:val="auto"/>
              </w:rPr>
              <w:t>(1)</w:t>
            </w: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1,818.0</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1,798.3</w:t>
            </w:r>
          </w:p>
        </w:tc>
      </w:tr>
      <w:tr>
        <w:trPr>
          <w:trHeight w:val="190"/>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r>
              <w:rPr>
                <w:rFonts w:ascii="Times New Roman" w:cs="Times New Roman" w:eastAsia="Times New Roman" w:hAnsi="Times New Roman"/>
                <w:sz w:val="9"/>
                <w:szCs w:val="9"/>
                <w:color w:val="auto"/>
              </w:rPr>
              <w:t>(2)</w:t>
            </w:r>
          </w:p>
        </w:tc>
        <w:tc>
          <w:tcPr>
            <w:tcW w:w="5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1,157.0</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987.4</w:t>
            </w:r>
          </w:p>
        </w:tc>
      </w:tr>
      <w:tr>
        <w:trPr>
          <w:trHeight w:val="38"/>
        </w:trPr>
        <w:tc>
          <w:tcPr>
            <w:tcW w:w="5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5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317.3</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238.4</w:t>
            </w:r>
          </w:p>
        </w:tc>
      </w:tr>
      <w:tr>
        <w:trPr>
          <w:trHeight w:val="18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3,292.3</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1270</wp:posOffset>
            </wp:positionV>
            <wp:extent cx="17151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6" w:lineRule="exact"/>
        <w:rPr>
          <w:sz w:val="20"/>
          <w:szCs w:val="20"/>
          <w:color w:val="auto"/>
        </w:rPr>
      </w:pPr>
    </w:p>
    <w:p>
      <w:pPr>
        <w:ind w:left="10" w:right="1500" w:hanging="10"/>
        <w:spacing w:after="0" w:line="203" w:lineRule="auto"/>
        <w:tabs>
          <w:tab w:leader="none" w:pos="19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includes $912.0 million and $916.2 million as of December 31, 2024 and 2023, respectively, related to the Company’s equity method investments in NGP.</w:t>
      </w:r>
    </w:p>
    <w:p>
      <w:pPr>
        <w:spacing w:after="0" w:line="1" w:lineRule="exact"/>
        <w:rPr>
          <w:rFonts w:ascii="Times New Roman" w:cs="Times New Roman" w:eastAsia="Times New Roman" w:hAnsi="Times New Roman"/>
          <w:sz w:val="13"/>
          <w:szCs w:val="13"/>
          <w:color w:val="auto"/>
        </w:rPr>
      </w:pPr>
    </w:p>
    <w:p>
      <w:pPr>
        <w:ind w:left="190" w:hanging="190"/>
        <w:spacing w:after="0" w:line="196" w:lineRule="auto"/>
        <w:tabs>
          <w:tab w:leader="none" w:pos="19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includes $723.5 million and $595.4 million as of December 31, 2024 and 2023, respectively, related to the Company’s investment in Fortitude.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-231140</wp:posOffset>
            </wp:positionV>
            <wp:extent cx="17151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ectPr>
          <w:pgSz w:w="11900" w:h="16840" w:orient="portrait"/>
          <w:cols w:equalWidth="0" w:num="1">
            <w:col w:w="9410"/>
          </w:cols>
          <w:pgMar w:left="1050" w:top="555" w:right="1440" w:bottom="284" w:gutter="0" w:footer="0" w:header="0"/>
        </w:sectPr>
      </w:pPr>
    </w:p>
    <w:p>
      <w:pPr>
        <w:spacing w:after="0" w:line="1" w:lineRule="exact"/>
        <w:rPr>
          <w:sz w:val="20"/>
          <w:szCs w:val="20"/>
          <w:color w:val="auto"/>
        </w:rPr>
      </w:pPr>
    </w:p>
    <w:p>
      <w:pPr>
        <w:ind w:left="10" w:right="2000"/>
        <w:spacing w:after="0" w:line="222" w:lineRule="auto"/>
        <w:rPr>
          <w:sz w:val="20"/>
          <w:szCs w:val="20"/>
          <w:color w:val="auto"/>
        </w:rPr>
      </w:pPr>
      <w:r>
        <w:rPr>
          <w:rFonts w:ascii="Times New Roman" w:cs="Times New Roman" w:eastAsia="Times New Roman" w:hAnsi="Times New Roman"/>
          <w:sz w:val="16"/>
          <w:szCs w:val="16"/>
          <w:color w:val="auto"/>
        </w:rPr>
        <w:t>The summarized financial information of the Company’s equity method investees from the date of initial investment is as follows (Dollars in millions):</w:t>
      </w:r>
    </w:p>
    <w:p>
      <w:pPr>
        <w:sectPr>
          <w:pgSz w:w="11900" w:h="16840" w:orient="portrait"/>
          <w:cols w:equalWidth="0" w:num="1">
            <w:col w:w="9410"/>
          </w:cols>
          <w:pgMar w:left="1050" w:top="555" w:right="1440" w:bottom="284"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Global Private Equity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Global Credit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rPr>
              <w:t>Global Investment Solutions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 Totals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64"/>
        </w:trPr>
        <w:tc>
          <w:tcPr>
            <w:tcW w:w="1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auto"/>
            </w:tcBorders>
            <w:gridSpan w:val="3"/>
          </w:tcPr>
          <w:p>
            <w:pPr>
              <w:spacing w:after="0"/>
              <w:rPr>
                <w:sz w:val="5"/>
                <w:szCs w:val="5"/>
                <w:color w:val="auto"/>
              </w:rPr>
            </w:pPr>
          </w:p>
        </w:tc>
        <w:tc>
          <w:tcPr>
            <w:tcW w:w="480" w:type="dxa"/>
            <w:vAlign w:val="bottom"/>
            <w:tcBorders>
              <w:bottom w:val="single" w:sz="8" w:color="auto"/>
            </w:tcBorders>
            <w:gridSpan w:val="3"/>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r>
      <w:tr>
        <w:trPr>
          <w:trHeight w:val="100"/>
        </w:trPr>
        <w:tc>
          <w:tcPr>
            <w:tcW w:w="1280" w:type="dxa"/>
            <w:vAlign w:val="bottom"/>
          </w:tcPr>
          <w:p>
            <w:pPr>
              <w:spacing w:after="0"/>
              <w:rPr>
                <w:sz w:val="8"/>
                <w:szCs w:val="8"/>
                <w:color w:val="auto"/>
              </w:rPr>
            </w:pPr>
          </w:p>
        </w:tc>
        <w:tc>
          <w:tcPr>
            <w:tcW w:w="1060" w:type="dxa"/>
            <w:vAlign w:val="bottom"/>
            <w:gridSpan w:val="7"/>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For the Year Ended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8"/>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For the Year Ended</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6"/>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For the Year Ended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5"/>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42"/>
        </w:trPr>
        <w:tc>
          <w:tcPr>
            <w:tcW w:w="1280" w:type="dxa"/>
            <w:vAlign w:val="bottom"/>
          </w:tcPr>
          <w:p>
            <w:pPr>
              <w:spacing w:after="0"/>
              <w:rPr>
                <w:sz w:val="12"/>
                <w:szCs w:val="12"/>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38"/>
        </w:trPr>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134"/>
        </w:trPr>
        <w:tc>
          <w:tcPr>
            <w:tcW w:w="1280" w:type="dxa"/>
            <w:vAlign w:val="bottom"/>
          </w:tcPr>
          <w:p>
            <w:pPr>
              <w:spacing w:after="0"/>
              <w:rPr>
                <w:sz w:val="11"/>
                <w:szCs w:val="11"/>
                <w:color w:val="auto"/>
              </w:rPr>
            </w:pPr>
          </w:p>
        </w:tc>
        <w:tc>
          <w:tcPr>
            <w:tcW w:w="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1"/>
                <w:szCs w:val="11"/>
                <w:color w:val="auto"/>
              </w:rPr>
            </w:pPr>
          </w:p>
        </w:tc>
        <w:tc>
          <w:tcPr>
            <w:tcW w:w="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top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top w:val="single" w:sz="8" w:color="auto"/>
            </w:tcBorders>
          </w:tcPr>
          <w:p>
            <w:pPr>
              <w:spacing w:after="0"/>
              <w:rPr>
                <w:sz w:val="11"/>
                <w:szCs w:val="11"/>
                <w:color w:val="auto"/>
              </w:rPr>
            </w:pPr>
          </w:p>
        </w:tc>
      </w:tr>
      <w:tr>
        <w:trPr>
          <w:trHeight w:val="38"/>
        </w:trPr>
        <w:tc>
          <w:tcPr>
            <w:tcW w:w="12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88"/>
        </w:trPr>
        <w:tc>
          <w:tcPr>
            <w:tcW w:w="12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Statement of operations</w:t>
            </w:r>
          </w:p>
        </w:tc>
        <w:tc>
          <w:tcPr>
            <w:tcW w:w="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r>
      <w:tr>
        <w:trPr>
          <w:trHeight w:val="172"/>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information</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r>
      <w:tr>
        <w:trPr>
          <w:trHeight w:val="142"/>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Investment income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$ 1,986.9</w:t>
            </w:r>
          </w:p>
        </w:tc>
        <w:tc>
          <w:tcPr>
            <w:tcW w:w="40" w:type="dxa"/>
            <w:vAlign w:val="bottom"/>
          </w:tcPr>
          <w:p>
            <w:pPr>
              <w:spacing w:after="0"/>
              <w:rPr>
                <w:sz w:val="12"/>
                <w:szCs w:val="12"/>
                <w:color w:val="auto"/>
              </w:rPr>
            </w:pPr>
          </w:p>
        </w:tc>
        <w:tc>
          <w:tcPr>
            <w:tcW w:w="5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$ 2,652.7</w:t>
            </w:r>
          </w:p>
        </w:tc>
        <w:tc>
          <w:tcPr>
            <w:tcW w:w="80" w:type="dxa"/>
            <w:vAlign w:val="bottom"/>
          </w:tcPr>
          <w:p>
            <w:pPr>
              <w:spacing w:after="0"/>
              <w:rPr>
                <w:sz w:val="12"/>
                <w:szCs w:val="12"/>
                <w:color w:val="auto"/>
              </w:rPr>
            </w:pPr>
          </w:p>
        </w:tc>
        <w:tc>
          <w:tcPr>
            <w:tcW w:w="6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$ 3,129.1</w:t>
            </w:r>
          </w:p>
        </w:tc>
        <w:tc>
          <w:tcPr>
            <w:tcW w:w="4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$ 3,639.1</w:t>
            </w:r>
          </w:p>
        </w:tc>
        <w:tc>
          <w:tcPr>
            <w:tcW w:w="720" w:type="dxa"/>
            <w:vAlign w:val="bottom"/>
            <w:gridSpan w:val="5"/>
          </w:tcPr>
          <w:p>
            <w:pPr>
              <w:jc w:val="right"/>
              <w:ind w:right="66"/>
              <w:spacing w:after="0"/>
              <w:rPr>
                <w:sz w:val="20"/>
                <w:szCs w:val="20"/>
                <w:color w:val="auto"/>
              </w:rPr>
            </w:pPr>
            <w:r>
              <w:rPr>
                <w:rFonts w:ascii="Times New Roman" w:cs="Times New Roman" w:eastAsia="Times New Roman" w:hAnsi="Times New Roman"/>
                <w:sz w:val="11"/>
                <w:szCs w:val="11"/>
                <w:color w:val="auto"/>
              </w:rPr>
              <w:t>$ 3,497.5</w:t>
            </w:r>
          </w:p>
        </w:tc>
        <w:tc>
          <w:tcPr>
            <w:tcW w:w="6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96"/>
              </w:rPr>
              <w:t>$ 1,803.9</w:t>
            </w:r>
          </w:p>
        </w:tc>
        <w:tc>
          <w:tcPr>
            <w:tcW w:w="2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275.3</w:t>
            </w:r>
          </w:p>
        </w:tc>
        <w:tc>
          <w:tcPr>
            <w:tcW w:w="14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22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$ 5,901.3</w:t>
            </w: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$ 6,225.0</w:t>
            </w: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color w:val="auto"/>
              </w:rPr>
              <w:t>$ 5,048.2</w:t>
            </w:r>
          </w:p>
        </w:tc>
      </w:tr>
      <w:tr>
        <w:trPr>
          <w:trHeight w:val="50"/>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92"/>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2,644.6</w:t>
            </w:r>
          </w:p>
        </w:tc>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2,320.4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2,151.6</w:t>
            </w:r>
          </w:p>
        </w:tc>
        <w:tc>
          <w:tcPr>
            <w:tcW w:w="4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1,111.8</w:t>
            </w:r>
          </w:p>
        </w:tc>
        <w:tc>
          <w:tcPr>
            <w:tcW w:w="720" w:type="dxa"/>
            <w:vAlign w:val="bottom"/>
            <w:tcBorders>
              <w:bottom w:val="single" w:sz="8" w:color="CCEEFF"/>
            </w:tcBorders>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1,019.5</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591.8</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2,123.9</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1,238.5</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1,139.2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5,880.3</w:t>
            </w:r>
          </w:p>
        </w:tc>
        <w:tc>
          <w:tcPr>
            <w:tcW w:w="5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4,578.4</w:t>
            </w:r>
          </w:p>
        </w:tc>
        <w:tc>
          <w:tcPr>
            <w:tcW w:w="7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3,882.6</w:t>
            </w:r>
          </w:p>
        </w:tc>
      </w:tr>
      <w:tr>
        <w:trPr>
          <w:trHeight w:val="100"/>
        </w:trPr>
        <w:tc>
          <w:tcPr>
            <w:tcW w:w="1280" w:type="dxa"/>
            <w:vAlign w:val="bottom"/>
          </w:tcPr>
          <w:p>
            <w:pPr>
              <w:spacing w:after="0" w:line="100" w:lineRule="exact"/>
              <w:rPr>
                <w:sz w:val="20"/>
                <w:szCs w:val="20"/>
                <w:color w:val="auto"/>
              </w:rPr>
            </w:pPr>
            <w:r>
              <w:rPr>
                <w:rFonts w:ascii="Times New Roman" w:cs="Times New Roman" w:eastAsia="Times New Roman" w:hAnsi="Times New Roman"/>
                <w:sz w:val="11"/>
                <w:szCs w:val="11"/>
                <w:color w:val="auto"/>
              </w:rPr>
              <w:t>Net investment income</w:t>
            </w:r>
          </w:p>
        </w:tc>
        <w:tc>
          <w:tcPr>
            <w:tcW w:w="480" w:type="dxa"/>
            <w:vAlign w:val="bottom"/>
            <w:tcBorders>
              <w:top w:val="single" w:sz="8" w:color="auto"/>
            </w:tcBorders>
            <w:gridSpan w:val="3"/>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(657.7)</w:t>
            </w: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top w:val="single" w:sz="8" w:color="auto"/>
            </w:tcBorders>
            <w:gridSpan w:val="2"/>
          </w:tcPr>
          <w:p>
            <w:pPr>
              <w:jc w:val="right"/>
              <w:ind w:right="40"/>
              <w:spacing w:after="0" w:line="100" w:lineRule="exact"/>
              <w:rPr>
                <w:sz w:val="20"/>
                <w:szCs w:val="20"/>
                <w:color w:val="auto"/>
              </w:rPr>
            </w:pPr>
            <w:r>
              <w:rPr>
                <w:rFonts w:ascii="Times New Roman" w:cs="Times New Roman" w:eastAsia="Times New Roman" w:hAnsi="Times New Roman"/>
                <w:sz w:val="11"/>
                <w:szCs w:val="11"/>
                <w:color w:val="auto"/>
              </w:rPr>
              <w:t>332.3</w:t>
            </w:r>
          </w:p>
        </w:tc>
        <w:tc>
          <w:tcPr>
            <w:tcW w:w="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jc w:val="right"/>
              <w:ind w:right="66"/>
              <w:spacing w:after="0" w:line="100" w:lineRule="exact"/>
              <w:rPr>
                <w:sz w:val="20"/>
                <w:szCs w:val="20"/>
                <w:color w:val="auto"/>
              </w:rPr>
            </w:pPr>
            <w:r>
              <w:rPr>
                <w:rFonts w:ascii="Times New Roman" w:cs="Times New Roman" w:eastAsia="Times New Roman" w:hAnsi="Times New Roman"/>
                <w:sz w:val="11"/>
                <w:szCs w:val="11"/>
                <w:color w:val="auto"/>
              </w:rPr>
              <w:t>977.5</w:t>
            </w:r>
          </w:p>
        </w:tc>
        <w:tc>
          <w:tcPr>
            <w:tcW w:w="20" w:type="dxa"/>
            <w:vAlign w:val="bottom"/>
          </w:tcPr>
          <w:p>
            <w:pPr>
              <w:spacing w:after="0"/>
              <w:rPr>
                <w:sz w:val="8"/>
                <w:szCs w:val="8"/>
                <w:color w:val="auto"/>
              </w:rPr>
            </w:pPr>
          </w:p>
        </w:tc>
        <w:tc>
          <w:tcPr>
            <w:tcW w:w="420" w:type="dxa"/>
            <w:vAlign w:val="bottom"/>
            <w:tcBorders>
              <w:top w:val="single" w:sz="8" w:color="auto"/>
            </w:tcBorders>
            <w:gridSpan w:val="4"/>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2,527.3</w:t>
            </w:r>
          </w:p>
        </w:tc>
        <w:tc>
          <w:tcPr>
            <w:tcW w:w="1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3"/>
          </w:tcPr>
          <w:p>
            <w:pPr>
              <w:jc w:val="right"/>
              <w:ind w:right="66"/>
              <w:spacing w:after="0" w:line="100" w:lineRule="exact"/>
              <w:rPr>
                <w:sz w:val="20"/>
                <w:szCs w:val="20"/>
                <w:color w:val="auto"/>
              </w:rPr>
            </w:pPr>
            <w:r>
              <w:rPr>
                <w:rFonts w:ascii="Times New Roman" w:cs="Times New Roman" w:eastAsia="Times New Roman" w:hAnsi="Times New Roman"/>
                <w:sz w:val="11"/>
                <w:szCs w:val="11"/>
                <w:color w:val="auto"/>
              </w:rPr>
              <w:t>2,478.0</w:t>
            </w: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ind w:right="46"/>
              <w:spacing w:after="0" w:line="100" w:lineRule="exact"/>
              <w:rPr>
                <w:sz w:val="20"/>
                <w:szCs w:val="20"/>
                <w:color w:val="auto"/>
              </w:rPr>
            </w:pPr>
            <w:r>
              <w:rPr>
                <w:rFonts w:ascii="Times New Roman" w:cs="Times New Roman" w:eastAsia="Times New Roman" w:hAnsi="Times New Roman"/>
                <w:sz w:val="11"/>
                <w:szCs w:val="11"/>
                <w:color w:val="auto"/>
              </w:rPr>
              <w:t>1,212.1</w:t>
            </w: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auto"/>
            </w:tcBorders>
            <w:gridSpan w:val="2"/>
          </w:tcPr>
          <w:p>
            <w:pPr>
              <w:jc w:val="right"/>
              <w:ind w:right="26"/>
              <w:spacing w:after="0" w:line="100" w:lineRule="exact"/>
              <w:rPr>
                <w:sz w:val="20"/>
                <w:szCs w:val="20"/>
                <w:color w:val="auto"/>
              </w:rPr>
            </w:pPr>
            <w:r>
              <w:rPr>
                <w:rFonts w:ascii="Times New Roman" w:cs="Times New Roman" w:eastAsia="Times New Roman" w:hAnsi="Times New Roman"/>
                <w:sz w:val="11"/>
                <w:szCs w:val="11"/>
                <w:b w:val="1"/>
                <w:bCs w:val="1"/>
                <w:color w:val="auto"/>
              </w:rPr>
              <w:t>(1,848.6)</w:t>
            </w: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color w:val="auto"/>
                <w:w w:val="94"/>
              </w:rPr>
              <w:t>(1,163.7)</w:t>
            </w:r>
          </w:p>
        </w:tc>
        <w:tc>
          <w:tcPr>
            <w:tcW w:w="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5"/>
          </w:tcPr>
          <w:p>
            <w:pPr>
              <w:jc w:val="right"/>
              <w:ind w:right="26"/>
              <w:spacing w:after="0" w:line="100" w:lineRule="exact"/>
              <w:rPr>
                <w:sz w:val="20"/>
                <w:szCs w:val="20"/>
                <w:color w:val="auto"/>
              </w:rPr>
            </w:pPr>
            <w:r>
              <w:rPr>
                <w:rFonts w:ascii="Times New Roman" w:cs="Times New Roman" w:eastAsia="Times New Roman" w:hAnsi="Times New Roman"/>
                <w:sz w:val="11"/>
                <w:szCs w:val="11"/>
                <w:color w:val="auto"/>
              </w:rPr>
              <w:t>(1,024.0)</w:t>
            </w:r>
          </w:p>
        </w:tc>
        <w:tc>
          <w:tcPr>
            <w:tcW w:w="20" w:type="dxa"/>
            <w:vAlign w:val="bottom"/>
          </w:tcPr>
          <w:p>
            <w:pPr>
              <w:spacing w:after="0"/>
              <w:rPr>
                <w:sz w:val="8"/>
                <w:szCs w:val="8"/>
                <w:color w:val="auto"/>
              </w:rPr>
            </w:pPr>
          </w:p>
        </w:tc>
        <w:tc>
          <w:tcPr>
            <w:tcW w:w="540" w:type="dxa"/>
            <w:vAlign w:val="bottom"/>
            <w:tcBorders>
              <w:top w:val="single" w:sz="8" w:color="auto"/>
            </w:tcBorders>
          </w:tcPr>
          <w:p>
            <w:pPr>
              <w:jc w:val="center"/>
              <w:ind w:left="86"/>
              <w:spacing w:after="0" w:line="100" w:lineRule="exact"/>
              <w:rPr>
                <w:sz w:val="20"/>
                <w:szCs w:val="20"/>
                <w:color w:val="auto"/>
              </w:rPr>
            </w:pPr>
            <w:r>
              <w:rPr>
                <w:rFonts w:ascii="Times New Roman" w:cs="Times New Roman" w:eastAsia="Times New Roman" w:hAnsi="Times New Roman"/>
                <w:sz w:val="11"/>
                <w:szCs w:val="11"/>
                <w:b w:val="1"/>
                <w:bCs w:val="1"/>
                <w:color w:val="auto"/>
              </w:rPr>
              <w:t>21.0</w:t>
            </w:r>
          </w:p>
        </w:tc>
        <w:tc>
          <w:tcPr>
            <w:tcW w:w="60" w:type="dxa"/>
            <w:vAlign w:val="bottom"/>
          </w:tcPr>
          <w:p>
            <w:pPr>
              <w:spacing w:after="0"/>
              <w:rPr>
                <w:sz w:val="8"/>
                <w:szCs w:val="8"/>
                <w:color w:val="auto"/>
              </w:rPr>
            </w:pPr>
          </w:p>
        </w:tc>
        <w:tc>
          <w:tcPr>
            <w:tcW w:w="440" w:type="dxa"/>
            <w:vAlign w:val="bottom"/>
            <w:tcBorders>
              <w:top w:val="single" w:sz="8" w:color="auto"/>
            </w:tcBorders>
            <w:gridSpan w:val="4"/>
          </w:tcPr>
          <w:p>
            <w:pPr>
              <w:jc w:val="right"/>
              <w:spacing w:after="0" w:line="100" w:lineRule="exact"/>
              <w:rPr>
                <w:sz w:val="20"/>
                <w:szCs w:val="20"/>
                <w:color w:val="auto"/>
              </w:rPr>
            </w:pPr>
            <w:r>
              <w:rPr>
                <w:rFonts w:ascii="Times New Roman" w:cs="Times New Roman" w:eastAsia="Times New Roman" w:hAnsi="Times New Roman"/>
                <w:sz w:val="11"/>
                <w:szCs w:val="11"/>
                <w:color w:val="auto"/>
              </w:rPr>
              <w:t>1,646.6</w:t>
            </w:r>
          </w:p>
        </w:tc>
        <w:tc>
          <w:tcPr>
            <w:tcW w:w="1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2"/>
          </w:tcPr>
          <w:p>
            <w:pPr>
              <w:jc w:val="right"/>
              <w:ind w:right="120"/>
              <w:spacing w:after="0" w:line="100" w:lineRule="exact"/>
              <w:rPr>
                <w:sz w:val="20"/>
                <w:szCs w:val="20"/>
                <w:color w:val="auto"/>
              </w:rPr>
            </w:pPr>
            <w:r>
              <w:rPr>
                <w:rFonts w:ascii="Times New Roman" w:cs="Times New Roman" w:eastAsia="Times New Roman" w:hAnsi="Times New Roman"/>
                <w:sz w:val="11"/>
                <w:szCs w:val="11"/>
                <w:color w:val="auto"/>
              </w:rPr>
              <w:t>1,165.6</w:t>
            </w:r>
          </w:p>
        </w:tc>
      </w:tr>
      <w:tr>
        <w:trPr>
          <w:trHeight w:val="140"/>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40"/>
        </w:trPr>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108"/>
        </w:trPr>
        <w:tc>
          <w:tcPr>
            <w:tcW w:w="12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Net realized and</w:t>
            </w:r>
          </w:p>
        </w:tc>
        <w:tc>
          <w:tcPr>
            <w:tcW w:w="4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7,911.2</w:t>
            </w:r>
          </w:p>
        </w:tc>
        <w:tc>
          <w:tcPr>
            <w:tcW w:w="40" w:type="dxa"/>
            <w:vAlign w:val="bottom"/>
            <w:shd w:val="clear" w:color="auto" w:fill="CCEEFF"/>
          </w:tcPr>
          <w:p>
            <w:pPr>
              <w:spacing w:after="0"/>
              <w:rPr>
                <w:sz w:val="9"/>
                <w:szCs w:val="9"/>
                <w:color w:val="auto"/>
              </w:rPr>
            </w:pPr>
          </w:p>
        </w:tc>
        <w:tc>
          <w:tcPr>
            <w:tcW w:w="580" w:type="dxa"/>
            <w:vAlign w:val="bottom"/>
            <w:gridSpan w:val="4"/>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1"/>
                <w:szCs w:val="11"/>
                <w:color w:val="auto"/>
              </w:rPr>
              <w:t>2,980.0</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10,643.7</w:t>
            </w:r>
          </w:p>
        </w:tc>
        <w:tc>
          <w:tcPr>
            <w:tcW w:w="440" w:type="dxa"/>
            <w:vAlign w:val="bottom"/>
            <w:gridSpan w:val="5"/>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575.8</w:t>
            </w:r>
          </w:p>
        </w:tc>
        <w:tc>
          <w:tcPr>
            <w:tcW w:w="720" w:type="dxa"/>
            <w:vAlign w:val="bottom"/>
            <w:gridSpan w:val="5"/>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color w:val="auto"/>
              </w:rPr>
              <w:t>224.7</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(1.9)</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6"/>
              </w:rPr>
              <w:t>4,891.9</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shd w:val="clear" w:color="auto" w:fill="CCEEFF"/>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w w:val="96"/>
              </w:rPr>
              <w:t>4,159.4</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w w:val="90"/>
              </w:rPr>
              <w:t>2,876.1</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6"/>
              <w:spacing w:after="0" w:line="108" w:lineRule="exact"/>
              <w:rPr>
                <w:sz w:val="20"/>
                <w:szCs w:val="20"/>
                <w:color w:val="auto"/>
              </w:rPr>
            </w:pPr>
            <w:r>
              <w:rPr>
                <w:rFonts w:ascii="Times New Roman" w:cs="Times New Roman" w:eastAsia="Times New Roman" w:hAnsi="Times New Roman"/>
                <w:sz w:val="11"/>
                <w:szCs w:val="11"/>
                <w:b w:val="1"/>
                <w:bCs w:val="1"/>
                <w:color w:val="auto"/>
              </w:rPr>
              <w:t>13,378.9</w:t>
            </w:r>
          </w:p>
        </w:tc>
        <w:tc>
          <w:tcPr>
            <w:tcW w:w="500" w:type="dxa"/>
            <w:vAlign w:val="bottom"/>
            <w:gridSpan w:val="5"/>
            <w:shd w:val="clear" w:color="auto" w:fill="CCEEFF"/>
          </w:tcPr>
          <w:p>
            <w:pPr>
              <w:jc w:val="right"/>
              <w:spacing w:after="0" w:line="108" w:lineRule="exact"/>
              <w:rPr>
                <w:sz w:val="20"/>
                <w:szCs w:val="20"/>
                <w:color w:val="auto"/>
              </w:rPr>
            </w:pPr>
            <w:r>
              <w:rPr>
                <w:rFonts w:ascii="Times New Roman" w:cs="Times New Roman" w:eastAsia="Times New Roman" w:hAnsi="Times New Roman"/>
                <w:sz w:val="11"/>
                <w:szCs w:val="11"/>
                <w:color w:val="auto"/>
              </w:rPr>
              <w:t>7,364.1</w:t>
            </w:r>
          </w:p>
        </w:tc>
        <w:tc>
          <w:tcPr>
            <w:tcW w:w="700" w:type="dxa"/>
            <w:vAlign w:val="bottom"/>
            <w:gridSpan w:val="4"/>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13,517.9</w:t>
            </w:r>
          </w:p>
        </w:tc>
      </w:tr>
      <w:tr>
        <w:trPr>
          <w:trHeight w:val="192"/>
        </w:trPr>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unrealized gain (loss)</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34"/>
        </w:trPr>
        <w:tc>
          <w:tcPr>
            <w:tcW w:w="12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Net income (loss)</w:t>
            </w: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$ 7,253.4</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6"/>
              </w:rPr>
              <w:t>$ 3,312.3</w:t>
            </w: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$11,621.2</w:t>
            </w:r>
          </w:p>
        </w:tc>
        <w:tc>
          <w:tcPr>
            <w:tcW w:w="20" w:type="dxa"/>
            <w:vAlign w:val="bottom"/>
          </w:tcPr>
          <w:p>
            <w:pPr>
              <w:spacing w:after="0"/>
              <w:rPr>
                <w:sz w:val="11"/>
                <w:szCs w:val="11"/>
                <w:color w:val="auto"/>
              </w:rPr>
            </w:pPr>
          </w:p>
        </w:tc>
        <w:tc>
          <w:tcPr>
            <w:tcW w:w="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$ 3,103.1</w:t>
            </w: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color w:val="auto"/>
                <w:w w:val="96"/>
              </w:rPr>
              <w:t>$ 2,702.7</w:t>
            </w:r>
          </w:p>
        </w:tc>
        <w:tc>
          <w:tcPr>
            <w:tcW w:w="60" w:type="dxa"/>
            <w:vAlign w:val="bottom"/>
          </w:tcPr>
          <w:p>
            <w:pPr>
              <w:spacing w:after="0"/>
              <w:rPr>
                <w:sz w:val="11"/>
                <w:szCs w:val="11"/>
                <w:color w:val="auto"/>
              </w:rPr>
            </w:pPr>
          </w:p>
        </w:tc>
        <w:tc>
          <w:tcPr>
            <w:tcW w:w="5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6"/>
              </w:rPr>
              <w:t>$ 1,210.2</w:t>
            </w: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$ 3,043.3</w:t>
            </w:r>
          </w:p>
        </w:tc>
        <w:tc>
          <w:tcPr>
            <w:tcW w:w="60" w:type="dxa"/>
            <w:vAlign w:val="bottom"/>
          </w:tcPr>
          <w:p>
            <w:pPr>
              <w:spacing w:after="0"/>
              <w:rPr>
                <w:sz w:val="11"/>
                <w:szCs w:val="11"/>
                <w:color w:val="auto"/>
              </w:rPr>
            </w:pPr>
          </w:p>
        </w:tc>
        <w:tc>
          <w:tcPr>
            <w:tcW w:w="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6"/>
              </w:rPr>
              <w:t>2,995.7</w:t>
            </w:r>
          </w:p>
        </w:tc>
        <w:tc>
          <w:tcPr>
            <w:tcW w:w="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0"/>
              </w:rPr>
              <w:t>1,852.1</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$13,399.9</w:t>
            </w:r>
          </w:p>
        </w:tc>
        <w:tc>
          <w:tcPr>
            <w:tcW w:w="60" w:type="dxa"/>
            <w:vAlign w:val="bottom"/>
          </w:tcPr>
          <w:p>
            <w:pPr>
              <w:spacing w:after="0"/>
              <w:rPr>
                <w:sz w:val="11"/>
                <w:szCs w:val="11"/>
                <w:color w:val="auto"/>
              </w:rPr>
            </w:pPr>
          </w:p>
        </w:tc>
        <w:tc>
          <w:tcPr>
            <w:tcW w:w="4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w w:val="96"/>
              </w:rPr>
              <w:t>$ 9,010.7</w:t>
            </w: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$14,683.5</w:t>
            </w:r>
          </w:p>
        </w:tc>
      </w:tr>
      <w:tr>
        <w:trPr>
          <w:trHeight w:val="74"/>
        </w:trPr>
        <w:tc>
          <w:tcPr>
            <w:tcW w:w="1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bottom w:val="single" w:sz="8" w:color="auto"/>
            </w:tcBorders>
            <w:gridSpan w:val="4"/>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320"/>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9"/>
          </w:tcPr>
          <w:p>
            <w:pPr>
              <w:spacing w:after="0"/>
              <w:rPr>
                <w:sz w:val="20"/>
                <w:szCs w:val="20"/>
                <w:color w:val="auto"/>
              </w:rPr>
            </w:pPr>
            <w:r>
              <w:rPr>
                <w:rFonts w:ascii="Times New Roman" w:cs="Times New Roman" w:eastAsia="Times New Roman" w:hAnsi="Times New Roman"/>
                <w:sz w:val="11"/>
                <w:szCs w:val="11"/>
                <w:b w:val="1"/>
                <w:bCs w:val="1"/>
                <w:color w:val="auto"/>
              </w:rPr>
              <w:t>Global Private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Global Credit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Global Investment Solutions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Aggregate Totals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64"/>
        </w:trPr>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bottom w:val="single" w:sz="8" w:color="auto"/>
            </w:tcBorders>
            <w:gridSpan w:val="5"/>
          </w:tcPr>
          <w:p>
            <w:pPr>
              <w:spacing w:after="0"/>
              <w:rPr>
                <w:sz w:val="5"/>
                <w:szCs w:val="5"/>
                <w:color w:val="auto"/>
              </w:rPr>
            </w:pPr>
          </w:p>
        </w:tc>
        <w:tc>
          <w:tcPr>
            <w:tcW w:w="14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bottom w:val="single" w:sz="8" w:color="auto"/>
            </w:tcBorders>
            <w:gridSpan w:val="5"/>
          </w:tcPr>
          <w:p>
            <w:pPr>
              <w:spacing w:after="0"/>
              <w:rPr>
                <w:sz w:val="5"/>
                <w:szCs w:val="5"/>
                <w:color w:val="auto"/>
              </w:rPr>
            </w:pPr>
          </w:p>
        </w:tc>
        <w:tc>
          <w:tcPr>
            <w:tcW w:w="320" w:type="dxa"/>
            <w:vAlign w:val="bottom"/>
            <w:tcBorders>
              <w:bottom w:val="single" w:sz="8" w:color="auto"/>
            </w:tcBorders>
            <w:gridSpan w:val="3"/>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Borders>
              <w:bottom w:val="single" w:sz="8" w:color="auto"/>
            </w:tcBorders>
            <w:gridSpan w:val="7"/>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5"/>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134"/>
        </w:trPr>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w w:val="98"/>
              </w:rPr>
              <w:t>As of December 31,</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50"/>
        </w:trPr>
        <w:tc>
          <w:tcPr>
            <w:tcW w:w="128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3"/>
          </w:tcPr>
          <w:p>
            <w:pPr>
              <w:spacing w:after="0"/>
              <w:rPr>
                <w:sz w:val="4"/>
                <w:szCs w:val="4"/>
                <w:color w:val="auto"/>
              </w:rPr>
            </w:pPr>
          </w:p>
        </w:tc>
        <w:tc>
          <w:tcPr>
            <w:tcW w:w="38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34"/>
        </w:trPr>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50"/>
        </w:trPr>
        <w:tc>
          <w:tcPr>
            <w:tcW w:w="12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152"/>
        </w:trPr>
        <w:tc>
          <w:tcPr>
            <w:tcW w:w="128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Balance sheet information</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40" w:type="dxa"/>
            <w:vAlign w:val="bottom"/>
          </w:tcPr>
          <w:p>
            <w:pPr>
              <w:spacing w:after="0"/>
              <w:rPr>
                <w:sz w:val="13"/>
                <w:szCs w:val="13"/>
                <w:color w:val="auto"/>
              </w:rPr>
            </w:pPr>
          </w:p>
        </w:tc>
      </w:tr>
      <w:tr>
        <w:trPr>
          <w:trHeight w:val="142"/>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Investments</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5"/>
              </w:rPr>
              <w:t>123,663.3</w:t>
            </w:r>
          </w:p>
        </w:tc>
        <w:tc>
          <w:tcPr>
            <w:tcW w:w="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102,536.5</w:t>
            </w: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32,367.7</w:t>
            </w:r>
          </w:p>
        </w:tc>
        <w:tc>
          <w:tcPr>
            <w:tcW w:w="6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8"/>
              </w:rPr>
              <w:t>26,814.0</w:t>
            </w:r>
          </w:p>
        </w:tc>
        <w:tc>
          <w:tcPr>
            <w:tcW w:w="2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62,935.0</w:t>
            </w:r>
          </w:p>
        </w:tc>
        <w:tc>
          <w:tcPr>
            <w:tcW w:w="20" w:type="dxa"/>
            <w:vAlign w:val="bottom"/>
          </w:tcPr>
          <w:p>
            <w:pPr>
              <w:spacing w:after="0"/>
              <w:rPr>
                <w:sz w:val="12"/>
                <w:szCs w:val="12"/>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w w:val="98"/>
              </w:rPr>
              <w:t>40,170.7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218,966.0</w:t>
            </w:r>
          </w:p>
        </w:tc>
        <w:tc>
          <w:tcPr>
            <w:tcW w:w="420" w:type="dxa"/>
            <w:vAlign w:val="bottom"/>
            <w:gridSpan w:val="4"/>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w w:val="90"/>
              </w:rPr>
              <w:t>169,521.2</w:t>
            </w:r>
          </w:p>
        </w:tc>
        <w:tc>
          <w:tcPr>
            <w:tcW w:w="240" w:type="dxa"/>
            <w:vAlign w:val="bottom"/>
          </w:tcPr>
          <w:p>
            <w:pPr>
              <w:spacing w:after="0"/>
              <w:rPr>
                <w:sz w:val="12"/>
                <w:szCs w:val="12"/>
                <w:color w:val="auto"/>
              </w:rPr>
            </w:pPr>
          </w:p>
        </w:tc>
      </w:tr>
      <w:tr>
        <w:trPr>
          <w:trHeight w:val="62"/>
        </w:trPr>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gridSpan w:val="4"/>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gridSpan w:val="4"/>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58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gridSpan w:val="4"/>
          </w:tcPr>
          <w:p>
            <w:pPr>
              <w:spacing w:after="0"/>
              <w:rPr>
                <w:sz w:val="5"/>
                <w:szCs w:val="5"/>
                <w:color w:val="auto"/>
              </w:rPr>
            </w:pPr>
          </w:p>
        </w:tc>
        <w:tc>
          <w:tcPr>
            <w:tcW w:w="240" w:type="dxa"/>
            <w:vAlign w:val="bottom"/>
          </w:tcPr>
          <w:p>
            <w:pPr>
              <w:spacing w:after="0"/>
              <w:rPr>
                <w:sz w:val="5"/>
                <w:szCs w:val="5"/>
                <w:color w:val="auto"/>
              </w:rPr>
            </w:pPr>
          </w:p>
        </w:tc>
      </w:tr>
      <w:tr>
        <w:trPr>
          <w:trHeight w:val="14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5"/>
              </w:rPr>
              <w:t>127,257.1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106,116.6</w:t>
            </w:r>
          </w:p>
        </w:tc>
        <w:tc>
          <w:tcPr>
            <w:tcW w:w="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33,970.1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8"/>
              </w:rPr>
              <w:t>32,803.3</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63,678.5</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8"/>
              </w:rPr>
              <w:t>40,156.2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224,905.7</w:t>
            </w:r>
          </w:p>
        </w:tc>
        <w:tc>
          <w:tcPr>
            <w:tcW w:w="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0"/>
              </w:rPr>
              <w:t>179,076.1</w:t>
            </w:r>
          </w:p>
        </w:tc>
        <w:tc>
          <w:tcPr>
            <w:tcW w:w="240" w:type="dxa"/>
            <w:vAlign w:val="bottom"/>
          </w:tcPr>
          <w:p>
            <w:pPr>
              <w:spacing w:after="0"/>
              <w:rPr>
                <w:sz w:val="12"/>
                <w:szCs w:val="12"/>
                <w:color w:val="auto"/>
              </w:rPr>
            </w:pPr>
          </w:p>
        </w:tc>
      </w:tr>
      <w:tr>
        <w:trPr>
          <w:trHeight w:val="62"/>
        </w:trPr>
        <w:tc>
          <w:tcPr>
            <w:tcW w:w="1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gridSpan w:val="3"/>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gridSpan w:val="2"/>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gridSpan w:val="3"/>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580" w:type="dxa"/>
            <w:vAlign w:val="bottom"/>
            <w:gridSpan w:val="3"/>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20" w:type="dxa"/>
            <w:vAlign w:val="bottom"/>
            <w:gridSpan w:val="4"/>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gridSpan w:val="4"/>
            <w:shd w:val="clear" w:color="auto" w:fill="CCEEFF"/>
          </w:tcPr>
          <w:p>
            <w:pPr>
              <w:spacing w:after="0"/>
              <w:rPr>
                <w:sz w:val="5"/>
                <w:szCs w:val="5"/>
                <w:color w:val="auto"/>
              </w:rPr>
            </w:pPr>
          </w:p>
        </w:tc>
        <w:tc>
          <w:tcPr>
            <w:tcW w:w="240" w:type="dxa"/>
            <w:vAlign w:val="bottom"/>
          </w:tcPr>
          <w:p>
            <w:pPr>
              <w:spacing w:after="0"/>
              <w:rPr>
                <w:sz w:val="5"/>
                <w:szCs w:val="5"/>
                <w:color w:val="auto"/>
              </w:rPr>
            </w:pPr>
          </w:p>
        </w:tc>
      </w:tr>
      <w:tr>
        <w:trPr>
          <w:trHeight w:val="142"/>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Debt</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11,560.9</w:t>
            </w:r>
          </w:p>
        </w:tc>
        <w:tc>
          <w:tcPr>
            <w:tcW w:w="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8,355.4</w:t>
            </w: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6,625.5</w:t>
            </w:r>
          </w:p>
        </w:tc>
        <w:tc>
          <w:tcPr>
            <w:tcW w:w="6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6,601.0</w:t>
            </w:r>
          </w:p>
        </w:tc>
        <w:tc>
          <w:tcPr>
            <w:tcW w:w="2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2,929.2</w:t>
            </w:r>
          </w:p>
        </w:tc>
        <w:tc>
          <w:tcPr>
            <w:tcW w:w="20" w:type="dxa"/>
            <w:vAlign w:val="bottom"/>
          </w:tcPr>
          <w:p>
            <w:pPr>
              <w:spacing w:after="0"/>
              <w:rPr>
                <w:sz w:val="12"/>
                <w:szCs w:val="12"/>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rPr>
              <w:t>2,305.2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3"/>
              </w:rPr>
              <w:t>21,115.6</w:t>
            </w:r>
          </w:p>
        </w:tc>
        <w:tc>
          <w:tcPr>
            <w:tcW w:w="420" w:type="dxa"/>
            <w:vAlign w:val="bottom"/>
            <w:gridSpan w:val="4"/>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17,261.6</w:t>
            </w:r>
          </w:p>
        </w:tc>
        <w:tc>
          <w:tcPr>
            <w:tcW w:w="240" w:type="dxa"/>
            <w:vAlign w:val="bottom"/>
          </w:tcPr>
          <w:p>
            <w:pPr>
              <w:spacing w:after="0"/>
              <w:rPr>
                <w:sz w:val="12"/>
                <w:szCs w:val="12"/>
                <w:color w:val="auto"/>
              </w:rPr>
            </w:pPr>
          </w:p>
        </w:tc>
      </w:tr>
      <w:tr>
        <w:trPr>
          <w:trHeight w:val="62"/>
        </w:trPr>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580" w:type="dxa"/>
            <w:vAlign w:val="bottom"/>
            <w:gridSpan w:val="3"/>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3"/>
          </w:tcPr>
          <w:p>
            <w:pPr>
              <w:spacing w:after="0"/>
              <w:rPr>
                <w:sz w:val="5"/>
                <w:szCs w:val="5"/>
                <w:color w:val="auto"/>
              </w:rPr>
            </w:pPr>
          </w:p>
        </w:tc>
        <w:tc>
          <w:tcPr>
            <w:tcW w:w="240" w:type="dxa"/>
            <w:vAlign w:val="bottom"/>
          </w:tcPr>
          <w:p>
            <w:pPr>
              <w:spacing w:after="0"/>
              <w:rPr>
                <w:sz w:val="5"/>
                <w:szCs w:val="5"/>
                <w:color w:val="auto"/>
              </w:rPr>
            </w:pPr>
          </w:p>
        </w:tc>
      </w:tr>
      <w:tr>
        <w:trPr>
          <w:trHeight w:val="142"/>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1,399.3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1,329.3</w:t>
            </w:r>
          </w:p>
        </w:tc>
        <w:tc>
          <w:tcPr>
            <w:tcW w:w="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682.0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777.7</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4,048.8</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6,130.1</w:t>
            </w:r>
          </w:p>
        </w:tc>
        <w:tc>
          <w:tcPr>
            <w:tcW w:w="4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6"/>
              </w:rPr>
              <w:t>4,256.7</w:t>
            </w:r>
          </w:p>
        </w:tc>
        <w:tc>
          <w:tcPr>
            <w:tcW w:w="240" w:type="dxa"/>
            <w:vAlign w:val="bottom"/>
          </w:tcPr>
          <w:p>
            <w:pPr>
              <w:spacing w:after="0"/>
              <w:rPr>
                <w:sz w:val="12"/>
                <w:szCs w:val="12"/>
                <w:color w:val="auto"/>
              </w:rPr>
            </w:pPr>
          </w:p>
        </w:tc>
      </w:tr>
      <w:tr>
        <w:trPr>
          <w:trHeight w:val="62"/>
        </w:trPr>
        <w:tc>
          <w:tcPr>
            <w:tcW w:w="1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gridSpan w:val="3"/>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0" w:type="dxa"/>
            <w:vAlign w:val="bottom"/>
            <w:gridSpan w:val="2"/>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gridSpan w:val="3"/>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580" w:type="dxa"/>
            <w:vAlign w:val="bottom"/>
            <w:gridSpan w:val="3"/>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20" w:type="dxa"/>
            <w:vAlign w:val="bottom"/>
            <w:gridSpan w:val="4"/>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gridSpan w:val="2"/>
            <w:shd w:val="clear" w:color="auto" w:fill="CCEEFF"/>
          </w:tcPr>
          <w:p>
            <w:pPr>
              <w:spacing w:after="0"/>
              <w:rPr>
                <w:sz w:val="5"/>
                <w:szCs w:val="5"/>
                <w:color w:val="auto"/>
              </w:rPr>
            </w:pPr>
          </w:p>
        </w:tc>
        <w:tc>
          <w:tcPr>
            <w:tcW w:w="10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gridSpan w:val="4"/>
            <w:shd w:val="clear" w:color="auto" w:fill="CCEEFF"/>
          </w:tcPr>
          <w:p>
            <w:pPr>
              <w:spacing w:after="0"/>
              <w:rPr>
                <w:sz w:val="5"/>
                <w:szCs w:val="5"/>
                <w:color w:val="auto"/>
              </w:rPr>
            </w:pPr>
          </w:p>
        </w:tc>
        <w:tc>
          <w:tcPr>
            <w:tcW w:w="240" w:type="dxa"/>
            <w:vAlign w:val="bottom"/>
          </w:tcPr>
          <w:p>
            <w:pPr>
              <w:spacing w:after="0"/>
              <w:rPr>
                <w:sz w:val="5"/>
                <w:szCs w:val="5"/>
                <w:color w:val="auto"/>
              </w:rPr>
            </w:pPr>
          </w:p>
        </w:tc>
      </w:tr>
      <w:tr>
        <w:trPr>
          <w:trHeight w:val="142"/>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52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12,960.2</w:t>
            </w:r>
          </w:p>
        </w:tc>
        <w:tc>
          <w:tcPr>
            <w:tcW w:w="6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9,684.7</w:t>
            </w: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6"/>
              </w:rPr>
              <w:t>7,307.5</w:t>
            </w:r>
          </w:p>
        </w:tc>
        <w:tc>
          <w:tcPr>
            <w:tcW w:w="6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7,378.7</w:t>
            </w:r>
          </w:p>
        </w:tc>
        <w:tc>
          <w:tcPr>
            <w:tcW w:w="20" w:type="dxa"/>
            <w:vAlign w:val="bottom"/>
          </w:tcPr>
          <w:p>
            <w:pPr>
              <w:spacing w:after="0"/>
              <w:rPr>
                <w:sz w:val="12"/>
                <w:szCs w:val="12"/>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6,978.1</w:t>
            </w:r>
          </w:p>
        </w:tc>
        <w:tc>
          <w:tcPr>
            <w:tcW w:w="20" w:type="dxa"/>
            <w:vAlign w:val="bottom"/>
          </w:tcPr>
          <w:p>
            <w:pPr>
              <w:spacing w:after="0"/>
              <w:rPr>
                <w:sz w:val="12"/>
                <w:szCs w:val="12"/>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rPr>
              <w:t>4,454.9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3"/>
              </w:rPr>
              <w:t>27,245.8</w:t>
            </w:r>
          </w:p>
        </w:tc>
        <w:tc>
          <w:tcPr>
            <w:tcW w:w="420" w:type="dxa"/>
            <w:vAlign w:val="bottom"/>
            <w:gridSpan w:val="4"/>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21,518.3</w:t>
            </w:r>
          </w:p>
        </w:tc>
        <w:tc>
          <w:tcPr>
            <w:tcW w:w="240" w:type="dxa"/>
            <w:vAlign w:val="bottom"/>
          </w:tcPr>
          <w:p>
            <w:pPr>
              <w:spacing w:after="0"/>
              <w:rPr>
                <w:sz w:val="12"/>
                <w:szCs w:val="12"/>
                <w:color w:val="auto"/>
              </w:rPr>
            </w:pPr>
          </w:p>
        </w:tc>
      </w:tr>
      <w:tr>
        <w:trPr>
          <w:trHeight w:val="202"/>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Partners’ capital</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5"/>
              </w:rPr>
              <w:t>114,296.9</w:t>
            </w:r>
          </w:p>
        </w:tc>
        <w:tc>
          <w:tcPr>
            <w:tcW w:w="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96,431.9</w:t>
            </w: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26,662.6</w:t>
            </w:r>
          </w:p>
        </w:tc>
        <w:tc>
          <w:tcPr>
            <w:tcW w:w="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7"/>
                <w:szCs w:val="17"/>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98"/>
              </w:rPr>
              <w:t>25,424.6</w:t>
            </w:r>
          </w:p>
        </w:tc>
        <w:tc>
          <w:tcPr>
            <w:tcW w:w="2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56,700.4</w:t>
            </w:r>
          </w:p>
        </w:tc>
        <w:tc>
          <w:tcPr>
            <w:tcW w:w="2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w w:val="98"/>
              </w:rPr>
              <w:t>35,701.3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197,659.9</w:t>
            </w:r>
          </w:p>
        </w:tc>
        <w:tc>
          <w:tcPr>
            <w:tcW w:w="420" w:type="dxa"/>
            <w:vAlign w:val="bottom"/>
            <w:gridSpan w:val="4"/>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w w:val="90"/>
              </w:rPr>
              <w:t>157,557.8</w:t>
            </w:r>
          </w:p>
        </w:tc>
        <w:tc>
          <w:tcPr>
            <w:tcW w:w="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5129530" cy="129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129530" cy="1295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in Fortitude</w:t>
      </w:r>
    </w:p>
    <w:p>
      <w:pPr>
        <w:spacing w:after="0" w:line="203" w:lineRule="auto"/>
        <w:rPr>
          <w:sz w:val="20"/>
          <w:szCs w:val="20"/>
          <w:color w:val="auto"/>
        </w:rPr>
      </w:pPr>
      <w:r>
        <w:rPr>
          <w:rFonts w:ascii="Times New Roman" w:cs="Times New Roman" w:eastAsia="Times New Roman" w:hAnsi="Times New Roman"/>
          <w:sz w:val="16"/>
          <w:szCs w:val="16"/>
          <w:color w:val="auto"/>
        </w:rPr>
        <w:t>On November 13, 2018, the Company acquired a 19.9% interest in Fortitude Group Holdings, LLC (“Fortitude</w:t>
      </w:r>
    </w:p>
    <w:p>
      <w:pPr>
        <w:ind w:right="1500"/>
        <w:spacing w:after="0" w:line="209" w:lineRule="auto"/>
        <w:rPr>
          <w:sz w:val="20"/>
          <w:szCs w:val="20"/>
          <w:color w:val="auto"/>
        </w:rPr>
      </w:pPr>
      <w:r>
        <w:rPr>
          <w:rFonts w:ascii="Times New Roman" w:cs="Times New Roman" w:eastAsia="Times New Roman" w:hAnsi="Times New Roman"/>
          <w:sz w:val="16"/>
          <w:szCs w:val="16"/>
          <w:color w:val="auto"/>
        </w:rPr>
        <w:t>Holdings”), a wholly owned subsidiary of American International Group, Inc. (“AIG”). Fortitude Holdings owns 100% of the outstanding common shares of Fortitude Reinsurance Company Ltd., a Bermuda domiciled reinsurer (“Fortitude Re”). The Company paid $381 million in cash at closing and paid $95 million in additional deferred consideration in 2024. In May 2020, the initial purchase price was adjusted upward by $ 99.5 million in accordance with the purchase agreement as Fortitude Holdings chose not to distribute a planned non - pro rata dividend to AIG, of which the Company paid $79.6 million in May 2020. The remaining $19.9 million was paid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80"/>
        <w:spacing w:after="0"/>
        <w:rPr>
          <w:sz w:val="20"/>
          <w:szCs w:val="20"/>
          <w:color w:val="auto"/>
        </w:rPr>
      </w:pPr>
      <w:r>
        <w:rPr>
          <w:rFonts w:ascii="Times New Roman" w:cs="Times New Roman" w:eastAsia="Times New Roman" w:hAnsi="Times New Roman"/>
          <w:sz w:val="14"/>
          <w:szCs w:val="14"/>
          <w:color w:val="auto"/>
        </w:rPr>
        <w:t>On June 2, 2020, Carlyle FRL, L.P. (“Carlyle FRL”), a Carlyle-affiliated investment fund, and T&amp;D United Capital Co., Ltd. (“T&amp;D”), a strategic third -party investor, acquired a 51.6% ownership interest and 25.0% ownership interest, respectively, in Fortitude Holdings from AIG. At closing, the Company contributed its existing 19.9% interest in Fortitude Holdings to Carlyle FRL, such that Carlyle FRL held a 71.5% interest in Fortitude Holdings. Taken together, Carlyle FRL and T&amp;D had 96.5% ownership of Fortitude Holdings. In October 2021, Carlyle FRL, T&amp;D and an affiliate of AIG contributed the entirety of their interest in Fortitude Holdings to FGH Parent, L.P. (“FGH Parent”), a newly- formed entity interposed as the direct parent of Fortitude Holdings, in exchange for an equivalent ownership interest in FGH Parent. References to “Fortitude” prior to this restructuring refer to Fortitude Holdings and refer to FGH Parent for subsequent periods.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March 2022, the Company raised $2.0 billion in third-party equity capital from certain investors in Carlyle FRL and</w:t>
      </w:r>
    </w:p>
    <w:p>
      <w:pPr>
        <w:ind w:right="1460"/>
        <w:spacing w:after="0" w:line="203" w:lineRule="auto"/>
        <w:rPr>
          <w:sz w:val="20"/>
          <w:szCs w:val="20"/>
          <w:color w:val="auto"/>
        </w:rPr>
      </w:pPr>
      <w:r>
        <w:rPr>
          <w:rFonts w:ascii="Times New Roman" w:cs="Times New Roman" w:eastAsia="Times New Roman" w:hAnsi="Times New Roman"/>
          <w:sz w:val="16"/>
          <w:szCs w:val="16"/>
          <w:color w:val="auto"/>
        </w:rPr>
        <w:t>T&amp;D, and committed $100 million from the Company for additional equity capital in Fortitude. In May 2022, Fortitude called $1.1 billion of the capital raise, reducing the Company’s indirect ownership of Fortitude from 19.9% to 13.5%. As a result of the dilution, the Company recorded a reduction in the carrying value of its equity method investment and corresponding loss of $176.9 million. In May 2023, Fortitude called the remaining $1 billion of the capital commitments and the Company’s indirect ownership of Fortitude further decreased from 13.5% to 10.5%, resulting in an additional reduction in the carrying value and a corresponding loss of $ 104.0 million. Effective October 2023, a third-party investor in Carlyle FRL received a distribution in kind of its interest in FGH Parent held indirectly through the fund, reducing Carlyle FRL’s ownership in FGH Parent to 38.5%. Following the additional capital contributions in 2022 and 2023, Carlyle FRL and its strategic third-party investors collectively hold a 97.5% interest in FGH Parent.</w:t>
      </w:r>
    </w:p>
    <w:p>
      <w:pPr>
        <w:ind w:left="20"/>
        <w:spacing w:after="0" w:line="208" w:lineRule="auto"/>
        <w:rPr>
          <w:sz w:val="20"/>
          <w:szCs w:val="20"/>
          <w:color w:val="auto"/>
        </w:rPr>
      </w:pPr>
      <w:r>
        <w:rPr>
          <w:rFonts w:ascii="Times New Roman" w:cs="Times New Roman" w:eastAsia="Times New Roman" w:hAnsi="Times New Roman"/>
          <w:sz w:val="16"/>
          <w:szCs w:val="16"/>
          <w:color w:val="auto"/>
        </w:rPr>
        <w:t>In November 2024, Fortitude declared and paid a $200.0 million dividend, of which Carlyle FRL’s share was</w:t>
      </w:r>
    </w:p>
    <w:p>
      <w:pPr>
        <w:spacing w:after="0" w:line="204" w:lineRule="auto"/>
        <w:rPr>
          <w:sz w:val="20"/>
          <w:szCs w:val="20"/>
          <w:color w:val="auto"/>
        </w:rPr>
      </w:pPr>
      <w:r>
        <w:rPr>
          <w:rFonts w:ascii="Times New Roman" w:cs="Times New Roman" w:eastAsia="Times New Roman" w:hAnsi="Times New Roman"/>
          <w:sz w:val="16"/>
          <w:szCs w:val="16"/>
          <w:color w:val="auto"/>
        </w:rPr>
        <w:t>$76.9 million. The Company received a distribution from Carlyle FRL of $21.0 million related to this dividend, of which</w:t>
      </w:r>
    </w:p>
    <w:p>
      <w:pPr>
        <w:ind w:right="1540"/>
        <w:spacing w:after="0" w:line="203" w:lineRule="auto"/>
        <w:rPr>
          <w:sz w:val="20"/>
          <w:szCs w:val="20"/>
          <w:color w:val="auto"/>
        </w:rPr>
      </w:pPr>
      <w:r>
        <w:rPr>
          <w:rFonts w:ascii="Times New Roman" w:cs="Times New Roman" w:eastAsia="Times New Roman" w:hAnsi="Times New Roman"/>
          <w:sz w:val="16"/>
          <w:szCs w:val="16"/>
          <w:color w:val="auto"/>
        </w:rPr>
        <w:t>$7.9 million was recognized as realized principal investment income, and the balance as return of capital. As of December 31, 2024, the carrying value of the Company’s investment in Carlyle FRL, which is an investment company that accounts for its investment in Fortitude at fair value, was $ 723.5 million, relative to equity invested of $666.8 million.</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The Company has an asset management relationship with Fortitude pursuant to which Fortitude committed to allocate assets in asset management strategies and vehicles of the Company and its affiliates. As of December 31, 2024, Fortitude, its affiliates and certain Fortitude reinsurance counterparties have committed approximately $ 19.4 billion of capital to-date to various Carlyle strategies. On April 1, 2022, the Company entered into a strategic advisory services agreement with certain subsidiaries of Fortitude through Carlyle Insurance Solutions Management L.L.C.(“CISM”), an investment adviser.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Third-party investors who participated in the March 2022 capital raise also made a minority investment in CISM, which is reflected as non-controlling interest in consolidated entities in the consolidated financial statements.</w:t>
      </w:r>
    </w:p>
    <w:p>
      <w:pPr>
        <w:spacing w:after="0" w:line="209" w:lineRule="auto"/>
        <w:rPr>
          <w:sz w:val="20"/>
          <w:szCs w:val="20"/>
          <w:color w:val="auto"/>
        </w:rPr>
      </w:pPr>
      <w:r>
        <w:rPr>
          <w:rFonts w:ascii="Times New Roman" w:cs="Times New Roman" w:eastAsia="Times New Roman" w:hAnsi="Times New Roman"/>
          <w:sz w:val="16"/>
          <w:szCs w:val="16"/>
          <w:b w:val="1"/>
          <w:bCs w:val="1"/>
          <w:color w:val="auto"/>
        </w:rPr>
        <w:t>Investment in NGP</w:t>
      </w:r>
    </w:p>
    <w:p>
      <w:pPr>
        <w:spacing w:after="0" w:line="203" w:lineRule="auto"/>
        <w:rPr>
          <w:sz w:val="20"/>
          <w:szCs w:val="20"/>
          <w:color w:val="auto"/>
        </w:rPr>
      </w:pPr>
      <w:r>
        <w:rPr>
          <w:rFonts w:ascii="Times New Roman" w:cs="Times New Roman" w:eastAsia="Times New Roman" w:hAnsi="Times New Roman"/>
          <w:sz w:val="16"/>
          <w:szCs w:val="16"/>
          <w:color w:val="auto"/>
        </w:rPr>
        <w:t>The Company has equity interests in NGP Management Company, L.L.C. (“NGP Management”), the general partners</w:t>
      </w:r>
    </w:p>
    <w:p>
      <w:pPr>
        <w:ind w:right="1460"/>
        <w:spacing w:after="0" w:line="213" w:lineRule="auto"/>
        <w:rPr>
          <w:sz w:val="20"/>
          <w:szCs w:val="20"/>
          <w:color w:val="auto"/>
        </w:rPr>
      </w:pPr>
      <w:r>
        <w:rPr>
          <w:rFonts w:ascii="Times New Roman" w:cs="Times New Roman" w:eastAsia="Times New Roman" w:hAnsi="Times New Roman"/>
          <w:sz w:val="16"/>
          <w:szCs w:val="16"/>
          <w:color w:val="auto"/>
        </w:rPr>
        <w:t>of certain carry funds advised by NGP, and principal investments in certain NGP funds as described below. The Company does not control NGP and accounts for its investments in NGP under the equity method of accounting, and includes these investments in the Global Private Equity segment. The Company’s investments in NGP as of December 31, 2024 and 2023 are as follows:</w:t>
      </w:r>
    </w:p>
    <w:p>
      <w:pPr>
        <w:sectPr>
          <w:pgSz w:w="11900" w:h="16840" w:orient="portrait"/>
          <w:cols w:equalWidth="0" w:num="1">
            <w:col w:w="9400"/>
          </w:cols>
          <w:pgMar w:left="1060" w:top="567" w:right="1440" w:bottom="175"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8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182"/>
        </w:trPr>
        <w:tc>
          <w:tcPr>
            <w:tcW w:w="516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r>
      <w:tr>
        <w:trPr>
          <w:trHeight w:val="26"/>
        </w:trPr>
        <w:tc>
          <w:tcPr>
            <w:tcW w:w="516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2"/>
        </w:trPr>
        <w:tc>
          <w:tcPr>
            <w:tcW w:w="5160" w:type="dxa"/>
            <w:vAlign w:val="bottom"/>
          </w:tcPr>
          <w:p>
            <w:pPr>
              <w:spacing w:after="0"/>
              <w:rPr>
                <w:sz w:val="15"/>
                <w:szCs w:val="15"/>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NGP Management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369.2</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370.5</w:t>
            </w:r>
          </w:p>
        </w:tc>
      </w:tr>
      <w:tr>
        <w:trPr>
          <w:trHeight w:val="190"/>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NGP general partners - accrued performance allocations</w:t>
            </w:r>
          </w:p>
        </w:tc>
        <w:tc>
          <w:tcPr>
            <w:tcW w:w="4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489.4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484.4</w:t>
            </w:r>
          </w:p>
        </w:tc>
      </w:tr>
      <w:tr>
        <w:trPr>
          <w:trHeight w:val="50"/>
        </w:trPr>
        <w:tc>
          <w:tcPr>
            <w:tcW w:w="5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0"/>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investments in NGP funds</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53.4</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61.3</w:t>
            </w:r>
          </w:p>
        </w:tc>
      </w:tr>
      <w:tr>
        <w:trPr>
          <w:trHeight w:val="182"/>
        </w:trPr>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investments in NGP</w:t>
            </w: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912.0</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8890</wp:posOffset>
            </wp:positionV>
            <wp:extent cx="134937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15" w:lineRule="exact"/>
        <w:rPr>
          <w:sz w:val="20"/>
          <w:szCs w:val="20"/>
          <w:color w:val="auto"/>
        </w:rPr>
      </w:pPr>
    </w:p>
    <w:p>
      <w:pPr>
        <w:ind w:right="194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Investment in NGP Management. </w:t>
      </w:r>
      <w:r>
        <w:rPr>
          <w:rFonts w:ascii="Times New Roman" w:cs="Times New Roman" w:eastAsia="Times New Roman" w:hAnsi="Times New Roman"/>
          <w:sz w:val="14"/>
          <w:szCs w:val="14"/>
          <w:color w:val="auto"/>
        </w:rPr>
        <w:t>The Company’s equity interests in NGP Management entitle the Company to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allocation of income equal to 55.0% of the management fee related revenues of NGP Management, which serves as the investment advisor to the NGP Energy Funds. Management fees are generally calculated as 1.0% to 2.0% of the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-328295</wp:posOffset>
            </wp:positionV>
            <wp:extent cx="134937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500"/>
        <w:spacing w:after="0" w:line="203" w:lineRule="auto"/>
        <w:rPr>
          <w:sz w:val="20"/>
          <w:szCs w:val="20"/>
          <w:color w:val="auto"/>
        </w:rPr>
      </w:pPr>
      <w:r>
        <w:rPr>
          <w:rFonts w:ascii="Times New Roman" w:cs="Times New Roman" w:eastAsia="Times New Roman" w:hAnsi="Times New Roman"/>
          <w:sz w:val="16"/>
          <w:szCs w:val="16"/>
          <w:color w:val="auto"/>
        </w:rPr>
        <w:t>partners’ commitments during the fund’s investment period, and 0.5% to 2.0% based on the lower of cost or fair market value of invested capital following the expiration or termination of the investment period. Management fee related revenues from NGP Management are primarily driven by NGP XI, NGP XII, and NGP XIII during the years ended December 31, 2024, 2023 and 2022.</w:t>
      </w:r>
    </w:p>
    <w:p>
      <w:pPr>
        <w:spacing w:after="0" w:line="2" w:lineRule="exact"/>
        <w:rPr>
          <w:sz w:val="20"/>
          <w:szCs w:val="20"/>
          <w:color w:val="auto"/>
        </w:rPr>
      </w:pPr>
    </w:p>
    <w:p>
      <w:pPr>
        <w:ind w:right="1460"/>
        <w:spacing w:after="0" w:line="206" w:lineRule="auto"/>
        <w:rPr>
          <w:sz w:val="20"/>
          <w:szCs w:val="20"/>
          <w:color w:val="auto"/>
        </w:rPr>
      </w:pPr>
      <w:r>
        <w:rPr>
          <w:rFonts w:ascii="Times New Roman" w:cs="Times New Roman" w:eastAsia="Times New Roman" w:hAnsi="Times New Roman"/>
          <w:sz w:val="16"/>
          <w:szCs w:val="16"/>
          <w:color w:val="auto"/>
        </w:rPr>
        <w:t>The Company records investment income (loss) for its equity income allocation from NGP management fee related revenues and also records its share of any allocated expenses from NGP Management, expenses associated with the compensatory elements of the investment, and the amortization of the basis differences related to the definite-lived identifiable intangible assets of NGP Management. The net investment income (loss) recognized in the Company’s consolidated statements of operations for the years ended December 31, 2024, 2023 and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46"/>
        </w:trPr>
        <w:tc>
          <w:tcPr>
            <w:tcW w:w="51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82"/>
        </w:trPr>
        <w:tc>
          <w:tcPr>
            <w:tcW w:w="514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r>
      <w:tr>
        <w:trPr>
          <w:trHeight w:val="38"/>
        </w:trPr>
        <w:tc>
          <w:tcPr>
            <w:tcW w:w="514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2"/>
        </w:trPr>
        <w:tc>
          <w:tcPr>
            <w:tcW w:w="5140" w:type="dxa"/>
            <w:vAlign w:val="bottom"/>
          </w:tcPr>
          <w:p>
            <w:pPr>
              <w:spacing w:after="0"/>
              <w:rPr>
                <w:sz w:val="15"/>
                <w:szCs w:val="15"/>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
        </w:trPr>
        <w:tc>
          <w:tcPr>
            <w:tcW w:w="5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fee related revenues from NGP Management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76.2</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78.6</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71.0</w:t>
            </w: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Expenses related to the investment in NGP Management</w:t>
            </w: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r>
      <w:tr>
        <w:trPr>
          <w:trHeight w:val="50"/>
        </w:trPr>
        <w:tc>
          <w:tcPr>
            <w:tcW w:w="5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4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basis differences from the investment in NGP Management</w:t>
            </w:r>
          </w:p>
        </w:tc>
        <w:tc>
          <w:tcPr>
            <w:tcW w:w="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r>
      <w:tr>
        <w:trPr>
          <w:trHeight w:val="182"/>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 from NGP Management</w:t>
            </w: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63.1</w:t>
            </w:r>
          </w:p>
        </w:tc>
        <w:tc>
          <w:tcPr>
            <w:tcW w:w="6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64.8</w:t>
            </w:r>
          </w:p>
        </w:tc>
        <w:tc>
          <w:tcPr>
            <w:tcW w:w="6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8890</wp:posOffset>
            </wp:positionV>
            <wp:extent cx="195135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951355" cy="7620"/>
                    </a:xfrm>
                    <a:prstGeom prst="rect">
                      <a:avLst/>
                    </a:prstGeom>
                    <a:noFill/>
                  </pic:spPr>
                </pic:pic>
              </a:graphicData>
            </a:graphic>
          </wp:anchor>
        </w:drawing>
      </w:r>
    </w:p>
    <w:p>
      <w:pPr>
        <w:spacing w:after="0" w:line="17" w:lineRule="exact"/>
        <w:rPr>
          <w:sz w:val="20"/>
          <w:szCs w:val="20"/>
          <w:color w:val="auto"/>
        </w:rPr>
      </w:pPr>
    </w:p>
    <w:p>
      <w:pPr>
        <w:ind w:right="1500"/>
        <w:spacing w:after="0" w:line="207" w:lineRule="auto"/>
        <w:rPr>
          <w:sz w:val="20"/>
          <w:szCs w:val="20"/>
          <w:color w:val="auto"/>
        </w:rPr>
      </w:pPr>
      <w:r>
        <w:rPr>
          <w:rFonts w:ascii="Times New Roman" w:cs="Times New Roman" w:eastAsia="Times New Roman" w:hAnsi="Times New Roman"/>
          <w:sz w:val="16"/>
          <w:szCs w:val="16"/>
          <w:color w:val="auto"/>
        </w:rPr>
        <w:t>The difference between the Company’s remaining carrying value of its investment and its share of the underlying net assets of the investee was amortized over a period of 10 years from the initial investment date and was fully amortized as of December 31, 2022. The Company assesses the remaining carrying value of its equity method investment for impairment whenever events or circumstances indicate that the carrying value may not be recoverable, and considers factors including, but not limited to, expected cash flows from its interest in future management fees, changes to the Company’s economic arrangement with NGP, and NGP’s ability to raise new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-595630</wp:posOffset>
            </wp:positionV>
            <wp:extent cx="195135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951355" cy="7620"/>
                    </a:xfrm>
                    <a:prstGeom prst="rect">
                      <a:avLst/>
                    </a:prstGeom>
                    <a:noFill/>
                  </pic:spPr>
                </pic:pic>
              </a:graphicData>
            </a:graphic>
          </wp:anchor>
        </w:drawing>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Investment in the General Partners of NGP Carry Funds. </w:t>
      </w:r>
      <w:r>
        <w:rPr>
          <w:rFonts w:ascii="Times New Roman" w:cs="Times New Roman" w:eastAsia="Times New Roman" w:hAnsi="Times New Roman"/>
          <w:sz w:val="16"/>
          <w:szCs w:val="16"/>
          <w:color w:val="auto"/>
        </w:rPr>
        <w:t>The Company’s investment in the general partners of the</w:t>
      </w:r>
    </w:p>
    <w:p>
      <w:pPr>
        <w:ind w:right="1400"/>
        <w:spacing w:after="0" w:line="203" w:lineRule="auto"/>
        <w:rPr>
          <w:sz w:val="20"/>
          <w:szCs w:val="20"/>
          <w:color w:val="auto"/>
        </w:rPr>
      </w:pPr>
      <w:r>
        <w:rPr>
          <w:rFonts w:ascii="Times New Roman" w:cs="Times New Roman" w:eastAsia="Times New Roman" w:hAnsi="Times New Roman"/>
          <w:sz w:val="16"/>
          <w:szCs w:val="16"/>
          <w:color w:val="auto"/>
        </w:rPr>
        <w:t>NGP Carry Funds entitle it to 47.5% (40.0% or 42.75% in the case of certain funds) of the performance allocations received by certain current and future NGP fund general partners. The Company records its equity income allocation from NGP performance allocations in principal investment income (loss) from equity method investments rather than performance allocations in its consolidated statements of operations. The Company recognized net investment earnings (losses) related to these performance allocations in its consolidated statements of operations of $35.5 million, $65.5 million and $560.7 million for years ended December 31, 2024, 2023 and 2022, respectively.</w:t>
      </w:r>
    </w:p>
    <w:p>
      <w:pPr>
        <w:spacing w:after="0" w:line="3" w:lineRule="exact"/>
        <w:rPr>
          <w:sz w:val="20"/>
          <w:szCs w:val="20"/>
          <w:color w:val="auto"/>
        </w:rPr>
      </w:pPr>
    </w:p>
    <w:p>
      <w:pPr>
        <w:ind w:right="176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Principal Investments in NGP Funds. </w:t>
      </w:r>
      <w:r>
        <w:rPr>
          <w:rFonts w:ascii="Times New Roman" w:cs="Times New Roman" w:eastAsia="Times New Roman" w:hAnsi="Times New Roman"/>
          <w:sz w:val="16"/>
          <w:szCs w:val="16"/>
          <w:color w:val="auto"/>
        </w:rPr>
        <w:t>The Company also holds principal investments in the NGP Carry Funds.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recognized net investment earnings (losses) related to principal investment income (loss) in its consolidated statements of operations of $5.0 million, $8.0 million and $44.5 million for the years ended December 31, 2024, 2023 and 2022, respectively.</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Principal Investments in CLOs and Other Investments</w:t>
      </w:r>
    </w:p>
    <w:p>
      <w:pPr>
        <w:spacing w:after="0" w:line="1" w:lineRule="exact"/>
        <w:rPr>
          <w:sz w:val="20"/>
          <w:szCs w:val="20"/>
          <w:color w:val="auto"/>
        </w:rPr>
      </w:pPr>
    </w:p>
    <w:p>
      <w:pPr>
        <w:ind w:right="1640"/>
        <w:spacing w:after="0" w:line="211" w:lineRule="auto"/>
        <w:rPr>
          <w:sz w:val="20"/>
          <w:szCs w:val="20"/>
          <w:color w:val="auto"/>
        </w:rPr>
      </w:pPr>
      <w:r>
        <w:rPr>
          <w:rFonts w:ascii="Times New Roman" w:cs="Times New Roman" w:eastAsia="Times New Roman" w:hAnsi="Times New Roman"/>
          <w:sz w:val="16"/>
          <w:szCs w:val="16"/>
          <w:color w:val="auto"/>
        </w:rPr>
        <w:t>Principal investments in CLOs as of December 31, 2024 and 2023 were $378.9 million and $532.6 million, respectively, and consisted of investments in CLO senior and subordinated notes. A portion of the Company’s principal investments in CLOs is collateral to CLO term loans (see Note 6, Borrowings). As of December 31, 2024 and December 31, 2023, other investments include the Company’s investment in the BDC Preferred Shares at fair value of $ 53.4 million and $81.7 million, respectively (see Note 9, Related Party Transactions).</w:t>
      </w:r>
    </w:p>
    <w:p>
      <w:pPr>
        <w:sectPr>
          <w:pgSz w:w="11900" w:h="16840" w:orient="portrait"/>
          <w:cols w:equalWidth="0" w:num="1">
            <w:col w:w="9400"/>
          </w:cols>
          <w:pgMar w:left="1060" w:top="555" w:right="1440"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188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Investment Income (Loss)</w:t>
      </w:r>
    </w:p>
    <w:p>
      <w:pPr>
        <w:ind w:left="10"/>
        <w:spacing w:after="0" w:line="217" w:lineRule="auto"/>
        <w:rPr>
          <w:sz w:val="20"/>
          <w:szCs w:val="20"/>
          <w:color w:val="auto"/>
        </w:rPr>
      </w:pPr>
      <w:r>
        <w:rPr>
          <w:rFonts w:ascii="Times New Roman" w:cs="Times New Roman" w:eastAsia="Times New Roman" w:hAnsi="Times New Roman"/>
          <w:sz w:val="16"/>
          <w:szCs w:val="16"/>
          <w:color w:val="auto"/>
        </w:rPr>
        <w:t>The components of investment income (loss) are as follows: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72"/>
        </w:trPr>
        <w:tc>
          <w:tcPr>
            <w:tcW w:w="468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r>
      <w:tr>
        <w:trPr>
          <w:trHeight w:val="172"/>
        </w:trPr>
        <w:tc>
          <w:tcPr>
            <w:tcW w:w="468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Realized</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1,047.5</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867.0</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2,048.8</w:t>
            </w:r>
          </w:p>
        </w:tc>
      </w:tr>
      <w:tr>
        <w:trPr>
          <w:trHeight w:val="38"/>
        </w:trPr>
        <w:tc>
          <w:tcPr>
            <w:tcW w:w="4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968.2</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(955.6)</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(721.3)</w:t>
            </w:r>
          </w:p>
        </w:tc>
      </w:tr>
      <w:tr>
        <w:trPr>
          <w:trHeight w:val="182"/>
        </w:trPr>
        <w:tc>
          <w:tcPr>
            <w:tcW w:w="46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2,015.7</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1,327.5</w:t>
            </w:r>
          </w:p>
        </w:tc>
      </w:tr>
      <w:tr>
        <w:trPr>
          <w:trHeight w:val="26"/>
        </w:trPr>
        <w:tc>
          <w:tcPr>
            <w:tcW w:w="4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32"/>
        </w:trPr>
        <w:tc>
          <w:tcPr>
            <w:tcW w:w="46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Principal investment income (loss) from equity method investments (excluding</w:t>
            </w: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22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Realized</w:t>
            </w:r>
          </w:p>
        </w:tc>
        <w:tc>
          <w:tcPr>
            <w:tcW w:w="4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184.5</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w:t>
            </w:r>
          </w:p>
        </w:tc>
      </w:tr>
      <w:tr>
        <w:trPr>
          <w:trHeight w:val="38"/>
        </w:trPr>
        <w:tc>
          <w:tcPr>
            <w:tcW w:w="4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52.0</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(115.1)</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546.4</w:t>
            </w:r>
          </w:p>
        </w:tc>
      </w:tr>
      <w:tr>
        <w:trPr>
          <w:trHeight w:val="182"/>
        </w:trPr>
        <w:tc>
          <w:tcPr>
            <w:tcW w:w="46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236.5</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619.5</w:t>
            </w:r>
          </w:p>
        </w:tc>
      </w:tr>
      <w:tr>
        <w:trPr>
          <w:trHeight w:val="26"/>
        </w:trPr>
        <w:tc>
          <w:tcPr>
            <w:tcW w:w="4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32"/>
        </w:trPr>
        <w:tc>
          <w:tcPr>
            <w:tcW w:w="46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Principal investment income (loss) from investments in CLOs and other</w:t>
            </w:r>
          </w:p>
        </w:tc>
        <w:tc>
          <w:tcPr>
            <w:tcW w:w="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22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Realized</w:t>
            </w:r>
          </w:p>
        </w:tc>
        <w:tc>
          <w:tcPr>
            <w:tcW w:w="4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r>
      <w:tr>
        <w:trPr>
          <w:trHeight w:val="38"/>
        </w:trPr>
        <w:tc>
          <w:tcPr>
            <w:tcW w:w="4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w:t>
            </w:r>
            <w:r>
              <w:rPr>
                <w:rFonts w:ascii="Times New Roman" w:cs="Times New Roman" w:eastAsia="Times New Roman" w:hAnsi="Times New Roman"/>
                <w:sz w:val="9"/>
                <w:szCs w:val="9"/>
                <w:color w:val="auto"/>
              </w:rPr>
              <w:t>(1)</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(54.0)</w:t>
            </w:r>
          </w:p>
        </w:tc>
      </w:tr>
      <w:tr>
        <w:trPr>
          <w:trHeight w:val="182"/>
        </w:trPr>
        <w:tc>
          <w:tcPr>
            <w:tcW w:w="46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(49.0)</w:t>
            </w:r>
          </w:p>
        </w:tc>
      </w:tr>
      <w:tr>
        <w:trPr>
          <w:trHeight w:val="26"/>
        </w:trPr>
        <w:tc>
          <w:tcPr>
            <w:tcW w:w="4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8"/>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2,254.4</w:t>
            </w: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1,898.0</w:t>
            </w:r>
          </w:p>
        </w:tc>
      </w:tr>
    </w:tbl>
    <w:p>
      <w:pPr>
        <w:ind w:left="10" w:right="1280" w:hanging="10"/>
        <w:spacing w:after="0" w:line="205" w:lineRule="auto"/>
        <w:tabs>
          <w:tab w:leader="none" w:pos="226"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year ended December 31, 2024 includes the reversal of $45.5 million of previously recorded unrealized investment income on the BDC Preferred Shares (see Note 9, Related Party Transactions for more information). The years ended December 31, 2024 and December 31, 2023 include investment gain (loss) of $5.3 million and $(13.3) million, respectively, associated with the remeasurement of corporate investments, resulting from observable price changes pursuant to ASC 321, </w:t>
      </w:r>
      <w:r>
        <w:rPr>
          <w:rFonts w:ascii="Times New Roman" w:cs="Times New Roman" w:eastAsia="Times New Roman" w:hAnsi="Times New Roman"/>
          <w:sz w:val="13"/>
          <w:szCs w:val="13"/>
          <w:i w:val="1"/>
          <w:iCs w:val="1"/>
          <w:color w:val="auto"/>
        </w:rPr>
        <w:t>Investments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3"/>
          <w:szCs w:val="13"/>
          <w:i w:val="1"/>
          <w:iCs w:val="1"/>
          <w:color w:val="auto"/>
        </w:rPr>
        <w:t>Equity Securities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-322580</wp:posOffset>
            </wp:positionV>
            <wp:extent cx="22790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10"/>
        <w:spacing w:after="0" w:line="217" w:lineRule="auto"/>
        <w:rPr>
          <w:sz w:val="20"/>
          <w:szCs w:val="20"/>
          <w:color w:val="auto"/>
        </w:rPr>
      </w:pPr>
      <w:r>
        <w:rPr>
          <w:rFonts w:ascii="Times New Roman" w:cs="Times New Roman" w:eastAsia="Times New Roman" w:hAnsi="Times New Roman"/>
          <w:sz w:val="16"/>
          <w:szCs w:val="16"/>
          <w:color w:val="auto"/>
        </w:rPr>
        <w:t>The performance allocations included in revenues are derived from the following segments: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
        </w:trPr>
        <w:tc>
          <w:tcPr>
            <w:tcW w:w="4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448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5"/>
                <w:szCs w:val="15"/>
                <w:color w:val="auto"/>
              </w:rPr>
            </w:pPr>
          </w:p>
        </w:tc>
      </w:tr>
      <w:tr>
        <w:trPr>
          <w:trHeight w:val="26"/>
        </w:trPr>
        <w:tc>
          <w:tcPr>
            <w:tcW w:w="44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44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
        </w:trPr>
        <w:tc>
          <w:tcPr>
            <w:tcW w:w="4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1,559.9</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5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1,098.3</w:t>
            </w: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4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227.7</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163.7</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r>
      <w:tr>
        <w:trPr>
          <w:trHeight w:val="38"/>
        </w:trPr>
        <w:tc>
          <w:tcPr>
            <w:tcW w:w="4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4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228.1</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299.2</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205.2</w:t>
            </w:r>
          </w:p>
        </w:tc>
      </w:tr>
      <w:tr>
        <w:trPr>
          <w:trHeight w:val="182"/>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2,015.7</w:t>
            </w:r>
          </w:p>
        </w:tc>
        <w:tc>
          <w:tcPr>
            <w:tcW w:w="60" w:type="dxa"/>
            <w:vAlign w:val="bottom"/>
          </w:tcPr>
          <w:p>
            <w:pPr>
              <w:spacing w:after="0"/>
              <w:rPr>
                <w:sz w:val="15"/>
                <w:szCs w:val="15"/>
                <w:color w:val="auto"/>
              </w:rPr>
            </w:pPr>
          </w:p>
        </w:tc>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60" w:type="dxa"/>
            <w:vAlign w:val="bottom"/>
          </w:tcPr>
          <w:p>
            <w:pPr>
              <w:spacing w:after="0"/>
              <w:rPr>
                <w:sz w:val="15"/>
                <w:szCs w:val="15"/>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1270</wp:posOffset>
            </wp:positionV>
            <wp:extent cx="241617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416175" cy="7620"/>
                    </a:xfrm>
                    <a:prstGeom prst="rect">
                      <a:avLst/>
                    </a:prstGeom>
                    <a:noFill/>
                  </pic:spPr>
                </pic:pic>
              </a:graphicData>
            </a:graphic>
          </wp:anchor>
        </w:drawing>
      </w:r>
    </w:p>
    <w:p>
      <w:pPr>
        <w:spacing w:after="0" w:line="5" w:lineRule="exact"/>
        <w:rPr>
          <w:sz w:val="20"/>
          <w:szCs w:val="20"/>
          <w:color w:val="auto"/>
        </w:rPr>
      </w:pPr>
    </w:p>
    <w:p>
      <w:pPr>
        <w:ind w:left="10" w:right="1460"/>
        <w:spacing w:after="0" w:line="216" w:lineRule="auto"/>
        <w:rPr>
          <w:sz w:val="20"/>
          <w:szCs w:val="20"/>
          <w:color w:val="auto"/>
        </w:rPr>
      </w:pPr>
      <w:r>
        <w:rPr>
          <w:rFonts w:ascii="Times New Roman" w:cs="Times New Roman" w:eastAsia="Times New Roman" w:hAnsi="Times New Roman"/>
          <w:sz w:val="16"/>
          <w:szCs w:val="16"/>
          <w:color w:val="auto"/>
        </w:rPr>
        <w:t>The following tables summarize the funds that are the primary drivers of performance allocations for the years ended December 31, 2024, 2023, and 2022, as well as the total revenue recognized, including performance allocations as well as fund management fees and principal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-306705</wp:posOffset>
            </wp:positionV>
            <wp:extent cx="241617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416175" cy="762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34150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spacing w:after="0" w:line="37" w:lineRule="exact"/>
        <w:rPr>
          <w:sz w:val="20"/>
          <w:szCs w:val="20"/>
          <w:color w:val="auto"/>
        </w:rPr>
      </w:pPr>
    </w:p>
    <w:p>
      <w:pPr>
        <w:ind w:left="10"/>
        <w:spacing w:after="0"/>
        <w:tabs>
          <w:tab w:leader="none" w:pos="1969" w:val="left"/>
          <w:tab w:leader="none" w:pos="3949" w:val="left"/>
        </w:tabs>
        <w:rPr>
          <w:sz w:val="20"/>
          <w:szCs w:val="20"/>
          <w:color w:val="auto"/>
        </w:rPr>
      </w:pPr>
      <w:r>
        <w:rPr>
          <w:rFonts w:ascii="Times New Roman" w:cs="Times New Roman" w:eastAsia="Times New Roman" w:hAnsi="Times New Roman"/>
          <w:sz w:val="14"/>
          <w:szCs w:val="14"/>
          <w:color w:val="auto"/>
        </w:rPr>
        <w:t>Global Private Equity</w:t>
      </w:r>
      <w:r>
        <w:rPr>
          <w:sz w:val="20"/>
          <w:szCs w:val="20"/>
          <w:color w:val="auto"/>
        </w:rPr>
        <w:tab/>
      </w:r>
      <w:r>
        <w:rPr>
          <w:rFonts w:ascii="Times New Roman" w:cs="Times New Roman" w:eastAsia="Times New Roman" w:hAnsi="Times New Roman"/>
          <w:sz w:val="14"/>
          <w:szCs w:val="14"/>
          <w:color w:val="auto"/>
        </w:rPr>
        <w:t>CP VII</w:t>
      </w:r>
      <w:r>
        <w:rPr>
          <w:sz w:val="20"/>
          <w:szCs w:val="20"/>
          <w:color w:val="auto"/>
        </w:rPr>
        <w:tab/>
      </w:r>
      <w:r>
        <w:rPr>
          <w:rFonts w:ascii="Times New Roman" w:cs="Times New Roman" w:eastAsia="Times New Roman" w:hAnsi="Times New Roman"/>
          <w:sz w:val="14"/>
          <w:szCs w:val="14"/>
          <w:color w:val="auto"/>
        </w:rPr>
        <w:t>$1,483.3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3415030"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4150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6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r>
      <w:tr>
        <w:trPr>
          <w:trHeight w:val="26"/>
        </w:trPr>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08"/>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1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CP VI</w:t>
            </w:r>
          </w:p>
        </w:tc>
        <w:tc>
          <w:tcPr>
            <w:tcW w:w="2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$(238.0)</w:t>
            </w:r>
          </w:p>
        </w:tc>
      </w:tr>
      <w:tr>
        <w:trPr>
          <w:trHeight w:val="188"/>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1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CP VII</w:t>
            </w:r>
          </w:p>
        </w:tc>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(391.8)</w:t>
            </w:r>
          </w:p>
        </w:tc>
      </w:tr>
    </w:tbl>
    <w:p>
      <w:pPr>
        <w:sectPr>
          <w:pgSz w:w="11900" w:h="16840" w:orient="portrait"/>
          <w:cols w:equalWidth="0" w:num="1">
            <w:col w:w="9410"/>
          </w:cols>
          <w:pgMar w:left="1050" w:top="1440"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color w:val="auto"/>
        </w:rPr>
        <w:t>189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17"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wp:posOffset>
            </wp:positionV>
            <wp:extent cx="34150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415030" cy="7620"/>
                    </a:xfrm>
                    <a:prstGeom prst="rect">
                      <a:avLst/>
                    </a:prstGeom>
                    <a:noFill/>
                  </pic:spPr>
                </pic:pic>
              </a:graphicData>
            </a:graphic>
          </wp:anchor>
        </w:drawing>
      </w:r>
    </w:p>
    <w:p>
      <w:pPr>
        <w:spacing w:after="0" w:line="37" w:lineRule="exact"/>
        <w:rPr>
          <w:sz w:val="20"/>
          <w:szCs w:val="20"/>
          <w:color w:val="auto"/>
        </w:rPr>
      </w:pPr>
    </w:p>
    <w:p>
      <w:pPr>
        <w:spacing w:after="0"/>
        <w:tabs>
          <w:tab w:leader="none" w:pos="1960" w:val="left"/>
          <w:tab w:leader="none" w:pos="3940" w:val="left"/>
        </w:tabs>
        <w:rPr>
          <w:sz w:val="20"/>
          <w:szCs w:val="20"/>
          <w:color w:val="auto"/>
        </w:rPr>
      </w:pPr>
      <w:r>
        <w:rPr>
          <w:rFonts w:ascii="Times New Roman" w:cs="Times New Roman" w:eastAsia="Times New Roman" w:hAnsi="Times New Roman"/>
          <w:sz w:val="14"/>
          <w:szCs w:val="14"/>
          <w:color w:val="auto"/>
        </w:rPr>
        <w:t>Global Private Equity</w:t>
      </w:r>
      <w:r>
        <w:rPr>
          <w:sz w:val="20"/>
          <w:szCs w:val="20"/>
          <w:color w:val="auto"/>
        </w:rPr>
        <w:tab/>
      </w:r>
      <w:r>
        <w:rPr>
          <w:rFonts w:ascii="Times New Roman" w:cs="Times New Roman" w:eastAsia="Times New Roman" w:hAnsi="Times New Roman"/>
          <w:sz w:val="14"/>
          <w:szCs w:val="14"/>
          <w:color w:val="auto"/>
        </w:rPr>
        <w:t>CP VI</w:t>
      </w:r>
      <w:r>
        <w:rPr>
          <w:sz w:val="20"/>
          <w:szCs w:val="20"/>
          <w:color w:val="auto"/>
        </w:rPr>
        <w:tab/>
      </w:r>
      <w:r>
        <w:rPr>
          <w:rFonts w:ascii="Times New Roman" w:cs="Times New Roman" w:eastAsia="Times New Roman" w:hAnsi="Times New Roman"/>
          <w:sz w:val="14"/>
          <w:szCs w:val="14"/>
          <w:color w:val="auto"/>
        </w:rPr>
        <w:t>$(436.9)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3415030" cy="14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415030" cy="14478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Carlyle’s income (loss) from its principal equity method investments consists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2"/>
        </w:trPr>
        <w:tc>
          <w:tcPr>
            <w:tcW w:w="470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72"/>
        </w:trPr>
        <w:tc>
          <w:tcPr>
            <w:tcW w:w="470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Private Equity</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140.8</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157.6</w:t>
            </w: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744.8</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Global Credit</w:t>
            </w:r>
          </w:p>
        </w:tc>
        <w:tc>
          <w:tcPr>
            <w:tcW w:w="5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71.2</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(134.8)</w:t>
            </w:r>
          </w:p>
        </w:tc>
      </w:tr>
      <w:tr>
        <w:trPr>
          <w:trHeight w:val="38"/>
        </w:trPr>
        <w:tc>
          <w:tcPr>
            <w:tcW w:w="4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2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Investment Solutions</w:t>
            </w:r>
          </w:p>
        </w:tc>
        <w:tc>
          <w:tcPr>
            <w:tcW w:w="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24.5</w:t>
            </w: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r>
      <w:tr>
        <w:trPr>
          <w:trHeight w:val="18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236.5</w:t>
            </w:r>
          </w:p>
        </w:tc>
        <w:tc>
          <w:tcPr>
            <w:tcW w:w="60" w:type="dxa"/>
            <w:vAlign w:val="bottom"/>
          </w:tcPr>
          <w:p>
            <w:pPr>
              <w:spacing w:after="0"/>
              <w:rPr>
                <w:sz w:val="15"/>
                <w:szCs w:val="15"/>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116.6</w:t>
            </w:r>
          </w:p>
        </w:tc>
        <w:tc>
          <w:tcPr>
            <w:tcW w:w="6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1270</wp:posOffset>
            </wp:positionV>
            <wp:extent cx="227901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5" w:lineRule="exact"/>
        <w:rPr>
          <w:sz w:val="20"/>
          <w:szCs w:val="20"/>
          <w:color w:val="auto"/>
        </w:rPr>
      </w:pPr>
    </w:p>
    <w:p>
      <w:pPr>
        <w:ind w:right="1380"/>
        <w:spacing w:after="0" w:line="206" w:lineRule="auto"/>
        <w:rPr>
          <w:sz w:val="20"/>
          <w:szCs w:val="20"/>
          <w:color w:val="auto"/>
        </w:rPr>
      </w:pPr>
      <w:r>
        <w:rPr>
          <w:rFonts w:ascii="Times New Roman" w:cs="Times New Roman" w:eastAsia="Times New Roman" w:hAnsi="Times New Roman"/>
          <w:sz w:val="16"/>
          <w:szCs w:val="16"/>
          <w:color w:val="auto"/>
        </w:rPr>
        <w:t>Principal investment income for Global Private Equity includes the Company’s equity income allocation from NGP performance allocations of $ 35.5 million, $65.5 million and $560.7 million for years ended December 31, 2024, 2023 and 2022, respectively. Principal investment loss for Global Credit for the year ended December 31, 2023 includes an investment loss of $104.0 million on the Company’s equity method investment in Carlyle FRL related to the dilution of the Company’s indirect ownership in Fortitude from 13.5% to 10.5%. Principal investment loss for Global Credit for the year ended December 31, 2022 includes an investment loss of $176.9 million on the Company’s equity method investment in Carlyle FRL related to the dilution of the Company’s indirect ownership in Fortitude from 19.9% to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-692785</wp:posOffset>
            </wp:positionV>
            <wp:extent cx="227901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209" w:lineRule="auto"/>
        <w:rPr>
          <w:sz w:val="20"/>
          <w:szCs w:val="20"/>
          <w:color w:val="auto"/>
        </w:rPr>
      </w:pPr>
      <w:r>
        <w:rPr>
          <w:rFonts w:ascii="Times New Roman" w:cs="Times New Roman" w:eastAsia="Times New Roman" w:hAnsi="Times New Roman"/>
          <w:sz w:val="16"/>
          <w:szCs w:val="16"/>
          <w:b w:val="1"/>
          <w:bCs w:val="1"/>
          <w:color w:val="auto"/>
        </w:rPr>
        <w:t>Investments of Consolidated Funds</w:t>
      </w:r>
    </w:p>
    <w:p>
      <w:pPr>
        <w:spacing w:after="0" w:line="1" w:lineRule="exact"/>
        <w:rPr>
          <w:sz w:val="20"/>
          <w:szCs w:val="20"/>
          <w:color w:val="auto"/>
        </w:rPr>
      </w:pPr>
    </w:p>
    <w:p>
      <w:pPr>
        <w:ind w:right="1580"/>
        <w:spacing w:after="0" w:line="213" w:lineRule="auto"/>
        <w:rPr>
          <w:sz w:val="20"/>
          <w:szCs w:val="20"/>
          <w:color w:val="auto"/>
        </w:rPr>
      </w:pPr>
      <w:r>
        <w:rPr>
          <w:rFonts w:ascii="Times New Roman" w:cs="Times New Roman" w:eastAsia="Times New Roman" w:hAnsi="Times New Roman"/>
          <w:sz w:val="16"/>
          <w:szCs w:val="16"/>
          <w:color w:val="auto"/>
        </w:rPr>
        <w:t>The Company consolidates the financial positions and results of operations of certain CLOs in which it is the primary beneficiary. During the year ended December 31, 2024, the Company formed seven new CLOs for which the Company is the primary beneficiary. Investments in Consolidated Funds as of December 31, 2024 also include $441.9 million related to investments that have been bridged by the Company to investment funds and are accounted for as consolidated VIEs.</w:t>
      </w:r>
    </w:p>
    <w:p>
      <w:pPr>
        <w:sectPr>
          <w:pgSz w:w="11900" w:h="16840" w:orient="portrait"/>
          <w:cols w:equalWidth="0" w:num="1">
            <w:col w:w="9400"/>
          </w:cols>
          <w:pgMar w:left="106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2140"/>
        <w:spacing w:after="0" w:line="222" w:lineRule="auto"/>
        <w:rPr>
          <w:sz w:val="20"/>
          <w:szCs w:val="20"/>
          <w:color w:val="auto"/>
        </w:rPr>
      </w:pPr>
      <w:r>
        <w:rPr>
          <w:rFonts w:ascii="Times New Roman" w:cs="Times New Roman" w:eastAsia="Times New Roman" w:hAnsi="Times New Roman"/>
          <w:sz w:val="16"/>
          <w:szCs w:val="16"/>
          <w:color w:val="auto"/>
        </w:rPr>
        <w:t>The following table presents a summary of the investments held by the Consolidated Funds. Investments held by the Consolidated Funds do not represent the investments of all Carlyle sponsored funds.</w:t>
      </w:r>
    </w:p>
    <w:p>
      <w:pPr>
        <w:sectPr>
          <w:pgSz w:w="11900" w:h="16840" w:orient="portrait"/>
          <w:cols w:equalWidth="0" w:num="1">
            <w:col w:w="9400"/>
          </w:cols>
          <w:pgMar w:left="1060" w:top="547" w:right="1440"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Percentage of Investments of</w:t>
            </w: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Funds</w:t>
            </w:r>
          </w:p>
        </w:tc>
        <w:tc>
          <w:tcPr>
            <w:tcW w:w="0" w:type="dxa"/>
            <w:vAlign w:val="bottom"/>
          </w:tcPr>
          <w:p>
            <w:pPr>
              <w:spacing w:after="0"/>
              <w:rPr>
                <w:sz w:val="1"/>
                <w:szCs w:val="1"/>
                <w:color w:val="auto"/>
              </w:rPr>
            </w:pPr>
          </w:p>
        </w:tc>
      </w:tr>
      <w:tr>
        <w:trPr>
          <w:trHeight w:val="66"/>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Geographic Region/Instrument Type/ Industry</w:t>
            </w:r>
          </w:p>
        </w:tc>
        <w:tc>
          <w:tcPr>
            <w:tcW w:w="10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40" w:type="dxa"/>
            <w:vAlign w:val="bottom"/>
            <w:gridSpan w:val="2"/>
            <w:vMerge w:val="continue"/>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 or Investment Strategy</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52"/>
        </w:trPr>
        <w:tc>
          <w:tcPr>
            <w:tcW w:w="1980" w:type="dxa"/>
            <w:vAlign w:val="bottom"/>
            <w:tcBorders>
              <w:top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9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30.0</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0.39 %</w:t>
            </w:r>
          </w:p>
        </w:tc>
        <w:tc>
          <w:tcPr>
            <w:tcW w:w="6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Infrastructure</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361.3</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366.5</w:t>
            </w: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4.64 %</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5.05 %</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Technology</w:t>
            </w:r>
          </w:p>
        </w:tc>
        <w:tc>
          <w:tcPr>
            <w:tcW w:w="38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17.3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0.22 %</w:t>
            </w:r>
          </w:p>
        </w:tc>
        <w:tc>
          <w:tcPr>
            <w:tcW w:w="6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Transportation</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29.1</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0.37 %</w:t>
            </w: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83.2</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7.8</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1.07 %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0.11 %</w:t>
            </w:r>
          </w:p>
        </w:tc>
        <w:tc>
          <w:tcPr>
            <w:tcW w:w="0" w:type="dxa"/>
            <w:vAlign w:val="bottom"/>
          </w:tcPr>
          <w:p>
            <w:pPr>
              <w:spacing w:after="0"/>
              <w:rPr>
                <w:sz w:val="1"/>
                <w:szCs w:val="1"/>
                <w:color w:val="auto"/>
              </w:rPr>
            </w:pPr>
          </w:p>
        </w:tc>
      </w:tr>
      <w:tr>
        <w:trPr>
          <w:trHeight w:val="30"/>
        </w:trPr>
        <w:tc>
          <w:tcPr>
            <w:tcW w:w="19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Total equity securities (cost of $543.7 and $397.3 at December 31,</w:t>
            </w: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5"/>
              <w:spacing w:after="0" w:line="112" w:lineRule="exact"/>
              <w:rPr>
                <w:sz w:val="20"/>
                <w:szCs w:val="20"/>
                <w:color w:val="auto"/>
              </w:rPr>
            </w:pPr>
            <w:r>
              <w:rPr>
                <w:rFonts w:ascii="Times New Roman" w:cs="Times New Roman" w:eastAsia="Times New Roman" w:hAnsi="Times New Roman"/>
                <w:sz w:val="12"/>
                <w:szCs w:val="12"/>
                <w:b w:val="1"/>
                <w:bCs w:val="1"/>
                <w:color w:val="auto"/>
              </w:rPr>
              <w:t>520.9</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5"/>
              <w:spacing w:after="0" w:line="112" w:lineRule="exact"/>
              <w:rPr>
                <w:sz w:val="20"/>
                <w:szCs w:val="20"/>
                <w:color w:val="auto"/>
              </w:rPr>
            </w:pPr>
            <w:r>
              <w:rPr>
                <w:rFonts w:ascii="Times New Roman" w:cs="Times New Roman" w:eastAsia="Times New Roman" w:hAnsi="Times New Roman"/>
                <w:sz w:val="12"/>
                <w:szCs w:val="12"/>
                <w:color w:val="auto"/>
              </w:rPr>
              <w:t>374.3</w:t>
            </w: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6.69 %</w:t>
            </w:r>
          </w:p>
        </w:tc>
        <w:tc>
          <w:tcPr>
            <w:tcW w:w="60" w:type="dxa"/>
            <w:vAlign w:val="bottom"/>
            <w:shd w:val="clear" w:color="auto" w:fill="CCEEFF"/>
          </w:tcPr>
          <w:p>
            <w:pPr>
              <w:spacing w:after="0"/>
              <w:rPr>
                <w:sz w:val="9"/>
                <w:szCs w:val="9"/>
                <w:color w:val="auto"/>
              </w:rPr>
            </w:pPr>
          </w:p>
        </w:tc>
        <w:tc>
          <w:tcPr>
            <w:tcW w:w="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5.16 %</w:t>
            </w:r>
          </w:p>
        </w:tc>
        <w:tc>
          <w:tcPr>
            <w:tcW w:w="0" w:type="dxa"/>
            <w:vAlign w:val="bottom"/>
          </w:tcPr>
          <w:p>
            <w:pPr>
              <w:spacing w:after="0"/>
              <w:rPr>
                <w:sz w:val="1"/>
                <w:szCs w:val="1"/>
                <w:color w:val="auto"/>
              </w:rPr>
            </w:pPr>
          </w:p>
        </w:tc>
      </w:tr>
      <w:tr>
        <w:trPr>
          <w:trHeight w:val="168"/>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 and 2023, respectively)</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Partnership and LLC interests:</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Fund Investments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312.7</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490.9</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4.02 %</w:t>
            </w:r>
          </w:p>
        </w:tc>
        <w:tc>
          <w:tcPr>
            <w:tcW w:w="1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6.77 %</w:t>
            </w:r>
          </w:p>
        </w:tc>
        <w:tc>
          <w:tcPr>
            <w:tcW w:w="0" w:type="dxa"/>
            <w:vAlign w:val="bottom"/>
          </w:tcPr>
          <w:p>
            <w:pPr>
              <w:spacing w:after="0"/>
              <w:rPr>
                <w:sz w:val="1"/>
                <w:szCs w:val="1"/>
                <w:color w:val="auto"/>
              </w:rPr>
            </w:pPr>
          </w:p>
        </w:tc>
      </w:tr>
      <w:tr>
        <w:trPr>
          <w:trHeight w:val="112"/>
        </w:trPr>
        <w:tc>
          <w:tcPr>
            <w:tcW w:w="4040" w:type="dxa"/>
            <w:vAlign w:val="bottom"/>
            <w:gridSpan w:val="2"/>
          </w:tcPr>
          <w:p>
            <w:pPr>
              <w:spacing w:after="0" w:line="112" w:lineRule="exact"/>
              <w:rPr>
                <w:sz w:val="20"/>
                <w:szCs w:val="20"/>
                <w:color w:val="auto"/>
              </w:rPr>
            </w:pPr>
            <w:r>
              <w:rPr>
                <w:rFonts w:ascii="Times New Roman" w:cs="Times New Roman" w:eastAsia="Times New Roman" w:hAnsi="Times New Roman"/>
                <w:sz w:val="12"/>
                <w:szCs w:val="12"/>
                <w:color w:val="auto"/>
              </w:rPr>
              <w:t>Total Partnership and LLC interests (cost of $194.8 and $389.2 at</w:t>
            </w:r>
          </w:p>
        </w:tc>
        <w:tc>
          <w:tcPr>
            <w:tcW w:w="3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55"/>
              <w:spacing w:after="0" w:line="112" w:lineRule="exact"/>
              <w:rPr>
                <w:sz w:val="20"/>
                <w:szCs w:val="20"/>
                <w:color w:val="auto"/>
              </w:rPr>
            </w:pPr>
            <w:r>
              <w:rPr>
                <w:rFonts w:ascii="Times New Roman" w:cs="Times New Roman" w:eastAsia="Times New Roman" w:hAnsi="Times New Roman"/>
                <w:sz w:val="12"/>
                <w:szCs w:val="12"/>
                <w:b w:val="1"/>
                <w:bCs w:val="1"/>
                <w:color w:val="auto"/>
              </w:rPr>
              <w:t>312.7</w:t>
            </w:r>
          </w:p>
        </w:tc>
        <w:tc>
          <w:tcPr>
            <w:tcW w:w="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55"/>
              <w:spacing w:after="0" w:line="112" w:lineRule="exact"/>
              <w:rPr>
                <w:sz w:val="20"/>
                <w:szCs w:val="20"/>
                <w:color w:val="auto"/>
              </w:rPr>
            </w:pPr>
            <w:r>
              <w:rPr>
                <w:rFonts w:ascii="Times New Roman" w:cs="Times New Roman" w:eastAsia="Times New Roman" w:hAnsi="Times New Roman"/>
                <w:sz w:val="12"/>
                <w:szCs w:val="12"/>
                <w:color w:val="auto"/>
              </w:rPr>
              <w:t>490.9</w:t>
            </w:r>
          </w:p>
        </w:tc>
        <w:tc>
          <w:tcPr>
            <w:tcW w:w="60" w:type="dxa"/>
            <w:vAlign w:val="bottom"/>
          </w:tcPr>
          <w:p>
            <w:pPr>
              <w:spacing w:after="0"/>
              <w:rPr>
                <w:sz w:val="9"/>
                <w:szCs w:val="9"/>
                <w:color w:val="auto"/>
              </w:rPr>
            </w:pPr>
          </w:p>
        </w:tc>
        <w:tc>
          <w:tcPr>
            <w:tcW w:w="1000" w:type="dxa"/>
            <w:vAlign w:val="bottom"/>
            <w:tcBorders>
              <w:top w:val="single" w:sz="8" w:color="auto"/>
            </w:tcBorders>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4.02 %</w:t>
            </w:r>
          </w:p>
        </w:tc>
        <w:tc>
          <w:tcPr>
            <w:tcW w:w="60" w:type="dxa"/>
            <w:vAlign w:val="bottom"/>
          </w:tcPr>
          <w:p>
            <w:pPr>
              <w:spacing w:after="0"/>
              <w:rPr>
                <w:sz w:val="9"/>
                <w:szCs w:val="9"/>
                <w:color w:val="auto"/>
              </w:rPr>
            </w:pPr>
          </w:p>
        </w:tc>
        <w:tc>
          <w:tcPr>
            <w:tcW w:w="98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2"/>
                <w:szCs w:val="12"/>
                <w:color w:val="auto"/>
              </w:rPr>
              <w:t>6.77 %</w:t>
            </w:r>
          </w:p>
        </w:tc>
        <w:tc>
          <w:tcPr>
            <w:tcW w:w="0" w:type="dxa"/>
            <w:vAlign w:val="bottom"/>
          </w:tcPr>
          <w:p>
            <w:pPr>
              <w:spacing w:after="0"/>
              <w:rPr>
                <w:sz w:val="1"/>
                <w:szCs w:val="1"/>
                <w:color w:val="auto"/>
              </w:rPr>
            </w:pPr>
          </w:p>
        </w:tc>
      </w:tr>
      <w:tr>
        <w:trPr>
          <w:trHeight w:val="172"/>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2024 and 2023, respectively)</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Aerospace &amp; Defense</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9.3</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10.1</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0.12 %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0.14 %</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 Debt Obligation</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7.2</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13.0</w:t>
            </w: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0.09 %</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0.18 %</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Environmental Industries</w:t>
            </w:r>
          </w:p>
        </w:tc>
        <w:tc>
          <w:tcPr>
            <w:tcW w:w="38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0.9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0.9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0.01 %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0.01 %</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Education</w:t>
            </w: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11.6</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14.7</w:t>
            </w: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0.15 %</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0.20 %</w:t>
            </w:r>
          </w:p>
        </w:tc>
        <w:tc>
          <w:tcPr>
            <w:tcW w:w="0" w:type="dxa"/>
            <w:vAlign w:val="bottom"/>
          </w:tcPr>
          <w:p>
            <w:pPr>
              <w:spacing w:after="0"/>
              <w:rPr>
                <w:sz w:val="1"/>
                <w:szCs w:val="1"/>
                <w:color w:val="auto"/>
              </w:rPr>
            </w:pPr>
          </w:p>
        </w:tc>
      </w:tr>
      <w:tr>
        <w:trPr>
          <w:trHeight w:val="112"/>
        </w:trPr>
        <w:tc>
          <w:tcPr>
            <w:tcW w:w="4040" w:type="dxa"/>
            <w:vAlign w:val="bottom"/>
            <w:gridSpan w:val="2"/>
          </w:tcPr>
          <w:p>
            <w:pPr>
              <w:spacing w:after="0" w:line="112" w:lineRule="exact"/>
              <w:rPr>
                <w:sz w:val="20"/>
                <w:szCs w:val="20"/>
                <w:color w:val="auto"/>
              </w:rPr>
            </w:pPr>
            <w:r>
              <w:rPr>
                <w:rFonts w:ascii="Times New Roman" w:cs="Times New Roman" w:eastAsia="Times New Roman" w:hAnsi="Times New Roman"/>
                <w:sz w:val="12"/>
                <w:szCs w:val="12"/>
                <w:color w:val="auto"/>
              </w:rPr>
              <w:t>Total loans (cost of $24.0 and $36.3 at December 31, 2024 and 2023,</w:t>
            </w:r>
          </w:p>
        </w:tc>
        <w:tc>
          <w:tcPr>
            <w:tcW w:w="3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55"/>
              <w:spacing w:after="0" w:line="112" w:lineRule="exact"/>
              <w:rPr>
                <w:sz w:val="20"/>
                <w:szCs w:val="20"/>
                <w:color w:val="auto"/>
              </w:rPr>
            </w:pPr>
            <w:r>
              <w:rPr>
                <w:rFonts w:ascii="Times New Roman" w:cs="Times New Roman" w:eastAsia="Times New Roman" w:hAnsi="Times New Roman"/>
                <w:sz w:val="12"/>
                <w:szCs w:val="12"/>
                <w:b w:val="1"/>
                <w:bCs w:val="1"/>
                <w:color w:val="auto"/>
              </w:rPr>
              <w:t>29.0</w:t>
            </w:r>
          </w:p>
        </w:tc>
        <w:tc>
          <w:tcPr>
            <w:tcW w:w="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35"/>
              <w:spacing w:after="0" w:line="112" w:lineRule="exact"/>
              <w:rPr>
                <w:sz w:val="20"/>
                <w:szCs w:val="20"/>
                <w:color w:val="auto"/>
              </w:rPr>
            </w:pPr>
            <w:r>
              <w:rPr>
                <w:rFonts w:ascii="Times New Roman" w:cs="Times New Roman" w:eastAsia="Times New Roman" w:hAnsi="Times New Roman"/>
                <w:sz w:val="12"/>
                <w:szCs w:val="12"/>
                <w:color w:val="auto"/>
              </w:rPr>
              <w:t>38.7</w:t>
            </w:r>
          </w:p>
        </w:tc>
        <w:tc>
          <w:tcPr>
            <w:tcW w:w="60" w:type="dxa"/>
            <w:vAlign w:val="bottom"/>
          </w:tcPr>
          <w:p>
            <w:pPr>
              <w:spacing w:after="0"/>
              <w:rPr>
                <w:sz w:val="9"/>
                <w:szCs w:val="9"/>
                <w:color w:val="auto"/>
              </w:rPr>
            </w:pPr>
          </w:p>
        </w:tc>
        <w:tc>
          <w:tcPr>
            <w:tcW w:w="1000" w:type="dxa"/>
            <w:vAlign w:val="bottom"/>
            <w:tcBorders>
              <w:top w:val="single" w:sz="8" w:color="auto"/>
            </w:tcBorders>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0.37 %</w:t>
            </w:r>
          </w:p>
        </w:tc>
        <w:tc>
          <w:tcPr>
            <w:tcW w:w="60" w:type="dxa"/>
            <w:vAlign w:val="bottom"/>
          </w:tcPr>
          <w:p>
            <w:pPr>
              <w:spacing w:after="0"/>
              <w:rPr>
                <w:sz w:val="9"/>
                <w:szCs w:val="9"/>
                <w:color w:val="auto"/>
              </w:rPr>
            </w:pPr>
          </w:p>
        </w:tc>
        <w:tc>
          <w:tcPr>
            <w:tcW w:w="98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2"/>
                <w:szCs w:val="12"/>
                <w:color w:val="auto"/>
              </w:rPr>
              <w:t>0.53 %</w:t>
            </w:r>
          </w:p>
        </w:tc>
        <w:tc>
          <w:tcPr>
            <w:tcW w:w="0" w:type="dxa"/>
            <w:vAlign w:val="bottom"/>
          </w:tcPr>
          <w:p>
            <w:pPr>
              <w:spacing w:after="0"/>
              <w:rPr>
                <w:sz w:val="1"/>
                <w:szCs w:val="1"/>
                <w:color w:val="auto"/>
              </w:rPr>
            </w:pPr>
          </w:p>
        </w:tc>
      </w:tr>
      <w:tr>
        <w:trPr>
          <w:trHeight w:val="172"/>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of the CLOs:</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Bonds</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90.1</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80.5</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1.16 %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1.11 %</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w:t>
            </w:r>
          </w:p>
        </w:tc>
        <w:tc>
          <w:tcPr>
            <w:tcW w:w="3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3.8</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2.0</w:t>
            </w: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0.05 %</w:t>
            </w:r>
          </w:p>
        </w:tc>
        <w:tc>
          <w:tcPr>
            <w:tcW w:w="10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0.03 %</w:t>
            </w:r>
          </w:p>
        </w:tc>
        <w:tc>
          <w:tcPr>
            <w:tcW w:w="0" w:type="dxa"/>
            <w:vAlign w:val="bottom"/>
          </w:tcPr>
          <w:p>
            <w:pPr>
              <w:spacing w:after="0"/>
              <w:rPr>
                <w:sz w:val="1"/>
                <w:szCs w:val="1"/>
                <w:color w:val="auto"/>
              </w:rPr>
            </w:pPr>
          </w:p>
        </w:tc>
      </w:tr>
      <w:tr>
        <w:trPr>
          <w:trHeight w:val="17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Loans</w:t>
            </w:r>
          </w:p>
        </w:tc>
        <w:tc>
          <w:tcPr>
            <w:tcW w:w="38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3,844.6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3,100.0</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49.40 %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42.74 %</w:t>
            </w:r>
          </w:p>
        </w:tc>
        <w:tc>
          <w:tcPr>
            <w:tcW w:w="0" w:type="dxa"/>
            <w:vAlign w:val="bottom"/>
          </w:tcPr>
          <w:p>
            <w:pPr>
              <w:spacing w:after="0"/>
              <w:rPr>
                <w:sz w:val="1"/>
                <w:szCs w:val="1"/>
                <w:color w:val="auto"/>
              </w:rPr>
            </w:pPr>
          </w:p>
        </w:tc>
      </w:tr>
      <w:tr>
        <w:trPr>
          <w:trHeight w:val="30"/>
        </w:trPr>
        <w:tc>
          <w:tcPr>
            <w:tcW w:w="19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04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Total assets of the CLOs (cost of $3,943.3 and $3,256.0 at</w:t>
            </w:r>
          </w:p>
        </w:tc>
        <w:tc>
          <w:tcPr>
            <w:tcW w:w="3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5"/>
              <w:spacing w:after="0" w:line="112" w:lineRule="exact"/>
              <w:rPr>
                <w:sz w:val="20"/>
                <w:szCs w:val="20"/>
                <w:color w:val="auto"/>
              </w:rPr>
            </w:pPr>
            <w:r>
              <w:rPr>
                <w:rFonts w:ascii="Times New Roman" w:cs="Times New Roman" w:eastAsia="Times New Roman" w:hAnsi="Times New Roman"/>
                <w:sz w:val="12"/>
                <w:szCs w:val="12"/>
                <w:b w:val="1"/>
                <w:bCs w:val="1"/>
                <w:color w:val="auto"/>
              </w:rPr>
              <w:t>3,938.5</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5"/>
              <w:spacing w:after="0" w:line="112" w:lineRule="exact"/>
              <w:rPr>
                <w:sz w:val="20"/>
                <w:szCs w:val="20"/>
                <w:color w:val="auto"/>
              </w:rPr>
            </w:pPr>
            <w:r>
              <w:rPr>
                <w:rFonts w:ascii="Times New Roman" w:cs="Times New Roman" w:eastAsia="Times New Roman" w:hAnsi="Times New Roman"/>
                <w:sz w:val="12"/>
                <w:szCs w:val="12"/>
                <w:color w:val="auto"/>
              </w:rPr>
              <w:t>3,182.5</w:t>
            </w:r>
          </w:p>
        </w:tc>
        <w:tc>
          <w:tcPr>
            <w:tcW w:w="60" w:type="dxa"/>
            <w:vAlign w:val="bottom"/>
            <w:shd w:val="clear" w:color="auto" w:fill="CCEEFF"/>
          </w:tcPr>
          <w:p>
            <w:pPr>
              <w:spacing w:after="0"/>
              <w:rPr>
                <w:sz w:val="9"/>
                <w:szCs w:val="9"/>
                <w:color w:val="auto"/>
              </w:rPr>
            </w:pPr>
          </w:p>
        </w:tc>
        <w:tc>
          <w:tcPr>
            <w:tcW w:w="10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50.61 %</w:t>
            </w:r>
          </w:p>
        </w:tc>
        <w:tc>
          <w:tcPr>
            <w:tcW w:w="60" w:type="dxa"/>
            <w:vAlign w:val="bottom"/>
            <w:shd w:val="clear" w:color="auto" w:fill="CCEEFF"/>
          </w:tcPr>
          <w:p>
            <w:pPr>
              <w:spacing w:after="0"/>
              <w:rPr>
                <w:sz w:val="9"/>
                <w:szCs w:val="9"/>
                <w:color w:val="auto"/>
              </w:rPr>
            </w:pPr>
          </w:p>
        </w:tc>
        <w:tc>
          <w:tcPr>
            <w:tcW w:w="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43.88 %</w:t>
            </w:r>
          </w:p>
        </w:tc>
        <w:tc>
          <w:tcPr>
            <w:tcW w:w="0" w:type="dxa"/>
            <w:vAlign w:val="bottom"/>
          </w:tcPr>
          <w:p>
            <w:pPr>
              <w:spacing w:after="0"/>
              <w:rPr>
                <w:sz w:val="1"/>
                <w:szCs w:val="1"/>
                <w:color w:val="auto"/>
              </w:rPr>
            </w:pPr>
          </w:p>
        </w:tc>
      </w:tr>
      <w:tr>
        <w:trPr>
          <w:trHeight w:val="204"/>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 and 2023, respectively)</w:t>
            </w: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United States</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4,801.1</w:t>
            </w: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4,086.4</w:t>
            </w:r>
          </w:p>
        </w:tc>
        <w:tc>
          <w:tcPr>
            <w:tcW w:w="60" w:type="dxa"/>
            <w:vAlign w:val="bottom"/>
          </w:tcPr>
          <w:p>
            <w:pPr>
              <w:spacing w:after="0"/>
              <w:rPr>
                <w:sz w:val="13"/>
                <w:szCs w:val="13"/>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61.69 %</w:t>
            </w:r>
          </w:p>
        </w:tc>
        <w:tc>
          <w:tcPr>
            <w:tcW w:w="60" w:type="dxa"/>
            <w:vAlign w:val="bottom"/>
          </w:tcPr>
          <w:p>
            <w:pPr>
              <w:spacing w:after="0"/>
              <w:rPr>
                <w:sz w:val="13"/>
                <w:szCs w:val="13"/>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56.34 %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15"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5190490" cy="129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190490" cy="1295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Europe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4"/>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10.6</w:t>
            </w:r>
          </w:p>
        </w:tc>
        <w:tc>
          <w:tcPr>
            <w:tcW w:w="3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0.14 %</w:t>
            </w: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r>
      <w:tr>
        <w:trPr>
          <w:trHeight w:val="102"/>
        </w:trPr>
        <w:tc>
          <w:tcPr>
            <w:tcW w:w="404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Total equity securities (cost of $10.7 and $— at December 31, 2024</w:t>
            </w: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57"/>
              <w:spacing w:after="0" w:line="103" w:lineRule="exact"/>
              <w:rPr>
                <w:sz w:val="20"/>
                <w:szCs w:val="20"/>
                <w:color w:val="auto"/>
              </w:rPr>
            </w:pPr>
            <w:r>
              <w:rPr>
                <w:rFonts w:ascii="Times New Roman" w:cs="Times New Roman" w:eastAsia="Times New Roman" w:hAnsi="Times New Roman"/>
                <w:sz w:val="11"/>
                <w:szCs w:val="11"/>
                <w:b w:val="1"/>
                <w:bCs w:val="1"/>
                <w:color w:val="auto"/>
              </w:rPr>
              <w:t>10.6</w:t>
            </w: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57"/>
              <w:spacing w:after="0" w:line="103"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1000" w:type="dxa"/>
            <w:vAlign w:val="bottom"/>
            <w:tcBorders>
              <w:top w:val="single" w:sz="8" w:color="auto"/>
            </w:tcBorders>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0.14 %</w:t>
            </w:r>
          </w:p>
        </w:tc>
        <w:tc>
          <w:tcPr>
            <w:tcW w:w="40" w:type="dxa"/>
            <w:vAlign w:val="bottom"/>
          </w:tcPr>
          <w:p>
            <w:pPr>
              <w:spacing w:after="0"/>
              <w:rPr>
                <w:sz w:val="8"/>
                <w:szCs w:val="8"/>
                <w:color w:val="auto"/>
              </w:rPr>
            </w:pPr>
          </w:p>
        </w:tc>
        <w:tc>
          <w:tcPr>
            <w:tcW w:w="980" w:type="dxa"/>
            <w:vAlign w:val="bottom"/>
            <w:tcBorders>
              <w:top w:val="single" w:sz="8" w:color="auto"/>
            </w:tcBorders>
          </w:tcPr>
          <w:p>
            <w:pPr>
              <w:ind w:left="20"/>
              <w:spacing w:after="0" w:line="103" w:lineRule="exact"/>
              <w:rPr>
                <w:sz w:val="20"/>
                <w:szCs w:val="20"/>
                <w:color w:val="auto"/>
              </w:rPr>
            </w:pPr>
            <w:r>
              <w:rPr>
                <w:rFonts w:ascii="Times New Roman" w:cs="Times New Roman" w:eastAsia="Times New Roman" w:hAnsi="Times New Roman"/>
                <w:sz w:val="11"/>
                <w:szCs w:val="11"/>
                <w:color w:val="auto"/>
              </w:rPr>
              <w:t>— %</w:t>
            </w: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and 2023, respectively)</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2"/>
        </w:trPr>
        <w:tc>
          <w:tcPr>
            <w:tcW w:w="4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of the CLOs:</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Bonds</w:t>
            </w: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373.1</w:t>
            </w:r>
          </w:p>
        </w:tc>
        <w:tc>
          <w:tcPr>
            <w:tcW w:w="30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437.9</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4.79 %</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6.04 %</w:t>
            </w:r>
          </w:p>
        </w:tc>
      </w:tr>
      <w:tr>
        <w:trPr>
          <w:trHeight w:val="30"/>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0.1</w:t>
            </w: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0.01 %</w:t>
            </w:r>
          </w:p>
        </w:tc>
        <w:tc>
          <w:tcPr>
            <w:tcW w:w="10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0.02 %</w:t>
            </w: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Loans</w:t>
            </w: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2,479.9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2,652.6</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31.87 %</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36.57 %</w:t>
            </w:r>
          </w:p>
        </w:tc>
      </w:tr>
      <w:tr>
        <w:trPr>
          <w:trHeight w:val="30"/>
        </w:trPr>
        <w:tc>
          <w:tcPr>
            <w:tcW w:w="4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12"/>
        </w:trPr>
        <w:tc>
          <w:tcPr>
            <w:tcW w:w="40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Total assets of the CLOs (cost of $2,889.4 and $3,231.8 at</w:t>
            </w: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7"/>
              <w:spacing w:after="0" w:line="112" w:lineRule="exact"/>
              <w:rPr>
                <w:sz w:val="20"/>
                <w:szCs w:val="20"/>
                <w:color w:val="auto"/>
              </w:rPr>
            </w:pPr>
            <w:r>
              <w:rPr>
                <w:rFonts w:ascii="Times New Roman" w:cs="Times New Roman" w:eastAsia="Times New Roman" w:hAnsi="Times New Roman"/>
                <w:sz w:val="12"/>
                <w:szCs w:val="12"/>
                <w:b w:val="1"/>
                <w:bCs w:val="1"/>
                <w:color w:val="auto"/>
              </w:rPr>
              <w:t>2,853.1</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7"/>
              <w:spacing w:after="0" w:line="112" w:lineRule="exact"/>
              <w:rPr>
                <w:sz w:val="20"/>
                <w:szCs w:val="20"/>
                <w:color w:val="auto"/>
              </w:rPr>
            </w:pPr>
            <w:r>
              <w:rPr>
                <w:rFonts w:ascii="Times New Roman" w:cs="Times New Roman" w:eastAsia="Times New Roman" w:hAnsi="Times New Roman"/>
                <w:sz w:val="12"/>
                <w:szCs w:val="12"/>
                <w:color w:val="auto"/>
              </w:rPr>
              <w:t>3,091.8</w:t>
            </w: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36.67 %</w:t>
            </w:r>
          </w:p>
        </w:tc>
        <w:tc>
          <w:tcPr>
            <w:tcW w:w="40" w:type="dxa"/>
            <w:vAlign w:val="bottom"/>
            <w:shd w:val="clear" w:color="auto" w:fill="CCEEFF"/>
          </w:tcPr>
          <w:p>
            <w:pPr>
              <w:spacing w:after="0"/>
              <w:rPr>
                <w:sz w:val="9"/>
                <w:szCs w:val="9"/>
                <w:color w:val="auto"/>
              </w:rPr>
            </w:pPr>
          </w:p>
        </w:tc>
        <w:tc>
          <w:tcPr>
            <w:tcW w:w="98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color w:val="auto"/>
              </w:rPr>
              <w:t>42.63 %</w:t>
            </w:r>
          </w:p>
        </w:tc>
      </w:tr>
      <w:tr>
        <w:trPr>
          <w:trHeight w:val="20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 and 2023,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60"/>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Europe</w:t>
            </w: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2,863.7</w:t>
            </w: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3,091.8</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36.81 %</w:t>
            </w:r>
          </w:p>
        </w:tc>
        <w:tc>
          <w:tcPr>
            <w:tcW w:w="40" w:type="dxa"/>
            <w:vAlign w:val="bottom"/>
          </w:tcPr>
          <w:p>
            <w:pPr>
              <w:spacing w:after="0"/>
              <w:rPr>
                <w:sz w:val="13"/>
                <w:szCs w:val="13"/>
                <w:color w:val="auto"/>
              </w:rPr>
            </w:pPr>
          </w:p>
        </w:tc>
        <w:tc>
          <w:tcPr>
            <w:tcW w:w="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42.63 %</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8"/>
        </w:trPr>
        <w:tc>
          <w:tcPr>
            <w:tcW w:w="4040" w:type="dxa"/>
            <w:vAlign w:val="bottom"/>
            <w:tcBorders>
              <w:bottom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Global</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Equity securities: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Consumer</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28.3</w:t>
            </w:r>
          </w:p>
        </w:tc>
        <w:tc>
          <w:tcPr>
            <w:tcW w:w="3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0.36 %</w:t>
            </w:r>
          </w:p>
        </w:tc>
        <w:tc>
          <w:tcPr>
            <w:tcW w:w="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Hardware</w:t>
            </w: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0.12 %</w:t>
            </w:r>
          </w:p>
        </w:tc>
        <w:tc>
          <w:tcPr>
            <w:tcW w:w="4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w:t>
            </w:r>
          </w:p>
        </w:tc>
      </w:tr>
      <w:tr>
        <w:trPr>
          <w:trHeight w:val="30"/>
        </w:trPr>
        <w:tc>
          <w:tcPr>
            <w:tcW w:w="4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02"/>
        </w:trPr>
        <w:tc>
          <w:tcPr>
            <w:tcW w:w="4040" w:type="dxa"/>
            <w:vAlign w:val="bottom"/>
            <w:shd w:val="clear" w:color="auto" w:fill="CCEEFF"/>
          </w:tcPr>
          <w:p>
            <w:pPr>
              <w:spacing w:after="0" w:line="103" w:lineRule="exact"/>
              <w:rPr>
                <w:sz w:val="20"/>
                <w:szCs w:val="20"/>
                <w:color w:val="auto"/>
              </w:rPr>
            </w:pPr>
            <w:r>
              <w:rPr>
                <w:rFonts w:ascii="Times New Roman" w:cs="Times New Roman" w:eastAsia="Times New Roman" w:hAnsi="Times New Roman"/>
                <w:sz w:val="11"/>
                <w:szCs w:val="11"/>
                <w:color w:val="auto"/>
              </w:rPr>
              <w:t>Total equity securities (cost of $39.9 and $— at December 31, 2024</w:t>
            </w:r>
          </w:p>
        </w:tc>
        <w:tc>
          <w:tcPr>
            <w:tcW w:w="28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7"/>
              <w:spacing w:after="0" w:line="103" w:lineRule="exact"/>
              <w:rPr>
                <w:sz w:val="20"/>
                <w:szCs w:val="20"/>
                <w:color w:val="auto"/>
              </w:rPr>
            </w:pPr>
            <w:r>
              <w:rPr>
                <w:rFonts w:ascii="Times New Roman" w:cs="Times New Roman" w:eastAsia="Times New Roman" w:hAnsi="Times New Roman"/>
                <w:sz w:val="11"/>
                <w:szCs w:val="11"/>
                <w:b w:val="1"/>
                <w:bCs w:val="1"/>
                <w:color w:val="auto"/>
              </w:rPr>
              <w:t>37.9</w:t>
            </w: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20" w:type="dxa"/>
            <w:vAlign w:val="bottom"/>
            <w:shd w:val="clear" w:color="auto" w:fill="CCEEFF"/>
          </w:tcPr>
          <w:p>
            <w:pPr>
              <w:jc w:val="right"/>
              <w:ind w:right="57"/>
              <w:spacing w:after="0" w:line="103"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0.48 %</w:t>
            </w:r>
          </w:p>
        </w:tc>
        <w:tc>
          <w:tcPr>
            <w:tcW w:w="40" w:type="dxa"/>
            <w:vAlign w:val="bottom"/>
            <w:shd w:val="clear" w:color="auto" w:fill="CCEEFF"/>
          </w:tcPr>
          <w:p>
            <w:pPr>
              <w:spacing w:after="0"/>
              <w:rPr>
                <w:sz w:val="8"/>
                <w:szCs w:val="8"/>
                <w:color w:val="auto"/>
              </w:rPr>
            </w:pPr>
          </w:p>
        </w:tc>
        <w:tc>
          <w:tcPr>
            <w:tcW w:w="98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 %</w:t>
            </w:r>
          </w:p>
        </w:tc>
      </w:tr>
      <w:tr>
        <w:trPr>
          <w:trHeight w:val="18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2023, respectively)</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Assets of the CLOs:</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Bonds</w:t>
            </w:r>
          </w:p>
        </w:tc>
        <w:tc>
          <w:tcPr>
            <w:tcW w:w="2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1.9</w:t>
            </w:r>
          </w:p>
        </w:tc>
        <w:tc>
          <w:tcPr>
            <w:tcW w:w="3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0.02 %</w:t>
            </w:r>
          </w:p>
        </w:tc>
        <w:tc>
          <w:tcPr>
            <w:tcW w:w="10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0.06 %</w:t>
            </w:r>
          </w:p>
        </w:tc>
      </w:tr>
      <w:tr>
        <w:trPr>
          <w:trHeight w:val="174"/>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Loans</w:t>
            </w: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77.8</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70.8</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1.00 %</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0.97 %</w:t>
            </w:r>
          </w:p>
        </w:tc>
      </w:tr>
      <w:tr>
        <w:trPr>
          <w:trHeight w:val="30"/>
        </w:trPr>
        <w:tc>
          <w:tcPr>
            <w:tcW w:w="4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12"/>
        </w:trPr>
        <w:tc>
          <w:tcPr>
            <w:tcW w:w="40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Total assets of the CLOs (cost of $80.7 and $77.3 at</w:t>
            </w: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7"/>
              <w:spacing w:after="0" w:line="112" w:lineRule="exact"/>
              <w:rPr>
                <w:sz w:val="20"/>
                <w:szCs w:val="20"/>
                <w:color w:val="auto"/>
              </w:rPr>
            </w:pPr>
            <w:r>
              <w:rPr>
                <w:rFonts w:ascii="Times New Roman" w:cs="Times New Roman" w:eastAsia="Times New Roman" w:hAnsi="Times New Roman"/>
                <w:sz w:val="12"/>
                <w:szCs w:val="12"/>
                <w:b w:val="1"/>
                <w:bCs w:val="1"/>
                <w:color w:val="auto"/>
              </w:rPr>
              <w:t>79.7</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57"/>
              <w:spacing w:after="0" w:line="112" w:lineRule="exact"/>
              <w:rPr>
                <w:sz w:val="20"/>
                <w:szCs w:val="20"/>
                <w:color w:val="auto"/>
              </w:rPr>
            </w:pPr>
            <w:r>
              <w:rPr>
                <w:rFonts w:ascii="Times New Roman" w:cs="Times New Roman" w:eastAsia="Times New Roman" w:hAnsi="Times New Roman"/>
                <w:sz w:val="12"/>
                <w:szCs w:val="12"/>
                <w:color w:val="auto"/>
              </w:rPr>
              <w:t>74.9</w:t>
            </w: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1.02 %</w:t>
            </w:r>
          </w:p>
        </w:tc>
        <w:tc>
          <w:tcPr>
            <w:tcW w:w="40" w:type="dxa"/>
            <w:vAlign w:val="bottom"/>
            <w:shd w:val="clear" w:color="auto" w:fill="CCEEFF"/>
          </w:tcPr>
          <w:p>
            <w:pPr>
              <w:spacing w:after="0"/>
              <w:rPr>
                <w:sz w:val="9"/>
                <w:szCs w:val="9"/>
                <w:color w:val="auto"/>
              </w:rPr>
            </w:pPr>
          </w:p>
        </w:tc>
        <w:tc>
          <w:tcPr>
            <w:tcW w:w="98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color w:val="auto"/>
              </w:rPr>
              <w:t>1.03 %</w:t>
            </w:r>
          </w:p>
        </w:tc>
      </w:tr>
      <w:tr>
        <w:trPr>
          <w:trHeight w:val="20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2024 and 2023,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60"/>
        </w:trPr>
        <w:tc>
          <w:tcPr>
            <w:tcW w:w="4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Global</w:t>
            </w:r>
          </w:p>
        </w:tc>
        <w:tc>
          <w:tcPr>
            <w:tcW w:w="2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117.6</w:t>
            </w: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1.50 %</w:t>
            </w:r>
          </w:p>
        </w:tc>
        <w:tc>
          <w:tcPr>
            <w:tcW w:w="40" w:type="dxa"/>
            <w:vAlign w:val="bottom"/>
          </w:tcPr>
          <w:p>
            <w:pPr>
              <w:spacing w:after="0"/>
              <w:rPr>
                <w:sz w:val="13"/>
                <w:szCs w:val="13"/>
                <w:color w:val="auto"/>
              </w:rPr>
            </w:pPr>
          </w:p>
        </w:tc>
        <w:tc>
          <w:tcPr>
            <w:tcW w:w="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1.03 %</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8"/>
        </w:trPr>
        <w:tc>
          <w:tcPr>
            <w:tcW w:w="40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Total investments of Consolidated Funds (cost of $7,726.5 and $7,387.9</w:t>
            </w:r>
          </w:p>
        </w:tc>
        <w:tc>
          <w:tcPr>
            <w:tcW w:w="280" w:type="dxa"/>
            <w:vAlign w:val="bottom"/>
            <w:shd w:val="clear" w:color="auto" w:fill="CCEEFF"/>
          </w:tcPr>
          <w:p>
            <w:pPr>
              <w:jc w:val="right"/>
              <w:ind w:right="135"/>
              <w:spacing w:after="0" w:line="108"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shd w:val="clear" w:color="auto" w:fill="CCEEFF"/>
          </w:tcPr>
          <w:p>
            <w:pPr>
              <w:jc w:val="right"/>
              <w:ind w:right="37"/>
              <w:spacing w:after="0" w:line="108" w:lineRule="exact"/>
              <w:rPr>
                <w:sz w:val="20"/>
                <w:szCs w:val="20"/>
                <w:color w:val="auto"/>
              </w:rPr>
            </w:pPr>
            <w:r>
              <w:rPr>
                <w:rFonts w:ascii="Times New Roman" w:cs="Times New Roman" w:eastAsia="Times New Roman" w:hAnsi="Times New Roman"/>
                <w:sz w:val="12"/>
                <w:szCs w:val="12"/>
                <w:b w:val="1"/>
                <w:bCs w:val="1"/>
                <w:color w:val="auto"/>
              </w:rPr>
              <w:t>7,782.4</w:t>
            </w: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36"/>
              <w:spacing w:after="0" w:line="108"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37"/>
              <w:spacing w:after="0" w:line="108" w:lineRule="exact"/>
              <w:rPr>
                <w:sz w:val="20"/>
                <w:szCs w:val="20"/>
                <w:color w:val="auto"/>
              </w:rPr>
            </w:pPr>
            <w:r>
              <w:rPr>
                <w:rFonts w:ascii="Times New Roman" w:cs="Times New Roman" w:eastAsia="Times New Roman" w:hAnsi="Times New Roman"/>
                <w:sz w:val="12"/>
                <w:szCs w:val="12"/>
                <w:color w:val="auto"/>
              </w:rPr>
              <w:t>7,253.1</w:t>
            </w: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100.00 %</w:t>
            </w:r>
          </w:p>
        </w:tc>
        <w:tc>
          <w:tcPr>
            <w:tcW w:w="40" w:type="dxa"/>
            <w:vAlign w:val="bottom"/>
            <w:shd w:val="clear" w:color="auto" w:fill="CCEEFF"/>
          </w:tcPr>
          <w:p>
            <w:pPr>
              <w:spacing w:after="0"/>
              <w:rPr>
                <w:sz w:val="9"/>
                <w:szCs w:val="9"/>
                <w:color w:val="auto"/>
              </w:rPr>
            </w:pPr>
          </w:p>
        </w:tc>
        <w:tc>
          <w:tcPr>
            <w:tcW w:w="98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100.00 %</w:t>
            </w:r>
          </w:p>
        </w:tc>
      </w:tr>
      <w:tr>
        <w:trPr>
          <w:trHeight w:val="172"/>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at December 31, 2024 and 2023, respectively)</w:t>
            </w: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r>
    </w:tbl>
    <w:p>
      <w:pPr>
        <w:spacing w:after="0" w:line="1" w:lineRule="exact"/>
        <w:rPr>
          <w:sz w:val="20"/>
          <w:szCs w:val="20"/>
          <w:color w:val="auto"/>
        </w:rPr>
      </w:pPr>
    </w:p>
    <w:p>
      <w:pPr>
        <w:sectPr>
          <w:pgSz w:w="11900" w:h="16840" w:orient="portrait"/>
          <w:cols w:equalWidth="0" w:num="1">
            <w:col w:w="9400"/>
          </w:cols>
          <w:pgMar w:left="1060" w:top="540" w:right="1440" w:bottom="84" w:gutter="0" w:footer="0" w:header="0"/>
        </w:sectPr>
      </w:pPr>
    </w:p>
    <w:p>
      <w:pPr>
        <w:spacing w:after="0"/>
        <w:rPr>
          <w:sz w:val="20"/>
          <w:szCs w:val="20"/>
          <w:color w:val="auto"/>
        </w:rPr>
      </w:pPr>
      <w:r>
        <w:rPr>
          <w:rFonts w:ascii="Times New Roman" w:cs="Times New Roman" w:eastAsia="Times New Roman" w:hAnsi="Times New Roman"/>
          <w:sz w:val="14"/>
          <w:szCs w:val="14"/>
          <w:color w:val="auto"/>
        </w:rPr>
        <w:t>There were no individual investments with a fair value greater than five percent of the Company’s total assets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-93980</wp:posOffset>
            </wp:positionV>
            <wp:extent cx="26142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614295" cy="7620"/>
                    </a:xfrm>
                    <a:prstGeom prst="rect">
                      <a:avLst/>
                    </a:prstGeom>
                    <a:noFill/>
                  </pic:spPr>
                </pic:pic>
              </a:graphicData>
            </a:graphic>
          </wp:anchor>
        </w:drawing>
      </w:r>
    </w:p>
    <w:p>
      <w:pPr>
        <w:sectPr>
          <w:pgSz w:w="11900" w:h="16840" w:orient="portrait"/>
          <w:cols w:equalWidth="0" w:num="1">
            <w:col w:w="9400"/>
          </w:cols>
          <w:pgMar w:left="1060" w:top="540" w:right="1440" w:bottom="84"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color w:val="auto"/>
        </w:rPr>
        <w:t>period presented.</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Interest and Other Income of Consolidated Funds</w:t>
      </w:r>
    </w:p>
    <w:p>
      <w:pPr>
        <w:spacing w:after="0" w:line="218" w:lineRule="auto"/>
        <w:rPr>
          <w:sz w:val="20"/>
          <w:szCs w:val="20"/>
          <w:color w:val="auto"/>
        </w:rPr>
      </w:pPr>
      <w:r>
        <w:rPr>
          <w:rFonts w:ascii="Times New Roman" w:cs="Times New Roman" w:eastAsia="Times New Roman" w:hAnsi="Times New Roman"/>
          <w:sz w:val="16"/>
          <w:szCs w:val="16"/>
          <w:color w:val="auto"/>
        </w:rPr>
        <w:t>The components of interest and other income of Consolidated Funds are as follows:</w:t>
      </w: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4"/>
        </w:trPr>
        <w:tc>
          <w:tcPr>
            <w:tcW w:w="45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2"/>
        </w:trPr>
        <w:tc>
          <w:tcPr>
            <w:tcW w:w="456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r>
      <w:tr>
        <w:trPr>
          <w:trHeight w:val="26"/>
        </w:trPr>
        <w:tc>
          <w:tcPr>
            <w:tcW w:w="45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2"/>
        </w:trPr>
        <w:tc>
          <w:tcPr>
            <w:tcW w:w="456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6"/>
        </w:trPr>
        <w:tc>
          <w:tcPr>
            <w:tcW w:w="4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8"/>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 from investments</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577.6</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512.4</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282.3</w:t>
            </w: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5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54.0</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57.7</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r>
      <w:tr>
        <w:trPr>
          <w:trHeight w:val="38"/>
        </w:trPr>
        <w:tc>
          <w:tcPr>
            <w:tcW w:w="45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8"/>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631.6</w:t>
            </w: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311.0</w:t>
            </w:r>
          </w:p>
        </w:tc>
      </w:tr>
    </w:tbl>
    <w:p>
      <w:pPr>
        <w:spacing w:after="0" w:line="225" w:lineRule="auto"/>
        <w:rPr>
          <w:sz w:val="20"/>
          <w:szCs w:val="20"/>
          <w:color w:val="auto"/>
        </w:rPr>
      </w:pPr>
      <w:r>
        <w:rPr>
          <w:rFonts w:ascii="Times New Roman" w:cs="Times New Roman" w:eastAsia="Times New Roman" w:hAnsi="Times New Roman"/>
          <w:sz w:val="16"/>
          <w:szCs w:val="16"/>
          <w:b w:val="1"/>
          <w:bCs w:val="1"/>
          <w:color w:val="auto"/>
        </w:rPr>
        <w:t>Net Investment Income (Loss) of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-100965</wp:posOffset>
            </wp:positionV>
            <wp:extent cx="235521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355215" cy="7620"/>
                    </a:xfrm>
                    <a:prstGeom prst="rect">
                      <a:avLst/>
                    </a:prstGeom>
                    <a:noFill/>
                  </pic:spPr>
                </pic:pic>
              </a:graphicData>
            </a:graphic>
          </wp:anchor>
        </w:drawing>
      </w:r>
    </w:p>
    <w:p>
      <w:pPr>
        <w:ind w:right="1560"/>
        <w:spacing w:after="0" w:line="208" w:lineRule="auto"/>
        <w:rPr>
          <w:sz w:val="20"/>
          <w:szCs w:val="20"/>
          <w:color w:val="auto"/>
        </w:rPr>
      </w:pPr>
      <w:r>
        <w:rPr>
          <w:rFonts w:ascii="Times New Roman" w:cs="Times New Roman" w:eastAsia="Times New Roman" w:hAnsi="Times New Roman"/>
          <w:sz w:val="16"/>
          <w:szCs w:val="16"/>
          <w:color w:val="auto"/>
        </w:rPr>
        <w:t>Net investment income (loss) of Consolidated Funds includes net realized gains (losses) from sales of investments and unrealized gains (losses) resulting from changes in fair value of the Consolidated Funds’ investments. The components of Net investment income (loss) of Consolidated Funds are as follows:</w:t>
      </w: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4"/>
        </w:trPr>
        <w:tc>
          <w:tcPr>
            <w:tcW w:w="4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44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r>
      <w:tr>
        <w:trPr>
          <w:trHeight w:val="26"/>
        </w:trPr>
        <w:tc>
          <w:tcPr>
            <w:tcW w:w="44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44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4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(losses) from investments of Consolidated Funds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96.4</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246.9</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(408.1)</w:t>
            </w: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Gains (losses) from liabilities of CLOs</w:t>
            </w:r>
          </w:p>
        </w:tc>
        <w:tc>
          <w:tcPr>
            <w:tcW w:w="5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(72.4)</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366.6</w:t>
            </w:r>
          </w:p>
        </w:tc>
      </w:tr>
      <w:tr>
        <w:trPr>
          <w:trHeight w:val="38"/>
        </w:trPr>
        <w:tc>
          <w:tcPr>
            <w:tcW w:w="44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2420"/>
        <w:spacing w:after="0" w:line="210" w:lineRule="auto"/>
        <w:rPr>
          <w:sz w:val="20"/>
          <w:szCs w:val="20"/>
          <w:color w:val="auto"/>
        </w:rPr>
      </w:pPr>
      <w:r>
        <w:rPr>
          <w:rFonts w:ascii="Times New Roman" w:cs="Times New Roman" w:eastAsia="Times New Roman" w:hAnsi="Times New Roman"/>
          <w:sz w:val="16"/>
          <w:szCs w:val="16"/>
          <w:color w:val="auto"/>
        </w:rPr>
        <w:t>The following table presents realized and unrealized gains (losses) earned from investments of the Consolidated Funds: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4"/>
        </w:trPr>
        <w:tc>
          <w:tcPr>
            <w:tcW w:w="4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44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r>
      <w:tr>
        <w:trPr>
          <w:trHeight w:val="26"/>
        </w:trPr>
        <w:tc>
          <w:tcPr>
            <w:tcW w:w="44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44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4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gains (losses)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(60.7)</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w:t>
            </w:r>
          </w:p>
        </w:tc>
      </w:tr>
      <w:tr>
        <w:trPr>
          <w:trHeight w:val="190"/>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5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157.1</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(378.5)</w:t>
            </w:r>
          </w:p>
        </w:tc>
      </w:tr>
      <w:tr>
        <w:trPr>
          <w:trHeight w:val="38"/>
        </w:trPr>
        <w:tc>
          <w:tcPr>
            <w:tcW w:w="44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8"/>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96.4</w:t>
            </w: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246.9</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(408.1)</w:t>
            </w:r>
          </w:p>
        </w:tc>
      </w:tr>
    </w:tbl>
    <w:p>
      <w:pPr>
        <w:spacing w:after="0" w:line="225" w:lineRule="auto"/>
        <w:rPr>
          <w:sz w:val="20"/>
          <w:szCs w:val="20"/>
          <w:color w:val="auto"/>
        </w:rPr>
      </w:pPr>
      <w:r>
        <w:rPr>
          <w:rFonts w:ascii="Times New Roman" w:cs="Times New Roman" w:eastAsia="Times New Roman" w:hAnsi="Times New Roman"/>
          <w:sz w:val="16"/>
          <w:szCs w:val="16"/>
          <w:b w:val="1"/>
          <w:bCs w:val="1"/>
          <w:color w:val="auto"/>
        </w:rPr>
        <w:t>5. 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-100965</wp:posOffset>
            </wp:positionV>
            <wp:extent cx="24085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218" w:lineRule="auto"/>
        <w:rPr>
          <w:sz w:val="20"/>
          <w:szCs w:val="20"/>
          <w:color w:val="auto"/>
        </w:rPr>
      </w:pPr>
      <w:r>
        <w:rPr>
          <w:rFonts w:ascii="Times New Roman" w:cs="Times New Roman" w:eastAsia="Times New Roman" w:hAnsi="Times New Roman"/>
          <w:sz w:val="16"/>
          <w:szCs w:val="16"/>
          <w:color w:val="auto"/>
        </w:rPr>
        <w:t>The following table summarizes the carrying amount of intangible assets as of December 31, 2024 and 2023:</w:t>
      </w: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
        </w:trPr>
        <w:tc>
          <w:tcPr>
            <w:tcW w:w="54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4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r>
      <w:tr>
        <w:trPr>
          <w:trHeight w:val="26"/>
        </w:trPr>
        <w:tc>
          <w:tcPr>
            <w:tcW w:w="546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4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
        </w:trPr>
        <w:tc>
          <w:tcPr>
            <w:tcW w:w="5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Acquired contractual rights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922.7</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924.1</w:t>
            </w: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amortization</w:t>
            </w:r>
          </w:p>
        </w:tc>
        <w:tc>
          <w:tcPr>
            <w:tcW w:w="5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(392.2)</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(262.0)</w:t>
            </w:r>
          </w:p>
        </w:tc>
      </w:tr>
      <w:tr>
        <w:trPr>
          <w:trHeight w:val="38"/>
        </w:trPr>
        <w:tc>
          <w:tcPr>
            <w:tcW w:w="54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8"/>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Finite-lived intangible assets, net</w:t>
            </w: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530.5</w:t>
            </w: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662.1</w:t>
            </w: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5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103.6</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104.0</w:t>
            </w:r>
          </w:p>
        </w:tc>
      </w:tr>
      <w:tr>
        <w:trPr>
          <w:trHeight w:val="38"/>
        </w:trPr>
        <w:tc>
          <w:tcPr>
            <w:tcW w:w="54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8"/>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634.1</w:t>
            </w: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766.1</w:t>
            </w:r>
          </w:p>
        </w:tc>
      </w:tr>
    </w:tbl>
    <w:p>
      <w:pPr>
        <w:ind w:right="1400" w:firstLine="576"/>
        <w:spacing w:after="0" w:line="223" w:lineRule="auto"/>
        <w:rPr>
          <w:sz w:val="20"/>
          <w:szCs w:val="20"/>
          <w:color w:val="auto"/>
        </w:rPr>
      </w:pPr>
      <w:r>
        <w:rPr>
          <w:rFonts w:ascii="Times New Roman" w:cs="Times New Roman" w:eastAsia="Times New Roman" w:hAnsi="Times New Roman"/>
          <w:sz w:val="16"/>
          <w:szCs w:val="16"/>
          <w:color w:val="auto"/>
        </w:rPr>
        <w:t>As of December 31, 2024, goodwill included $91.1 million related to the Company’s Global Private Equity segment in connection with the acquisition of Abingworth. The balance also included $5.5 million associated with the Company’s Global Credit segment and $7.0 million associated with the Company’s Global Investment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-317500</wp:posOffset>
            </wp:positionV>
            <wp:extent cx="173037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30375" cy="7620"/>
                    </a:xfrm>
                    <a:prstGeom prst="rect">
                      <a:avLst/>
                    </a:prstGeom>
                    <a:noFill/>
                  </pic:spPr>
                </pic:pic>
              </a:graphicData>
            </a:graphic>
          </wp:anchor>
        </w:drawing>
      </w:r>
    </w:p>
    <w:p>
      <w:pPr>
        <w:spacing w:after="0" w:line="42" w:lineRule="exact"/>
        <w:rPr>
          <w:sz w:val="20"/>
          <w:szCs w:val="20"/>
          <w:color w:val="auto"/>
        </w:rPr>
      </w:pPr>
    </w:p>
    <w:p>
      <w:pPr>
        <w:ind w:right="1440" w:firstLine="576"/>
        <w:spacing w:after="0" w:line="206" w:lineRule="auto"/>
        <w:rPr>
          <w:sz w:val="20"/>
          <w:szCs w:val="20"/>
          <w:color w:val="auto"/>
        </w:rPr>
      </w:pPr>
      <w:r>
        <w:rPr>
          <w:rFonts w:ascii="Times New Roman" w:cs="Times New Roman" w:eastAsia="Times New Roman" w:hAnsi="Times New Roman"/>
          <w:sz w:val="16"/>
          <w:szCs w:val="16"/>
          <w:color w:val="auto"/>
        </w:rPr>
        <w:t>As discussed in Note 2, Summary of Significant Accounting Policies, the Company reviews its intangible assets for impairment whenever events or changes in circumstances indicate that the carrying amount of the asset may not be recoverable, and considers factors including, but not limited to, expected cash flows from its interest in future management fees and the ability to raise new funds. During the years ended December 31, 2024 and 2023, the Company recorded no impairment losses. During the year ended December 31, 2022, the Company recorded an impairment charge of $4.0 million on certain acquired contractual rights related to Carlyle Aviation Partners as a result of impaired income streams from aircraft under lease in Russia.</w:t>
      </w:r>
    </w:p>
    <w:p>
      <w:pPr>
        <w:spacing w:after="0" w:line="5"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color w:val="auto"/>
        </w:rPr>
        <w:t>Intangible asset amortization expense was $130.8 million, $135.0 million and $103.9 million for the years ended December 31, 2024, 2023 and 2022, respectively, and is included in general, administrative, and other expenses in the consolidated statements of operations. Certain intangible assets are held by entities of which the functional currency is not the U.S. dollar. Any corresponding currency translation is recorded in accumulated other comprehensive income (loss).</w:t>
      </w:r>
    </w:p>
    <w:p>
      <w:pPr>
        <w:spacing w:after="0" w:line="2" w:lineRule="exact"/>
        <w:rPr>
          <w:sz w:val="20"/>
          <w:szCs w:val="20"/>
          <w:color w:val="auto"/>
        </w:rPr>
      </w:pPr>
    </w:p>
    <w:p>
      <w:pPr>
        <w:ind w:right="1560" w:firstLine="576"/>
        <w:spacing w:after="0" w:line="222" w:lineRule="auto"/>
        <w:rPr>
          <w:sz w:val="20"/>
          <w:szCs w:val="20"/>
          <w:color w:val="auto"/>
        </w:rPr>
      </w:pPr>
      <w:r>
        <w:rPr>
          <w:rFonts w:ascii="Times New Roman" w:cs="Times New Roman" w:eastAsia="Times New Roman" w:hAnsi="Times New Roman"/>
          <w:sz w:val="16"/>
          <w:szCs w:val="16"/>
          <w:color w:val="auto"/>
        </w:rPr>
        <w:t>The following table summarizes the expected amortization expense for 2025 through 2029 and thereafter (Dollars in millions):</w:t>
      </w:r>
    </w:p>
    <w:p>
      <w:pPr>
        <w:sectPr>
          <w:pgSz w:w="11900" w:h="16840" w:orient="portrait"/>
          <w:cols w:equalWidth="0" w:num="1">
            <w:col w:w="9400"/>
          </w:cols>
          <w:pgMar w:left="1060" w:top="547"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4"/>
        </w:trPr>
        <w:tc>
          <w:tcPr>
            <w:tcW w:w="3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08"/>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131.0</w:t>
            </w:r>
          </w:p>
        </w:tc>
      </w:tr>
      <w:tr>
        <w:trPr>
          <w:trHeight w:val="188"/>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130.9</w:t>
            </w:r>
          </w:p>
        </w:tc>
      </w:tr>
      <w:tr>
        <w:trPr>
          <w:trHeight w:val="40"/>
        </w:trPr>
        <w:tc>
          <w:tcPr>
            <w:tcW w:w="3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8"/>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120.8</w:t>
            </w:r>
          </w:p>
        </w:tc>
      </w:tr>
      <w:tr>
        <w:trPr>
          <w:trHeight w:val="188"/>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113.6</w:t>
            </w:r>
          </w:p>
        </w:tc>
      </w:tr>
      <w:tr>
        <w:trPr>
          <w:trHeight w:val="40"/>
        </w:trPr>
        <w:tc>
          <w:tcPr>
            <w:tcW w:w="3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8"/>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31.7</w:t>
            </w:r>
          </w:p>
        </w:tc>
      </w:tr>
      <w:tr>
        <w:trPr>
          <w:trHeight w:val="188"/>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r>
      <w:tr>
        <w:trPr>
          <w:trHeight w:val="40"/>
        </w:trPr>
        <w:tc>
          <w:tcPr>
            <w:tcW w:w="32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7"/>
        </w:trPr>
        <w:tc>
          <w:tcPr>
            <w:tcW w:w="3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6. Borrowings</w:t>
      </w:r>
    </w:p>
    <w:p>
      <w:pPr>
        <w:ind w:right="2440"/>
        <w:spacing w:after="0" w:line="210" w:lineRule="auto"/>
        <w:rPr>
          <w:sz w:val="20"/>
          <w:szCs w:val="20"/>
          <w:color w:val="auto"/>
        </w:rPr>
      </w:pPr>
      <w:r>
        <w:rPr>
          <w:rFonts w:ascii="Times New Roman" w:cs="Times New Roman" w:eastAsia="Times New Roman" w:hAnsi="Times New Roman"/>
          <w:sz w:val="16"/>
          <w:szCs w:val="16"/>
          <w:color w:val="auto"/>
        </w:rPr>
        <w:t>The Company borrows and enters into credit agreements for its general operating and investment purposes. The Company’s debt obligations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172"/>
        </w:trPr>
        <w:tc>
          <w:tcPr>
            <w:tcW w:w="4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24"/>
        </w:trPr>
        <w:tc>
          <w:tcPr>
            <w:tcW w:w="4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10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0"/>
                <w:szCs w:val="10"/>
                <w:color w:val="auto"/>
              </w:rPr>
            </w:pPr>
          </w:p>
        </w:tc>
        <w:tc>
          <w:tcPr>
            <w:tcW w:w="11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4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tcPr>
          <w:p>
            <w:pPr>
              <w:spacing w:after="0"/>
              <w:rPr>
                <w:sz w:val="16"/>
                <w:szCs w:val="16"/>
                <w:color w:val="auto"/>
              </w:rPr>
            </w:pPr>
          </w:p>
        </w:tc>
      </w:tr>
      <w:tr>
        <w:trPr>
          <w:trHeight w:val="38"/>
        </w:trPr>
        <w:tc>
          <w:tcPr>
            <w:tcW w:w="4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2"/>
        </w:trPr>
        <w:tc>
          <w:tcPr>
            <w:tcW w:w="4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
        </w:trPr>
        <w:tc>
          <w:tcPr>
            <w:tcW w:w="37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Borrowings (See below)</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289.4</w:t>
            </w:r>
          </w:p>
        </w:tc>
        <w:tc>
          <w:tcPr>
            <w:tcW w:w="5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288.0</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431.7</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426.4</w:t>
            </w:r>
          </w:p>
        </w:tc>
      </w:tr>
      <w:tr>
        <w:trPr>
          <w:trHeight w:val="19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3.500%</w:t>
            </w: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9/19/2029</w:t>
            </w:r>
          </w:p>
        </w:tc>
        <w:tc>
          <w:tcPr>
            <w:tcW w:w="4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425.0</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422.9</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425.0</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422.5</w:t>
            </w:r>
          </w:p>
        </w:tc>
      </w:tr>
      <w:tr>
        <w:trPr>
          <w:trHeight w:val="38"/>
        </w:trPr>
        <w:tc>
          <w:tcPr>
            <w:tcW w:w="4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8"/>
        </w:trPr>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5.625%</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3/30/2043</w:t>
            </w: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600.5</w:t>
            </w:r>
          </w:p>
        </w:tc>
        <w:tc>
          <w:tcPr>
            <w:tcW w:w="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600.6</w:t>
            </w:r>
          </w:p>
        </w:tc>
      </w:tr>
      <w:tr>
        <w:trPr>
          <w:trHeight w:val="19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5.650%</w:t>
            </w:r>
          </w:p>
        </w:tc>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9/15/2048</w:t>
            </w:r>
          </w:p>
        </w:tc>
        <w:tc>
          <w:tcPr>
            <w:tcW w:w="4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350.0</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346.6</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346.4</w:t>
            </w:r>
          </w:p>
        </w:tc>
      </w:tr>
      <w:tr>
        <w:trPr>
          <w:trHeight w:val="38"/>
        </w:trPr>
        <w:tc>
          <w:tcPr>
            <w:tcW w:w="4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8"/>
        </w:trPr>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4.625%</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Notes Due 5/15/2061</w:t>
            </w:r>
          </w:p>
        </w:tc>
        <w:tc>
          <w:tcPr>
            <w:tcW w:w="4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500.0</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485.5</w:t>
            </w:r>
          </w:p>
        </w:tc>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485.1</w:t>
            </w:r>
          </w:p>
        </w:tc>
      </w:tr>
      <w:tr>
        <w:trPr>
          <w:trHeight w:val="183"/>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debt obligations</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2,164.4</w:t>
            </w:r>
          </w:p>
        </w:tc>
        <w:tc>
          <w:tcPr>
            <w:tcW w:w="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2,143.5</w:t>
            </w:r>
          </w:p>
        </w:tc>
        <w:tc>
          <w:tcPr>
            <w:tcW w:w="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2,306.7</w:t>
            </w:r>
          </w:p>
        </w:tc>
        <w:tc>
          <w:tcPr>
            <w:tcW w:w="60" w:type="dxa"/>
            <w:vAlign w:val="bottom"/>
          </w:tcPr>
          <w:p>
            <w:pPr>
              <w:spacing w:after="0"/>
              <w:rPr>
                <w:sz w:val="15"/>
                <w:szCs w:val="15"/>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2,281.0</w:t>
            </w:r>
          </w:p>
        </w:tc>
      </w:tr>
      <w:tr>
        <w:trPr>
          <w:trHeight w:val="20"/>
        </w:trPr>
        <w:tc>
          <w:tcPr>
            <w:tcW w:w="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Senior Credit Facility</w:t>
      </w:r>
    </w:p>
    <w:p>
      <w:pPr>
        <w:spacing w:after="0" w:line="16"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As of December 31, 2024, the senior credit facility included $1.0 billion in a revolving credit facility. The Company’s borrowing capacity is subject to the ability of the financial institutions in the banking syndicate to fulfill their respective obligations under the revolving credit facility. The revolving credit facility is scheduled to mature on April 29, 2027, and principal amounts outstanding under the revolving credit facility accrue interest, at the option of the borrowers, either (a) at an alternate base rate plus an applicable margin not to exceed 0.50% per annum, or (b) at SOFR (or similar benchmark rate for non-U.S. dollar borrowings) plus a 0.10% adjustment and an applicable margin not to exceed 1.50% per annum (at December 31, 2024, the interest rate was 5.43%). There was no amount outstanding under the revolving credit facility as of December 31, 2024. The Company made no borrowings under the revolving credit facility during the years ended December 31, 2024 and 2023.</w:t>
      </w:r>
    </w:p>
    <w:p>
      <w:pPr>
        <w:ind w:left="560"/>
        <w:spacing w:after="0" w:line="208" w:lineRule="auto"/>
        <w:rPr>
          <w:sz w:val="20"/>
          <w:szCs w:val="20"/>
          <w:color w:val="auto"/>
        </w:rPr>
      </w:pPr>
      <w:r>
        <w:rPr>
          <w:rFonts w:ascii="Times New Roman" w:cs="Times New Roman" w:eastAsia="Times New Roman" w:hAnsi="Times New Roman"/>
          <w:sz w:val="16"/>
          <w:szCs w:val="16"/>
          <w:b w:val="1"/>
          <w:bCs w:val="1"/>
          <w:color w:val="auto"/>
        </w:rPr>
        <w:t>Global Credit Revolving Credit Facility</w:t>
      </w:r>
    </w:p>
    <w:p>
      <w:pPr>
        <w:ind w:right="1500"/>
        <w:spacing w:after="0" w:line="203" w:lineRule="auto"/>
        <w:rPr>
          <w:sz w:val="20"/>
          <w:szCs w:val="20"/>
          <w:color w:val="auto"/>
        </w:rPr>
      </w:pPr>
      <w:r>
        <w:rPr>
          <w:rFonts w:ascii="Times New Roman" w:cs="Times New Roman" w:eastAsia="Times New Roman" w:hAnsi="Times New Roman"/>
          <w:sz w:val="16"/>
          <w:szCs w:val="16"/>
          <w:color w:val="auto"/>
        </w:rPr>
        <w:t>Certain subsidiaries of the Company are parties to a revolving line of credit, primarily intended to support certain lending activities within the Global Credit segment. As currently amended, the Global Credit Revolving Credit Facility provides for a revolving line of credit with a capacity of $300 million, which matures in September 2027, and a second revolving line of credit with a capacity of $200 million, which matures in August 2025. The Company’s borrowing capacity is subject to the ability of the financial institutions in the banking syndicate to fulfill their respective obligations under the Global Credit Revolving Credit Facility. Principal amounts outstanding accrue interest at applicable SOFR or Eurocurrency rates plus an applicable margin of 2.00% or an alternate base rate plus an applicable margin of 1.00%.</w:t>
      </w:r>
    </w:p>
    <w:p>
      <w:pPr>
        <w:spacing w:after="0" w:line="3" w:lineRule="exact"/>
        <w:rPr>
          <w:sz w:val="20"/>
          <w:szCs w:val="20"/>
          <w:color w:val="auto"/>
        </w:rPr>
      </w:pPr>
    </w:p>
    <w:p>
      <w:pPr>
        <w:ind w:right="1440"/>
        <w:spacing w:after="0" w:line="213" w:lineRule="auto"/>
        <w:rPr>
          <w:sz w:val="20"/>
          <w:szCs w:val="20"/>
          <w:color w:val="auto"/>
        </w:rPr>
      </w:pPr>
      <w:r>
        <w:rPr>
          <w:rFonts w:ascii="Times New Roman" w:cs="Times New Roman" w:eastAsia="Times New Roman" w:hAnsi="Times New Roman"/>
          <w:sz w:val="16"/>
          <w:szCs w:val="16"/>
          <w:color w:val="auto"/>
        </w:rPr>
        <w:t>For the year ended December 31, 2024, under the Global Credit Revolving Credit Facility the Company made borrowings of $5.0 million and €5.0 million, which were subsequently repaid, and there was no balance outstanding as of December 31, 2024. As of and for both the years ended December 31, 2023 and 2022, there was no balance outstanding and the Company made no borrowings under the Global Credit Revolving Credit Facility.</w:t>
      </w:r>
    </w:p>
    <w:p>
      <w:pPr>
        <w:sectPr>
          <w:pgSz w:w="11900" w:h="16840" w:orient="portrait"/>
          <w:cols w:equalWidth="0" w:num="1">
            <w:col w:w="9400"/>
          </w:cols>
          <w:pgMar w:left="1060" w:top="555" w:right="1440" w:bottom="1440" w:gutter="0" w:footer="0" w:header="0"/>
        </w:sectPr>
      </w:pPr>
    </w:p>
    <w:bookmarkStart w:id="158" w:name="page159"/>
    <w:bookmarkEnd w:id="158"/>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CLO Borrowings</w:t>
      </w:r>
    </w:p>
    <w:p>
      <w:pPr>
        <w:spacing w:after="0" w:line="203" w:lineRule="auto"/>
        <w:rPr>
          <w:sz w:val="20"/>
          <w:szCs w:val="20"/>
          <w:color w:val="auto"/>
        </w:rPr>
      </w:pPr>
      <w:r>
        <w:rPr>
          <w:rFonts w:ascii="Times New Roman" w:cs="Times New Roman" w:eastAsia="Times New Roman" w:hAnsi="Times New Roman"/>
          <w:sz w:val="16"/>
          <w:szCs w:val="16"/>
          <w:color w:val="auto"/>
        </w:rPr>
        <w:t>For certain of the Company’s CLOs, the Company finances a portion of its investment in the CLOs through the</w:t>
      </w:r>
    </w:p>
    <w:p>
      <w:pPr>
        <w:spacing w:after="0" w:line="204" w:lineRule="auto"/>
        <w:rPr>
          <w:sz w:val="20"/>
          <w:szCs w:val="20"/>
          <w:color w:val="auto"/>
        </w:rPr>
      </w:pPr>
      <w:r>
        <w:rPr>
          <w:rFonts w:ascii="Times New Roman" w:cs="Times New Roman" w:eastAsia="Times New Roman" w:hAnsi="Times New Roman"/>
          <w:sz w:val="16"/>
          <w:szCs w:val="16"/>
          <w:color w:val="auto"/>
        </w:rPr>
        <w:t>proceeds received from term loans and other financing arrangements with financial institutions. The Company’s outstanding</w:t>
      </w:r>
    </w:p>
    <w:p>
      <w:pPr>
        <w:spacing w:after="0" w:line="217" w:lineRule="auto"/>
        <w:rPr>
          <w:sz w:val="20"/>
          <w:szCs w:val="20"/>
          <w:color w:val="auto"/>
        </w:rPr>
      </w:pPr>
      <w:r>
        <w:rPr>
          <w:rFonts w:ascii="Times New Roman" w:cs="Times New Roman" w:eastAsia="Times New Roman" w:hAnsi="Times New Roman"/>
          <w:sz w:val="16"/>
          <w:szCs w:val="16"/>
          <w:color w:val="auto"/>
        </w:rPr>
        <w:t>CLO borrowings consist of the following (Dollars in millions):</w:t>
      </w:r>
    </w:p>
    <w:tbl>
      <w:tblPr>
        <w:tblLayout w:type="fixed"/>
        <w:tblInd w:w="0" w:type="dxa"/>
        <w:tblCellMar>
          <w:top w:w="0" w:type="dxa"/>
          <w:left w:w="0" w:type="dxa"/>
          <w:bottom w:w="0" w:type="dxa"/>
          <w:right w:w="0" w:type="dxa"/>
        </w:tblCellMar>
      </w:tblPr>
      <w:tr>
        <w:trPr>
          <w:trHeight w:val="129"/>
        </w:trPr>
        <w:tc>
          <w:tcPr>
            <w:tcW w:w="15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Formation Date</w:t>
            </w:r>
          </w:p>
        </w:tc>
        <w:tc>
          <w:tcPr>
            <w:tcW w:w="8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500" w:type="dxa"/>
            <w:vAlign w:val="bottom"/>
          </w:tcPr>
          <w:p>
            <w:pPr>
              <w:spacing w:after="0"/>
              <w:rPr>
                <w:sz w:val="11"/>
                <w:szCs w:val="11"/>
                <w:color w:val="auto"/>
              </w:rPr>
            </w:pPr>
          </w:p>
        </w:tc>
        <w:tc>
          <w:tcPr>
            <w:tcW w:w="150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9"/>
                <w:szCs w:val="9"/>
                <w:b w:val="1"/>
                <w:bCs w:val="1"/>
                <w:color w:val="auto"/>
              </w:rPr>
              <w:t>(1)</w:t>
            </w:r>
          </w:p>
        </w:tc>
        <w:tc>
          <w:tcPr>
            <w:tcW w:w="134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Interest Rate as of</w:t>
            </w:r>
          </w:p>
        </w:tc>
        <w:tc>
          <w:tcPr>
            <w:tcW w:w="880" w:type="dxa"/>
            <w:vAlign w:val="bottom"/>
          </w:tcPr>
          <w:p>
            <w:pPr>
              <w:spacing w:after="0"/>
              <w:rPr>
                <w:sz w:val="11"/>
                <w:szCs w:val="11"/>
                <w:color w:val="auto"/>
              </w:rPr>
            </w:pPr>
          </w:p>
        </w:tc>
      </w:tr>
      <w:tr>
        <w:trPr>
          <w:trHeight w:val="144"/>
        </w:trPr>
        <w:tc>
          <w:tcPr>
            <w:tcW w:w="1540" w:type="dxa"/>
            <w:vAlign w:val="bottom"/>
          </w:tcPr>
          <w:p>
            <w:pPr>
              <w:spacing w:after="0"/>
              <w:rPr>
                <w:sz w:val="12"/>
                <w:szCs w:val="12"/>
                <w:color w:val="auto"/>
              </w:rPr>
            </w:pPr>
          </w:p>
        </w:tc>
        <w:tc>
          <w:tcPr>
            <w:tcW w:w="8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40" w:type="dxa"/>
            <w:vAlign w:val="bottom"/>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80" w:type="dxa"/>
            <w:vAlign w:val="bottom"/>
          </w:tcPr>
          <w:p>
            <w:pPr>
              <w:spacing w:after="0"/>
              <w:rPr>
                <w:sz w:val="12"/>
                <w:szCs w:val="12"/>
                <w:color w:val="auto"/>
              </w:rPr>
            </w:pPr>
          </w:p>
        </w:tc>
      </w:tr>
      <w:tr>
        <w:trPr>
          <w:trHeight w:val="190"/>
        </w:trPr>
        <w:tc>
          <w:tcPr>
            <w:tcW w:w="15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98"/>
        </w:trPr>
        <w:tc>
          <w:tcPr>
            <w:tcW w:w="1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0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28, 2017</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23.5</w:t>
            </w:r>
          </w:p>
        </w:tc>
        <w:tc>
          <w:tcPr>
            <w:tcW w:w="1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September 21, 2029</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6.13%</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(2)</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June 29, 2017</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45.6</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(3)</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6, 2017</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25.5</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January 15, 2031</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6.41%</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(4)</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March 15, 2019</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March 15, 2032</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10.99%</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20, 2019</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August 15, 2032</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7.76%</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September 15, 2020</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18.4</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19.7</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April 15, 2033</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4.77%</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8,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19.2</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January 15, 2034</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5.68%</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March 9,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(3)</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30,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16.5</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March 15, 2032</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4.62%</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April 21,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April 15, 2033</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9.03%</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21,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11.6</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November 17, 2031</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4.42%</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June 4,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January 16, 2034</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5.46%</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10,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November 17, 2031</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5.87%</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July 15,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July 15, 2034</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5.48%</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20,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19.3</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July 20, 2031</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5.49%</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August 4,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August 15, 2032</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4.77%</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27, 2021</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22.5</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October 15, 2035</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5.59%</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November 5, 2021</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(3)</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6, 2022</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February 15, 2035</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5.40%</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February 22, 2022</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November 10, 2035</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5.48%</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13, 2022</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(3)</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October 25, 2022</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(3)</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5, 2023</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August 28, 2031</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4.73%</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April 25, 2024</w:t>
            </w:r>
          </w:p>
        </w:tc>
        <w:tc>
          <w:tcPr>
            <w:tcW w:w="82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April 25, 2037</w:t>
            </w: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5.96%</w:t>
            </w:r>
          </w:p>
        </w:tc>
        <w:tc>
          <w:tcPr>
            <w:tcW w:w="880" w:type="dxa"/>
            <w:vAlign w:val="bottom"/>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50"/>
        </w:trPr>
        <w:tc>
          <w:tcPr>
            <w:tcW w:w="1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4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19, 2024</w:t>
            </w:r>
          </w:p>
        </w:tc>
        <w:tc>
          <w:tcPr>
            <w:tcW w:w="8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12.3</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January 15, 2039</w:t>
            </w:r>
          </w:p>
        </w:tc>
        <w:tc>
          <w:tcPr>
            <w:tcW w:w="1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5.39%</w:t>
            </w:r>
          </w:p>
        </w:tc>
        <w:tc>
          <w:tcPr>
            <w:tcW w:w="880" w:type="dxa"/>
            <w:vAlign w:val="bottom"/>
            <w:tcBorders>
              <w:bottom w:val="single" w:sz="8" w:color="CCEEFF"/>
            </w:tcBorders>
            <w:shd w:val="clear" w:color="auto" w:fill="CCEEFF"/>
          </w:tcPr>
          <w:p>
            <w:pPr>
              <w:jc w:val="right"/>
              <w:ind w:right="594"/>
              <w:spacing w:after="0"/>
              <w:rPr>
                <w:sz w:val="20"/>
                <w:szCs w:val="20"/>
                <w:color w:val="auto"/>
              </w:rPr>
            </w:pPr>
            <w:r>
              <w:rPr>
                <w:rFonts w:ascii="Times New Roman" w:cs="Times New Roman" w:eastAsia="Times New Roman" w:hAnsi="Times New Roman"/>
                <w:sz w:val="13"/>
                <w:szCs w:val="13"/>
                <w:color w:val="auto"/>
              </w:rPr>
              <w:t>(5)</w:t>
            </w:r>
          </w:p>
        </w:tc>
      </w:tr>
      <w:tr>
        <w:trPr>
          <w:trHeight w:val="182"/>
        </w:trPr>
        <w:tc>
          <w:tcPr>
            <w:tcW w:w="1540" w:type="dxa"/>
            <w:vAlign w:val="bottom"/>
          </w:tcPr>
          <w:p>
            <w:pPr>
              <w:spacing w:after="0"/>
              <w:rPr>
                <w:sz w:val="15"/>
                <w:szCs w:val="15"/>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289.4</w:t>
            </w:r>
          </w:p>
        </w:tc>
        <w:tc>
          <w:tcPr>
            <w:tcW w:w="240" w:type="dxa"/>
            <w:vAlign w:val="bottom"/>
          </w:tcPr>
          <w:p>
            <w:pPr>
              <w:spacing w:after="0"/>
              <w:rPr>
                <w:sz w:val="15"/>
                <w:szCs w:val="15"/>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431.7</w:t>
            </w: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8890</wp:posOffset>
            </wp:positionV>
            <wp:extent cx="181419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814195" cy="76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(1)Maturity date is earlier of date indicated or the date that the CLO is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-93345</wp:posOffset>
            </wp:positionV>
            <wp:extent cx="181419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814195" cy="762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(2)Incurs interest at EURIBOR plus applicable margins as defined in the agreement.</w:t>
      </w:r>
    </w:p>
    <w:p>
      <w:pPr>
        <w:spacing w:after="0" w:line="215" w:lineRule="auto"/>
        <w:rPr>
          <w:sz w:val="20"/>
          <w:szCs w:val="20"/>
          <w:color w:val="auto"/>
        </w:rPr>
      </w:pPr>
      <w:r>
        <w:rPr>
          <w:rFonts w:ascii="Times New Roman" w:cs="Times New Roman" w:eastAsia="Times New Roman" w:hAnsi="Times New Roman"/>
          <w:sz w:val="14"/>
          <w:szCs w:val="14"/>
          <w:color w:val="auto"/>
        </w:rPr>
        <w:t>(3)This term loan was fully repaid during the year ended December 31, 2024</w:t>
      </w:r>
      <w:r>
        <w:rPr>
          <w:rFonts w:ascii="Times New Roman" w:cs="Times New Roman" w:eastAsia="Times New Roman" w:hAnsi="Times New Roman"/>
          <w:sz w:val="15"/>
          <w:szCs w:val="15"/>
          <w:color w:val="auto"/>
        </w:rPr>
        <w:t>.</w:t>
      </w:r>
    </w:p>
    <w:p>
      <w:pPr>
        <w:spacing w:after="0" w:line="215" w:lineRule="auto"/>
        <w:rPr>
          <w:sz w:val="20"/>
          <w:szCs w:val="20"/>
          <w:color w:val="auto"/>
        </w:rPr>
      </w:pPr>
      <w:r>
        <w:rPr>
          <w:rFonts w:ascii="Times New Roman" w:cs="Times New Roman" w:eastAsia="Times New Roman" w:hAnsi="Times New Roman"/>
          <w:sz w:val="14"/>
          <w:szCs w:val="14"/>
          <w:color w:val="auto"/>
        </w:rPr>
        <w:t>(4)Incurs interest at SOFR plus 1.76%.</w:t>
      </w:r>
    </w:p>
    <w:p>
      <w:pPr>
        <w:spacing w:after="0" w:line="217" w:lineRule="auto"/>
        <w:rPr>
          <w:sz w:val="20"/>
          <w:szCs w:val="20"/>
          <w:color w:val="auto"/>
        </w:rPr>
      </w:pPr>
      <w:r>
        <w:rPr>
          <w:rFonts w:ascii="Times New Roman" w:cs="Times New Roman" w:eastAsia="Times New Roman" w:hAnsi="Times New Roman"/>
          <w:sz w:val="14"/>
          <w:szCs w:val="14"/>
          <w:color w:val="auto"/>
        </w:rPr>
        <w:t>(5)Incurs interest at the average effective interest rate of each class of purchased securities plus 0.50% spread percentage.</w:t>
      </w:r>
    </w:p>
    <w:p>
      <w:pPr>
        <w:spacing w:after="0" w:line="203" w:lineRule="auto"/>
        <w:rPr>
          <w:sz w:val="20"/>
          <w:szCs w:val="20"/>
          <w:color w:val="auto"/>
        </w:rPr>
      </w:pPr>
      <w:r>
        <w:rPr>
          <w:rFonts w:ascii="Times New Roman" w:cs="Times New Roman" w:eastAsia="Times New Roman" w:hAnsi="Times New Roman"/>
          <w:sz w:val="16"/>
          <w:szCs w:val="16"/>
          <w:color w:val="auto"/>
        </w:rPr>
        <w:t>The CLO term loans are secured by the Company’s investments in the respective CLO, have a general unsecured</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interest in the Carlyle entity that manages the CLO, and generally do not have recourse to any other Carlyle entity. Interest expense for the years ended December 31, 2024, 2023 and 2022 was $24.4 million, $24.9 million, and $10.7 million, respectively. The fair value of the outstanding balance of the CLO term loans at December 31, 2024 and 2023 approximated par value based on current market rates for similar debt instruments. These CLO term loans are classified as Level III within the fair value hierarchy.</w:t>
      </w:r>
    </w:p>
    <w:p>
      <w:pPr>
        <w:ind w:left="560"/>
        <w:spacing w:after="0" w:line="206" w:lineRule="auto"/>
        <w:rPr>
          <w:sz w:val="20"/>
          <w:szCs w:val="20"/>
          <w:color w:val="auto"/>
        </w:rPr>
      </w:pPr>
      <w:r>
        <w:rPr>
          <w:rFonts w:ascii="Times New Roman" w:cs="Times New Roman" w:eastAsia="Times New Roman" w:hAnsi="Times New Roman"/>
          <w:sz w:val="16"/>
          <w:szCs w:val="16"/>
          <w:i w:val="1"/>
          <w:iCs w:val="1"/>
          <w:color w:val="auto"/>
        </w:rPr>
        <w:t>European CLO Financing - February 28, 2017</w:t>
      </w:r>
    </w:p>
    <w:p>
      <w:pPr>
        <w:ind w:right="1580" w:firstLine="576"/>
        <w:spacing w:after="0" w:line="268" w:lineRule="auto"/>
        <w:rPr>
          <w:sz w:val="20"/>
          <w:szCs w:val="20"/>
          <w:color w:val="auto"/>
        </w:rPr>
      </w:pPr>
      <w:r>
        <w:rPr>
          <w:rFonts w:ascii="Times New Roman" w:cs="Times New Roman" w:eastAsia="Times New Roman" w:hAnsi="Times New Roman"/>
          <w:sz w:val="14"/>
          <w:szCs w:val="14"/>
          <w:color w:val="auto"/>
        </w:rPr>
        <w:t>A subsidiary of the Company is a party to a financing agreement with several financial institutions. As of December 31, 2024, the financing agreement provided the Company with a term loan of € 22.8 million ($23.5 million at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2024). This term loan is secured by the Company’s investments in the retained notes in certain European CLOs that were formed in 2014 and 2015. This term loan will mature on the earlier of September 21, 2029 or the date that the certain European CLO retained notes have been redeemed. The Company may prepay the term loan in whole or in part at any time. Interest on this term loan accrues at EURIBOR plus applicable margins (6.13% at December 31, 2024) .</w:t>
      </w:r>
    </w:p>
    <w:p>
      <w:pPr>
        <w:ind w:left="560"/>
        <w:spacing w:after="0" w:line="205" w:lineRule="auto"/>
        <w:rPr>
          <w:sz w:val="20"/>
          <w:szCs w:val="20"/>
          <w:color w:val="auto"/>
        </w:rPr>
      </w:pPr>
      <w:r>
        <w:rPr>
          <w:rFonts w:ascii="Times New Roman" w:cs="Times New Roman" w:eastAsia="Times New Roman" w:hAnsi="Times New Roman"/>
          <w:sz w:val="16"/>
          <w:szCs w:val="16"/>
          <w:i w:val="1"/>
          <w:iCs w:val="1"/>
          <w:color w:val="auto"/>
        </w:rPr>
        <w:t>Master Credit Agreement - Term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assumed liabilities under master credit agreements previously entered into by CBAM under which a</w:t>
      </w:r>
    </w:p>
    <w:p>
      <w:pPr>
        <w:sectPr>
          <w:pgSz w:w="11900" w:h="16840" w:orient="portrait"/>
          <w:cols w:equalWidth="0" w:num="1">
            <w:col w:w="9400"/>
          </w:cols>
          <w:pgMar w:left="1060" w:top="1440" w:right="1440" w:bottom="140" w:gutter="0" w:footer="0" w:header="0"/>
        </w:sectPr>
      </w:pPr>
    </w:p>
    <w:bookmarkStart w:id="159" w:name="page160"/>
    <w:bookmarkEnd w:id="159"/>
    <w:p>
      <w:pPr>
        <w:ind w:right="1440"/>
        <w:spacing w:after="0" w:line="208" w:lineRule="auto"/>
        <w:rPr>
          <w:sz w:val="20"/>
          <w:szCs w:val="20"/>
          <w:color w:val="auto"/>
        </w:rPr>
      </w:pPr>
      <w:r>
        <w:rPr>
          <w:rFonts w:ascii="Times New Roman" w:cs="Times New Roman" w:eastAsia="Times New Roman" w:hAnsi="Times New Roman"/>
          <w:sz w:val="16"/>
          <w:szCs w:val="16"/>
          <w:color w:val="auto"/>
        </w:rPr>
        <w:t>financial institution provided term loans to CBAM for the purchase of eligible interests in CLOs. Term loans issued under these master credit agreements are secured by the Company’s investment in the respective CLO as well as any senior management fee and subordinated management fee payable by each CLO. Term loans generally bear interest at SOFR plus a weighted average spread over SOFR on the CLO notes, which is due quarterly. As of December 31, 2024, term loans under these agreements had $25.5 million outstanding. The master credit agreement matures in January 2031.</w:t>
      </w:r>
    </w:p>
    <w:p>
      <w:pPr>
        <w:ind w:left="560"/>
        <w:spacing w:after="0" w:line="204" w:lineRule="auto"/>
        <w:rPr>
          <w:sz w:val="20"/>
          <w:szCs w:val="20"/>
          <w:color w:val="auto"/>
        </w:rPr>
      </w:pPr>
      <w:r>
        <w:rPr>
          <w:rFonts w:ascii="Times New Roman" w:cs="Times New Roman" w:eastAsia="Times New Roman" w:hAnsi="Times New Roman"/>
          <w:sz w:val="16"/>
          <w:szCs w:val="16"/>
          <w:i w:val="1"/>
          <w:iCs w:val="1"/>
          <w:color w:val="auto"/>
        </w:rPr>
        <w:t>CLO Repurchase Agreements</w:t>
      </w:r>
    </w:p>
    <w:p>
      <w:pPr>
        <w:spacing w:after="0" w:line="1" w:lineRule="exact"/>
        <w:rPr>
          <w:sz w:val="20"/>
          <w:szCs w:val="20"/>
          <w:color w:val="auto"/>
        </w:rPr>
      </w:pP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On February 5, 2019, the Company entered into a master credit facility agreement (the “Carlyle CLO Financing Facility”) to finance a portion of the risk retention investments in certain European CLOs managed by the Company. Each transaction entered into under the Carlyle CLO Financing Facility will bear interest at a rate based on the weighted average effective interest rate of each class of securities that have been sold plus a spread to be agreed upon by the parties. As of December 31, 2024, €171.1 million ( $177.1 million) was outstanding under the Carlyle CLO Financing Facility. Additional borrowings may be made on terms agreed upon by the Company and the counterparty subject to the terms and conditions of the Carlyle CLO Financing Facility.</w:t>
      </w:r>
    </w:p>
    <w:p>
      <w:pPr>
        <w:spacing w:after="0" w:line="3" w:lineRule="exact"/>
        <w:rPr>
          <w:sz w:val="20"/>
          <w:szCs w:val="20"/>
          <w:color w:val="auto"/>
        </w:rPr>
      </w:pPr>
    </w:p>
    <w:p>
      <w:pPr>
        <w:ind w:right="1420" w:firstLine="576"/>
        <w:spacing w:after="0"/>
        <w:rPr>
          <w:sz w:val="20"/>
          <w:szCs w:val="20"/>
          <w:color w:val="auto"/>
        </w:rPr>
      </w:pPr>
      <w:r>
        <w:rPr>
          <w:rFonts w:ascii="Times New Roman" w:cs="Times New Roman" w:eastAsia="Times New Roman" w:hAnsi="Times New Roman"/>
          <w:sz w:val="14"/>
          <w:szCs w:val="14"/>
          <w:color w:val="auto"/>
        </w:rPr>
        <w:t>Each transaction entered into under the CLO Financing Facility provides for payment netting and, in the case of a default or similar event with respect to the counterparty to the CLO Financing Facility, provides for netting across transactions. Generally, upon a counterparty default, the Company can terminate all transactions under the CLO Financing Facility and offset amounts it owes in respect of any one transaction against collateral, if any, or other amounts it has received in respect of any other transactions under the CLO Financing Facility; provided, however, that in the case of certain defaults, the Company may only be able to terminate and offset solely with respect to the transaction affected by the default. During the term of a transaction entered into under the CLO Financing Facility, the Company will deliver cash or additional securities acceptable to the counterparty if the securities sold are in default. Upon termination of a transaction, the Company will repurchase the previously sold securities from the counterparty at a previously determined repurchase price. The CLO Financing Facility may be terminated at any time upon certain defaults or circumstances agreed upon by the parties.</w:t>
      </w:r>
    </w:p>
    <w:p>
      <w:pPr>
        <w:spacing w:after="0" w:line="112"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The repurchase agreements may result in credit exposure in the event the counterparty to the transaction is unable to fulfill its contractual obligations. The Company minimizes the credit risk associated with these activities by monitoring counterparty credit exposure and collateral values. Other than margin requirements, the Company is not subject to additional terms or contingencies which would expose the Company to additional obligations based upon the performance of the securities pledged as collateral.</w:t>
      </w:r>
    </w:p>
    <w:p>
      <w:pPr>
        <w:spacing w:after="0" w:line="2" w:lineRule="exact"/>
        <w:rPr>
          <w:sz w:val="20"/>
          <w:szCs w:val="20"/>
          <w:color w:val="auto"/>
        </w:rPr>
      </w:pPr>
    </w:p>
    <w:p>
      <w:pPr>
        <w:ind w:right="1420"/>
        <w:spacing w:after="0" w:line="207" w:lineRule="auto"/>
        <w:rPr>
          <w:sz w:val="20"/>
          <w:szCs w:val="20"/>
          <w:color w:val="auto"/>
        </w:rPr>
      </w:pPr>
      <w:r>
        <w:rPr>
          <w:rFonts w:ascii="Times New Roman" w:cs="Times New Roman" w:eastAsia="Times New Roman" w:hAnsi="Times New Roman"/>
          <w:sz w:val="16"/>
          <w:szCs w:val="16"/>
          <w:color w:val="auto"/>
        </w:rPr>
        <w:t>The Company assumed liabilities under a master credit facility agreement previously entered into by CBAM (the “CBAM CLO Financing Facility,” together with the Carlyle CLO Financing Facility, the “CLO Financing Facilities”) to finance a portion of the risk retention investments in certain European CLOs managed by CBAM (see Note 3, Acquisitions, to the consolidated financial statements included in the Company’s Annual Report on Form 10-K for the year ended December 31, 2023). The maximum facility amount is €100.0 million, but may be expanded on such terms agreed upon by the Company and the counterparty subject to the terms and conditions of the CBAM CLO Financing Facility. Each transaction entered into under the CBAM CLO Financing Facility will bear interest at a rate based on the weighted average effective interest rate of each class of securities that have been sold plus a spread to be agreed upon by the parties. As of December 31, 2024, €61.2 million ($63.3 million) was outstanding under the CBAM CLO Financing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560"/>
        <w:spacing w:after="0" w:line="204" w:lineRule="auto"/>
        <w:rPr>
          <w:sz w:val="20"/>
          <w:szCs w:val="20"/>
          <w:color w:val="auto"/>
        </w:rPr>
      </w:pPr>
      <w:r>
        <w:rPr>
          <w:rFonts w:ascii="Times New Roman" w:cs="Times New Roman" w:eastAsia="Times New Roman" w:hAnsi="Times New Roman"/>
          <w:sz w:val="16"/>
          <w:szCs w:val="16"/>
          <w:b w:val="1"/>
          <w:bCs w:val="1"/>
          <w:color w:val="auto"/>
        </w:rPr>
        <w:t>Senior Notes</w:t>
      </w:r>
    </w:p>
    <w:p>
      <w:pPr>
        <w:jc w:val="both"/>
        <w:ind w:right="1540" w:firstLine="576"/>
        <w:spacing w:after="0" w:line="208" w:lineRule="auto"/>
        <w:rPr>
          <w:sz w:val="20"/>
          <w:szCs w:val="20"/>
          <w:color w:val="auto"/>
        </w:rPr>
      </w:pPr>
      <w:r>
        <w:rPr>
          <w:rFonts w:ascii="Times New Roman" w:cs="Times New Roman" w:eastAsia="Times New Roman" w:hAnsi="Times New Roman"/>
          <w:sz w:val="16"/>
          <w:szCs w:val="16"/>
          <w:color w:val="auto"/>
        </w:rPr>
        <w:t>Certain indirect subsidiaries of the Company have issued long term borrowings in the form of senior notes, on which interest is payable semi-annually in arrears. The following table provides information regarding these senior notes (Dollars in millions):</w:t>
      </w:r>
    </w:p>
    <w:tbl>
      <w:tblPr>
        <w:tblLayout w:type="fixed"/>
        <w:tblInd w:w="0" w:type="dxa"/>
        <w:tblCellMar>
          <w:top w:w="0" w:type="dxa"/>
          <w:left w:w="0" w:type="dxa"/>
          <w:bottom w:w="0" w:type="dxa"/>
          <w:right w:w="0" w:type="dxa"/>
        </w:tblCellMar>
      </w:tblPr>
      <w:tr>
        <w:trPr>
          <w:trHeight w:val="129"/>
        </w:trPr>
        <w:tc>
          <w:tcPr>
            <w:tcW w:w="2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2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560" w:type="dxa"/>
            <w:vAlign w:val="bottom"/>
            <w:gridSpan w:val="5"/>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12"/>
                <w:szCs w:val="12"/>
                <w:color w:val="auto"/>
              </w:rPr>
            </w:pPr>
          </w:p>
        </w:tc>
        <w:tc>
          <w:tcPr>
            <w:tcW w:w="2380" w:type="dxa"/>
            <w:vAlign w:val="bottom"/>
            <w:gridSpan w:val="8"/>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restart"/>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3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3.500% Senior Notes Due 9/19/2029</w:t>
            </w: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0"/>
                <w:szCs w:val="10"/>
                <w:color w:val="auto"/>
                <w:w w:val="85"/>
              </w:rPr>
              <w:t>(2)</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425.0</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401.2</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5"/>
              </w:rPr>
              <w:t>401.9</w:t>
            </w: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7"/>
              </w:rPr>
              <w:t>15.3</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8"/>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5.625% Senior Notes Due 3/30/2043</w:t>
            </w:r>
          </w:p>
        </w:tc>
        <w:tc>
          <w:tcPr>
            <w:tcW w:w="620" w:type="dxa"/>
            <w:vAlign w:val="bottom"/>
          </w:tcPr>
          <w:p>
            <w:pPr>
              <w:jc w:val="right"/>
              <w:ind w:right="452"/>
              <w:spacing w:after="0"/>
              <w:rPr>
                <w:sz w:val="20"/>
                <w:szCs w:val="20"/>
                <w:color w:val="auto"/>
              </w:rPr>
            </w:pPr>
            <w:r>
              <w:rPr>
                <w:rFonts w:ascii="Times New Roman" w:cs="Times New Roman" w:eastAsia="Times New Roman" w:hAnsi="Times New Roman"/>
                <w:sz w:val="10"/>
                <w:szCs w:val="10"/>
                <w:color w:val="auto"/>
                <w:w w:val="85"/>
              </w:rPr>
              <w:t>(3)</w:t>
            </w:r>
          </w:p>
        </w:tc>
        <w:tc>
          <w:tcPr>
            <w:tcW w:w="5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5"/>
              </w:rPr>
              <w:t>594.6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33.7</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50"/>
        </w:trPr>
        <w:tc>
          <w:tcPr>
            <w:tcW w:w="21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5.650% Senior Notes Due 9/15/2048</w:t>
            </w: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0"/>
                <w:szCs w:val="10"/>
                <w:color w:val="auto"/>
                <w:w w:val="85"/>
              </w:rPr>
              <w:t>(4)</w:t>
            </w:r>
          </w:p>
        </w:tc>
        <w:tc>
          <w:tcPr>
            <w:tcW w:w="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338.1</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5"/>
              </w:rPr>
              <w:t>336.0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7"/>
              </w:rPr>
              <w:t>19.9</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7"/>
              </w:rPr>
              <w:t>68.9</w:t>
            </w:r>
          </w:p>
        </w:tc>
        <w:tc>
          <w:tcPr>
            <w:tcW w:w="60" w:type="dxa"/>
            <w:vAlign w:val="bottom"/>
          </w:tcPr>
          <w:p>
            <w:pPr>
              <w:spacing w:after="0"/>
              <w:rPr>
                <w:sz w:val="15"/>
                <w:szCs w:val="15"/>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Pr>
          <w:p>
            <w:pPr>
              <w:spacing w:after="0"/>
              <w:rPr>
                <w:sz w:val="15"/>
                <w:szCs w:val="15"/>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10160</wp:posOffset>
            </wp:positionV>
            <wp:extent cx="151701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19" w:lineRule="exact"/>
        <w:rPr>
          <w:sz w:val="20"/>
          <w:szCs w:val="20"/>
          <w:color w:val="auto"/>
        </w:rPr>
      </w:pPr>
    </w:p>
    <w:p>
      <w:pPr>
        <w:ind w:right="1980"/>
        <w:spacing w:after="0" w:line="226" w:lineRule="auto"/>
        <w:rPr>
          <w:sz w:val="20"/>
          <w:szCs w:val="20"/>
          <w:color w:val="auto"/>
        </w:rPr>
      </w:pPr>
      <w:r>
        <w:rPr>
          <w:rFonts w:ascii="Times New Roman" w:cs="Times New Roman" w:eastAsia="Times New Roman" w:hAnsi="Times New Roman"/>
          <w:sz w:val="14"/>
          <w:szCs w:val="14"/>
          <w:color w:val="auto"/>
        </w:rPr>
        <w:t>(1)Including accrued interest. Fair value is based on indicative quotes and the notes are classified as Level II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-184150</wp:posOffset>
            </wp:positionV>
            <wp:extent cx="151701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517015" cy="7620"/>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4"/>
          <w:szCs w:val="14"/>
          <w:color w:val="auto"/>
        </w:rPr>
        <w:t>(2)Issued in September 2019 at 99.841% of par.</w:t>
      </w:r>
    </w:p>
    <w:p>
      <w:pPr>
        <w:ind w:right="1700"/>
        <w:spacing w:after="0" w:line="214" w:lineRule="auto"/>
        <w:rPr>
          <w:sz w:val="20"/>
          <w:szCs w:val="20"/>
          <w:color w:val="auto"/>
        </w:rPr>
      </w:pPr>
      <w:r>
        <w:rPr>
          <w:rFonts w:ascii="Times New Roman" w:cs="Times New Roman" w:eastAsia="Times New Roman" w:hAnsi="Times New Roman"/>
          <w:sz w:val="14"/>
          <w:szCs w:val="14"/>
          <w:color w:val="auto"/>
        </w:rPr>
        <w:t>(3)Issued $ 400.0 million in aggregate principal at 99.583% of par in March 2013. An additional $200.0 million in aggregate principal was issued at 104.315% of par in March 2014, and is treated as a single class with the outstanding $400.0 million in senior notes previously issued.</w:t>
      </w:r>
    </w:p>
    <w:p>
      <w:pPr>
        <w:spacing w:after="0" w:line="218" w:lineRule="auto"/>
        <w:rPr>
          <w:sz w:val="20"/>
          <w:szCs w:val="20"/>
          <w:color w:val="auto"/>
        </w:rPr>
      </w:pPr>
      <w:r>
        <w:rPr>
          <w:rFonts w:ascii="Times New Roman" w:cs="Times New Roman" w:eastAsia="Times New Roman" w:hAnsi="Times New Roman"/>
          <w:sz w:val="14"/>
          <w:szCs w:val="14"/>
          <w:color w:val="auto"/>
        </w:rPr>
        <w:t>(4)Issued in September 2018 at 99.914% of par.</w:t>
      </w:r>
    </w:p>
    <w:p>
      <w:pPr>
        <w:spacing w:after="0" w:line="1" w:lineRule="exact"/>
        <w:rPr>
          <w:sz w:val="20"/>
          <w:szCs w:val="20"/>
          <w:color w:val="auto"/>
        </w:rPr>
      </w:pPr>
    </w:p>
    <w:p>
      <w:pPr>
        <w:ind w:right="1400" w:firstLine="576"/>
        <w:spacing w:after="0" w:line="244" w:lineRule="auto"/>
        <w:rPr>
          <w:sz w:val="20"/>
          <w:szCs w:val="20"/>
          <w:color w:val="auto"/>
        </w:rPr>
      </w:pPr>
      <w:r>
        <w:rPr>
          <w:rFonts w:ascii="Times New Roman" w:cs="Times New Roman" w:eastAsia="Times New Roman" w:hAnsi="Times New Roman"/>
          <w:sz w:val="14"/>
          <w:szCs w:val="14"/>
          <w:color w:val="auto"/>
        </w:rPr>
        <w:t>The issuers may redeem the senior notes, in whole at any time or in part from time to time, at a price equal to the greater of (i) 100% of the principal amount of the notes being redeemed and (ii) the sum of the present values of the remaining scheduled payments of principal and interest on any notes being redeemed discounted to the redemption date on a semiannual basis at the Treasury Rate plus 40 basis points (30 basis points in the case of the 3.500% senior notes), plus in each case accrued</w:t>
      </w:r>
    </w:p>
    <w:p>
      <w:pPr>
        <w:sectPr>
          <w:pgSz w:w="11900" w:h="16840" w:orient="portrait"/>
          <w:cols w:equalWidth="0" w:num="1">
            <w:col w:w="9400"/>
          </w:cols>
          <w:pgMar w:left="1060" w:top="557" w:right="1440" w:bottom="102"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color w:val="auto"/>
        </w:rPr>
        <w:t>and unpaid interest on the principal amounts being redeemed.</w:t>
      </w:r>
    </w:p>
    <w:p>
      <w:pPr>
        <w:ind w:left="560"/>
        <w:spacing w:after="0" w:line="203" w:lineRule="auto"/>
        <w:rPr>
          <w:sz w:val="20"/>
          <w:szCs w:val="20"/>
          <w:color w:val="auto"/>
        </w:rPr>
      </w:pPr>
      <w:r>
        <w:rPr>
          <w:rFonts w:ascii="Times New Roman" w:cs="Times New Roman" w:eastAsia="Times New Roman" w:hAnsi="Times New Roman"/>
          <w:sz w:val="16"/>
          <w:szCs w:val="16"/>
          <w:b w:val="1"/>
          <w:bCs w:val="1"/>
          <w:color w:val="auto"/>
        </w:rPr>
        <w:t>Subordinated Notes</w:t>
      </w:r>
    </w:p>
    <w:p>
      <w:pPr>
        <w:ind w:right="1440"/>
        <w:spacing w:after="0"/>
        <w:rPr>
          <w:sz w:val="20"/>
          <w:szCs w:val="20"/>
          <w:color w:val="auto"/>
        </w:rPr>
      </w:pPr>
      <w:r>
        <w:rPr>
          <w:rFonts w:ascii="Times New Roman" w:cs="Times New Roman" w:eastAsia="Times New Roman" w:hAnsi="Times New Roman"/>
          <w:sz w:val="14"/>
          <w:szCs w:val="14"/>
          <w:color w:val="auto"/>
        </w:rPr>
        <w:t>In May 2021, an indirect subsidiary of the Company issued $435.0 million aggregate principal amount of 4.625% Subordinated Notes due May 15, 2061 (the “Subordinated Notes”), on which interest is payable quarterly accruing from May 11, 2021. In June 2021, an additional $ 65.0 million aggregate principal amount of these Subordinated Notes were issued and are treated as a single series with the already outstanding $435.0 million aggregate principal amount. The Subordinated Notes are unsecured and subordinated obligations of the issuer, and are fully and unconditionally guaranteed (the “Guarantees”), jointly and severally, on a subordinated basis, by the Company, each of the Carlyle Holdings partnerships, and CG Subsidiary Holdings L.L.C., an indirect subsidiary of the Company (collectively, the “Guarantors”). The Consolidated Funds are not guarantors, and as such, the assets of the Consolidated Funds are not available to service the Subordinated Notes under the Guarantee. The Subordinated Notes may be redeemed at the issuer’s option in whole at any time or in part from time to time on or after June 15, 2026 at a redemption price equal to their principal amount plus any accrued and unpaid interest to, but excluding, the date of redemption. If interest due on the Subordinated Notes is deemed no longer to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December 31, 2023, the fair value of the Subordinated Notes was $356.4 million and</w:t>
      </w:r>
    </w:p>
    <w:p>
      <w:pPr>
        <w:ind w:right="1600"/>
        <w:spacing w:after="0" w:line="203" w:lineRule="auto"/>
        <w:rPr>
          <w:sz w:val="20"/>
          <w:szCs w:val="20"/>
          <w:color w:val="auto"/>
        </w:rPr>
      </w:pPr>
      <w:r>
        <w:rPr>
          <w:rFonts w:ascii="Times New Roman" w:cs="Times New Roman" w:eastAsia="Times New Roman" w:hAnsi="Times New Roman"/>
          <w:sz w:val="16"/>
          <w:szCs w:val="16"/>
          <w:color w:val="auto"/>
        </w:rPr>
        <w:t>$411.8 million, respectively. Fair value is based on active market quotes and the notes are classified as Level I within the fair value hierarchy. For each of the years ended December 31, 2024, 2023 and 2022, the Company incurred $23.5 million of interest expense on the Subordinated Notes.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Debt Covenants</w:t>
      </w:r>
    </w:p>
    <w:p>
      <w:pPr>
        <w:ind w:right="1620"/>
        <w:spacing w:after="0" w:line="268" w:lineRule="auto"/>
        <w:rPr>
          <w:sz w:val="20"/>
          <w:szCs w:val="20"/>
          <w:color w:val="auto"/>
        </w:rPr>
      </w:pPr>
      <w:r>
        <w:rPr>
          <w:rFonts w:ascii="Times New Roman" w:cs="Times New Roman" w:eastAsia="Times New Roman" w:hAnsi="Times New Roman"/>
          <w:sz w:val="14"/>
          <w:szCs w:val="14"/>
          <w:color w:val="auto"/>
        </w:rPr>
        <w:t>The Company is subject to various financial covenants under its loan agreements including, among other items, maintenance of a minimum amount of management fee -earning assets. The Company is also subject to various non-financial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covenants under its loan agreements and the indentures governing its senior notes. The Company was in compliance with all financial and non-financial covenants under its various loan agreements as of December 31, 2024.</w:t>
      </w:r>
    </w:p>
    <w:p>
      <w:pPr>
        <w:ind w:left="560"/>
        <w:spacing w:after="0" w:line="220" w:lineRule="auto"/>
        <w:rPr>
          <w:sz w:val="20"/>
          <w:szCs w:val="20"/>
          <w:color w:val="auto"/>
        </w:rPr>
      </w:pPr>
      <w:r>
        <w:rPr>
          <w:rFonts w:ascii="Times New Roman" w:cs="Times New Roman" w:eastAsia="Times New Roman" w:hAnsi="Times New Roman"/>
          <w:sz w:val="16"/>
          <w:szCs w:val="16"/>
          <w:b w:val="1"/>
          <w:bCs w:val="1"/>
          <w:color w:val="auto"/>
        </w:rPr>
        <w:t>Loans Payable of Consolidated Funds</w:t>
      </w:r>
    </w:p>
    <w:p>
      <w:pPr>
        <w:spacing w:after="0" w:line="203" w:lineRule="auto"/>
        <w:rPr>
          <w:sz w:val="20"/>
          <w:szCs w:val="20"/>
          <w:color w:val="auto"/>
        </w:rPr>
      </w:pPr>
      <w:r>
        <w:rPr>
          <w:rFonts w:ascii="Times New Roman" w:cs="Times New Roman" w:eastAsia="Times New Roman" w:hAnsi="Times New Roman"/>
          <w:sz w:val="16"/>
          <w:szCs w:val="16"/>
          <w:color w:val="auto"/>
        </w:rPr>
        <w:t>Loans payable of Consolidated Funds primarily represent amounts due to holders of debt securities issued by the</w:t>
      </w:r>
    </w:p>
    <w:p>
      <w:pPr>
        <w:spacing w:after="0" w:line="218" w:lineRule="auto"/>
        <w:rPr>
          <w:sz w:val="20"/>
          <w:szCs w:val="20"/>
          <w:color w:val="auto"/>
        </w:rPr>
      </w:pPr>
      <w:r>
        <w:rPr>
          <w:rFonts w:ascii="Times New Roman" w:cs="Times New Roman" w:eastAsia="Times New Roman" w:hAnsi="Times New Roman"/>
          <w:sz w:val="16"/>
          <w:szCs w:val="16"/>
          <w:color w:val="auto"/>
        </w:rPr>
        <w:t>CLOs. As of December 31, 2024 and 2023, the following borrowings were outstanding (Dollars in millions):</w:t>
      </w: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10"/>
                <w:szCs w:val="10"/>
                <w:color w:val="auto"/>
              </w:rPr>
            </w:pPr>
          </w:p>
        </w:tc>
        <w:tc>
          <w:tcPr>
            <w:tcW w:w="10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2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0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6,732.8</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6,598.8</w:t>
            </w: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5.72 %</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9.18</w:t>
            </w: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Subordinated notes</w:t>
            </w:r>
          </w:p>
        </w:tc>
        <w:tc>
          <w:tcPr>
            <w:tcW w:w="280" w:type="dxa"/>
            <w:vAlign w:val="bottom"/>
          </w:tcPr>
          <w:p>
            <w:pPr>
              <w:spacing w:after="0"/>
              <w:rPr>
                <w:sz w:val="8"/>
                <w:szCs w:val="8"/>
                <w:color w:val="auto"/>
              </w:rPr>
            </w:pPr>
          </w:p>
        </w:tc>
        <w:tc>
          <w:tcPr>
            <w:tcW w:w="740" w:type="dxa"/>
            <w:vAlign w:val="bottom"/>
          </w:tcPr>
          <w:p>
            <w:pPr>
              <w:jc w:val="right"/>
              <w:ind w:right="66"/>
              <w:spacing w:after="0" w:line="96" w:lineRule="exact"/>
              <w:rPr>
                <w:sz w:val="20"/>
                <w:szCs w:val="20"/>
                <w:color w:val="auto"/>
              </w:rPr>
            </w:pPr>
            <w:r>
              <w:rPr>
                <w:rFonts w:ascii="Times New Roman" w:cs="Times New Roman" w:eastAsia="Times New Roman" w:hAnsi="Times New Roman"/>
                <w:sz w:val="11"/>
                <w:szCs w:val="11"/>
                <w:b w:val="1"/>
                <w:bCs w:val="1"/>
                <w:color w:val="auto"/>
              </w:rPr>
              <w:t>229.9</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jc w:val="right"/>
              <w:ind w:right="66"/>
              <w:spacing w:after="0" w:line="96" w:lineRule="exact"/>
              <w:rPr>
                <w:sz w:val="20"/>
                <w:szCs w:val="20"/>
                <w:color w:val="auto"/>
              </w:rPr>
            </w:pPr>
            <w:r>
              <w:rPr>
                <w:rFonts w:ascii="Times New Roman" w:cs="Times New Roman" w:eastAsia="Times New Roman" w:hAnsi="Times New Roman"/>
                <w:sz w:val="11"/>
                <w:szCs w:val="11"/>
                <w:b w:val="1"/>
                <w:bCs w:val="1"/>
                <w:color w:val="auto"/>
              </w:rPr>
              <w:t>210.3</w:t>
            </w:r>
          </w:p>
        </w:tc>
        <w:tc>
          <w:tcPr>
            <w:tcW w:w="20" w:type="dxa"/>
            <w:vAlign w:val="bottom"/>
          </w:tcPr>
          <w:p>
            <w:pPr>
              <w:spacing w:after="0"/>
              <w:rPr>
                <w:sz w:val="8"/>
                <w:szCs w:val="8"/>
                <w:color w:val="auto"/>
              </w:rPr>
            </w:pPr>
          </w:p>
        </w:tc>
        <w:tc>
          <w:tcPr>
            <w:tcW w:w="10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N/A</w:t>
            </w:r>
          </w:p>
        </w:tc>
        <w:tc>
          <w:tcPr>
            <w:tcW w:w="280" w:type="dxa"/>
            <w:vAlign w:val="bottom"/>
            <w:vMerge w:val="restart"/>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(2)</w:t>
            </w:r>
          </w:p>
        </w:tc>
        <w:tc>
          <w:tcPr>
            <w:tcW w:w="10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9.15</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Revolving credit facilities</w:t>
            </w: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3"/>
                <w:szCs w:val="3"/>
                <w:b w:val="1"/>
                <w:bCs w:val="1"/>
                <w:color w:val="auto"/>
              </w:rPr>
              <w:t>55.1</w:t>
            </w: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3"/>
                <w:szCs w:val="3"/>
                <w:b w:val="1"/>
                <w:bCs w:val="1"/>
                <w:color w:val="auto"/>
              </w:rPr>
              <w:t>55.1</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b w:val="1"/>
                <w:bCs w:val="1"/>
                <w:color w:val="auto"/>
              </w:rPr>
              <w:t>7.01 %</w:t>
            </w: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3"/>
                <w:szCs w:val="3"/>
                <w:b w:val="1"/>
                <w:bCs w:val="1"/>
                <w:color w:val="auto"/>
              </w:rPr>
              <w:t>4.53</w:t>
            </w:r>
          </w:p>
        </w:tc>
        <w:tc>
          <w:tcPr>
            <w:tcW w:w="0" w:type="dxa"/>
            <w:vAlign w:val="bottom"/>
          </w:tcPr>
          <w:p>
            <w:pPr>
              <w:spacing w:after="0" w:line="20" w:lineRule="exact"/>
              <w:rPr>
                <w:sz w:val="1"/>
                <w:szCs w:val="1"/>
                <w:color w:val="auto"/>
              </w:rPr>
            </w:pPr>
          </w:p>
        </w:tc>
      </w:tr>
      <w:tr>
        <w:trPr>
          <w:trHeight w:val="124"/>
        </w:trPr>
        <w:tc>
          <w:tcPr>
            <w:tcW w:w="37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7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7,017.8</w:t>
            </w:r>
          </w:p>
        </w:tc>
        <w:tc>
          <w:tcPr>
            <w:tcW w:w="20" w:type="dxa"/>
            <w:vAlign w:val="bottom"/>
          </w:tcPr>
          <w:p>
            <w:pPr>
              <w:spacing w:after="0"/>
              <w:rPr>
                <w:sz w:val="15"/>
                <w:szCs w:val="15"/>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6,864.2</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700" w:type="dxa"/>
            <w:vAlign w:val="bottom"/>
          </w:tcPr>
          <w:p>
            <w:pPr>
              <w:spacing w:after="0"/>
              <w:rPr>
                <w:sz w:val="10"/>
                <w:szCs w:val="10"/>
                <w:color w:val="auto"/>
              </w:rPr>
            </w:pPr>
          </w:p>
        </w:tc>
        <w:tc>
          <w:tcPr>
            <w:tcW w:w="10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20" w:type="dxa"/>
            <w:vAlign w:val="bottom"/>
          </w:tcPr>
          <w:p>
            <w:pPr>
              <w:spacing w:after="0"/>
              <w:rPr>
                <w:sz w:val="10"/>
                <w:szCs w:val="10"/>
                <w:color w:val="auto"/>
              </w:rPr>
            </w:pPr>
          </w:p>
        </w:tc>
        <w:tc>
          <w:tcPr>
            <w:tcW w:w="10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0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secured notes</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6,171.9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6,097.9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6.32 %</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Subordinated notes</w:t>
            </w:r>
          </w:p>
        </w:tc>
        <w:tc>
          <w:tcPr>
            <w:tcW w:w="280" w:type="dxa"/>
            <w:vAlign w:val="bottom"/>
          </w:tcPr>
          <w:p>
            <w:pPr>
              <w:spacing w:after="0"/>
              <w:rPr>
                <w:sz w:val="8"/>
                <w:szCs w:val="8"/>
                <w:color w:val="auto"/>
              </w:rPr>
            </w:pPr>
          </w:p>
        </w:tc>
        <w:tc>
          <w:tcPr>
            <w:tcW w:w="740" w:type="dxa"/>
            <w:vAlign w:val="bottom"/>
          </w:tcPr>
          <w:p>
            <w:pPr>
              <w:jc w:val="right"/>
              <w:ind w:right="66"/>
              <w:spacing w:after="0" w:line="96" w:lineRule="exact"/>
              <w:rPr>
                <w:sz w:val="20"/>
                <w:szCs w:val="20"/>
                <w:color w:val="auto"/>
              </w:rPr>
            </w:pPr>
            <w:r>
              <w:rPr>
                <w:rFonts w:ascii="Times New Roman" w:cs="Times New Roman" w:eastAsia="Times New Roman" w:hAnsi="Times New Roman"/>
                <w:sz w:val="11"/>
                <w:szCs w:val="11"/>
                <w:color w:val="auto"/>
              </w:rPr>
              <w:t>173.5</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jc w:val="right"/>
              <w:ind w:right="66"/>
              <w:spacing w:after="0" w:line="96" w:lineRule="exact"/>
              <w:rPr>
                <w:sz w:val="20"/>
                <w:szCs w:val="20"/>
                <w:color w:val="auto"/>
              </w:rPr>
            </w:pPr>
            <w:r>
              <w:rPr>
                <w:rFonts w:ascii="Times New Roman" w:cs="Times New Roman" w:eastAsia="Times New Roman" w:hAnsi="Times New Roman"/>
                <w:sz w:val="11"/>
                <w:szCs w:val="11"/>
                <w:color w:val="auto"/>
              </w:rPr>
              <w:t>210.7</w:t>
            </w:r>
          </w:p>
        </w:tc>
        <w:tc>
          <w:tcPr>
            <w:tcW w:w="20" w:type="dxa"/>
            <w:vAlign w:val="bottom"/>
          </w:tcPr>
          <w:p>
            <w:pPr>
              <w:spacing w:after="0"/>
              <w:rPr>
                <w:sz w:val="8"/>
                <w:szCs w:val="8"/>
                <w:color w:val="auto"/>
              </w:rPr>
            </w:pPr>
          </w:p>
        </w:tc>
        <w:tc>
          <w:tcPr>
            <w:tcW w:w="10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color w:val="auto"/>
              </w:rPr>
              <w:t>N/A</w:t>
            </w:r>
          </w:p>
        </w:tc>
        <w:tc>
          <w:tcPr>
            <w:tcW w:w="280" w:type="dxa"/>
            <w:vAlign w:val="bottom"/>
            <w:vMerge w:val="restart"/>
          </w:tcPr>
          <w:p>
            <w:pPr>
              <w:jc w:val="right"/>
              <w:ind w:right="118"/>
              <w:spacing w:after="0"/>
              <w:rPr>
                <w:sz w:val="20"/>
                <w:szCs w:val="20"/>
                <w:color w:val="auto"/>
              </w:rPr>
            </w:pPr>
            <w:r>
              <w:rPr>
                <w:rFonts w:ascii="Times New Roman" w:cs="Times New Roman" w:eastAsia="Times New Roman" w:hAnsi="Times New Roman"/>
                <w:sz w:val="8"/>
                <w:szCs w:val="8"/>
                <w:color w:val="auto"/>
              </w:rPr>
              <w:t>(2)</w:t>
            </w:r>
          </w:p>
        </w:tc>
        <w:tc>
          <w:tcPr>
            <w:tcW w:w="10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color w:val="auto"/>
              </w:rPr>
              <w:t>9.16</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Revolving credit facilities</w:t>
            </w: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3"/>
                <w:szCs w:val="3"/>
                <w:color w:val="auto"/>
              </w:rPr>
              <w:t>177.9</w:t>
            </w: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3"/>
                <w:szCs w:val="3"/>
                <w:color w:val="auto"/>
              </w:rPr>
              <w:t>177.9</w:t>
            </w:r>
          </w:p>
        </w:tc>
        <w:tc>
          <w:tcPr>
            <w:tcW w:w="1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6.46 %</w:t>
            </w: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5.05</w:t>
            </w:r>
          </w:p>
        </w:tc>
        <w:tc>
          <w:tcPr>
            <w:tcW w:w="0" w:type="dxa"/>
            <w:vAlign w:val="bottom"/>
          </w:tcPr>
          <w:p>
            <w:pPr>
              <w:spacing w:after="0" w:line="20" w:lineRule="exact"/>
              <w:rPr>
                <w:sz w:val="1"/>
                <w:szCs w:val="1"/>
                <w:color w:val="auto"/>
              </w:rPr>
            </w:pPr>
          </w:p>
        </w:tc>
      </w:tr>
      <w:tr>
        <w:trPr>
          <w:trHeight w:val="124"/>
        </w:trPr>
        <w:tc>
          <w:tcPr>
            <w:tcW w:w="37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0"/>
                <w:szCs w:val="10"/>
                <w:color w:val="auto"/>
              </w:rPr>
              <w:t>(1)</w:t>
            </w: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80" w:type="dxa"/>
            <w:vAlign w:val="bottom"/>
            <w:gridSpan w:val="2"/>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color w:val="auto"/>
              </w:rPr>
              <w:t>6,523.3</w:t>
            </w:r>
          </w:p>
        </w:tc>
        <w:tc>
          <w:tcPr>
            <w:tcW w:w="2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color w:val="auto"/>
              </w:rPr>
              <w:t>6,486.5</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2300"/>
        <w:spacing w:after="0" w:line="226" w:lineRule="auto"/>
        <w:rPr>
          <w:sz w:val="20"/>
          <w:szCs w:val="20"/>
          <w:color w:val="auto"/>
        </w:rPr>
      </w:pPr>
      <w:r>
        <w:rPr>
          <w:rFonts w:ascii="Times New Roman" w:cs="Times New Roman" w:eastAsia="Times New Roman" w:hAnsi="Times New Roman"/>
          <w:sz w:val="14"/>
          <w:szCs w:val="14"/>
          <w:color w:val="auto"/>
        </w:rPr>
        <w:t>(1)Fair Value as of December 31, 2024 and 2023 reflects the amortized cost of outstanding revolving credit balances which approximates fair value.</w:t>
      </w:r>
    </w:p>
    <w:p>
      <w:pPr>
        <w:spacing w:after="0" w:line="1" w:lineRule="exact"/>
        <w:rPr>
          <w:sz w:val="20"/>
          <w:szCs w:val="20"/>
          <w:color w:val="auto"/>
        </w:rPr>
      </w:pPr>
    </w:p>
    <w:p>
      <w:pPr>
        <w:ind w:right="1900"/>
        <w:spacing w:after="0" w:line="215" w:lineRule="auto"/>
        <w:rPr>
          <w:sz w:val="20"/>
          <w:szCs w:val="20"/>
          <w:color w:val="auto"/>
        </w:rPr>
      </w:pPr>
      <w:r>
        <w:rPr>
          <w:rFonts w:ascii="Times New Roman" w:cs="Times New Roman" w:eastAsia="Times New Roman" w:hAnsi="Times New Roman"/>
          <w:sz w:val="14"/>
          <w:szCs w:val="14"/>
          <w:color w:val="auto"/>
        </w:rPr>
        <w:t>(2)The subordinated notes do not have contractual interest rates, but instead receive distributions from the excess cash flows of the CLOs.</w:t>
      </w:r>
    </w:p>
    <w:p>
      <w:pPr>
        <w:spacing w:after="0" w:line="204" w:lineRule="auto"/>
        <w:rPr>
          <w:sz w:val="20"/>
          <w:szCs w:val="20"/>
          <w:color w:val="auto"/>
        </w:rPr>
      </w:pPr>
      <w:r>
        <w:rPr>
          <w:rFonts w:ascii="Times New Roman" w:cs="Times New Roman" w:eastAsia="Times New Roman" w:hAnsi="Times New Roman"/>
          <w:sz w:val="16"/>
          <w:szCs w:val="16"/>
          <w:color w:val="auto"/>
        </w:rPr>
        <w:t>Loans payable of the CLOs are collateralized by the assets held by the CLOs and the assets of one CLO may not be</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used to satisfy the liabilities of another. This collateral consisted of cash and cash equivalents, corporate loans, corporate bonds and other securities. As of December 31, 2024 and 2023, the fair value of the CLO assets was $7.9 billion and $6.8 billion, respectively.</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7. Accrued Compensation and Benefits</w:t>
      </w:r>
    </w:p>
    <w:p>
      <w:pPr>
        <w:spacing w:after="0"/>
        <w:rPr>
          <w:sz w:val="20"/>
          <w:szCs w:val="20"/>
          <w:color w:val="auto"/>
        </w:rPr>
      </w:pPr>
      <w:r>
        <w:rPr>
          <w:rFonts w:ascii="Times New Roman" w:cs="Times New Roman" w:eastAsia="Times New Roman" w:hAnsi="Times New Roman"/>
          <w:sz w:val="16"/>
          <w:szCs w:val="16"/>
          <w:color w:val="auto"/>
        </w:rPr>
        <w:t>Accrued compensation and benefits consist of the following:</w:t>
      </w:r>
    </w:p>
    <w:p>
      <w:pPr>
        <w:sectPr>
          <w:pgSz w:w="11900" w:h="16840" w:orient="portrait"/>
          <w:cols w:equalWidth="0" w:num="1">
            <w:col w:w="9400"/>
          </w:cols>
          <w:pgMar w:left="1060" w:top="547" w:right="1440" w:bottom="236" w:gutter="0" w:footer="0" w:header="0"/>
        </w:sectPr>
      </w:pPr>
    </w:p>
    <w:bookmarkStart w:id="161" w:name="page162"/>
    <w:bookmarkEnd w:id="161"/>
    <w:tbl>
      <w:tblPr>
        <w:tblLayout w:type="fixed"/>
        <w:tblInd w:w="1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64"/>
        </w:trPr>
        <w:tc>
          <w:tcPr>
            <w:tcW w:w="54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182"/>
        </w:trPr>
        <w:tc>
          <w:tcPr>
            <w:tcW w:w="5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2"/>
        </w:trPr>
        <w:tc>
          <w:tcPr>
            <w:tcW w:w="54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2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performance allocations and incentive fee related compensation</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4,819.7</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4,255.8</w:t>
            </w:r>
          </w:p>
        </w:tc>
      </w:tr>
      <w:tr>
        <w:trPr>
          <w:trHeight w:val="190"/>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Accrued bonuses</w:t>
            </w:r>
          </w:p>
        </w:tc>
        <w:tc>
          <w:tcPr>
            <w:tcW w:w="56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335.5</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498.2</w:t>
            </w:r>
          </w:p>
        </w:tc>
      </w:tr>
      <w:tr>
        <w:trPr>
          <w:trHeight w:val="50"/>
        </w:trPr>
        <w:tc>
          <w:tcPr>
            <w:tcW w:w="5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2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pension liability</w:t>
            </w:r>
          </w:p>
        </w:tc>
        <w:tc>
          <w:tcPr>
            <w:tcW w:w="5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7.0</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13.1</w:t>
            </w:r>
          </w:p>
        </w:tc>
      </w:tr>
      <w:tr>
        <w:trPr>
          <w:trHeight w:val="34"/>
        </w:trPr>
        <w:tc>
          <w:tcPr>
            <w:tcW w:w="5400" w:type="dxa"/>
            <w:vAlign w:val="bottom"/>
          </w:tcPr>
          <w:p>
            <w:pPr>
              <w:spacing w:after="0"/>
              <w:rPr>
                <w:sz w:val="20"/>
                <w:szCs w:val="20"/>
                <w:color w:val="auto"/>
              </w:rPr>
            </w:pPr>
            <w:r>
              <w:rPr>
                <w:rFonts w:ascii="Times New Roman" w:cs="Times New Roman" w:eastAsia="Times New Roman" w:hAnsi="Times New Roman"/>
                <w:sz w:val="3"/>
                <w:szCs w:val="3"/>
                <w:color w:val="auto"/>
              </w:rPr>
              <w:t>Other</w:t>
            </w:r>
          </w:p>
        </w:tc>
        <w:tc>
          <w:tcPr>
            <w:tcW w:w="560" w:type="dxa"/>
            <w:vAlign w:val="bottom"/>
          </w:tcPr>
          <w:p>
            <w:pPr>
              <w:spacing w:after="0"/>
              <w:rPr>
                <w:sz w:val="2"/>
                <w:szCs w:val="2"/>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3"/>
                <w:szCs w:val="3"/>
                <w:b w:val="1"/>
                <w:bCs w:val="1"/>
                <w:color w:val="auto"/>
              </w:rPr>
              <w:t>284.4</w:t>
            </w: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3"/>
                <w:szCs w:val="3"/>
                <w:color w:val="auto"/>
              </w:rPr>
              <w:t>155.1</w:t>
            </w:r>
          </w:p>
        </w:tc>
      </w:tr>
      <w:tr>
        <w:trPr>
          <w:trHeight w:val="124"/>
        </w:trPr>
        <w:tc>
          <w:tcPr>
            <w:tcW w:w="540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(1)(2)</w:t>
            </w: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2"/>
        </w:trPr>
        <w:tc>
          <w:tcPr>
            <w:tcW w:w="540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20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5,446.6</w:t>
            </w: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4,922.2</w:t>
            </w:r>
          </w:p>
        </w:tc>
      </w:tr>
    </w:tbl>
    <w:p>
      <w:pPr>
        <w:ind w:left="10" w:right="1460"/>
        <w:spacing w:after="0" w:line="234" w:lineRule="auto"/>
        <w:rPr>
          <w:sz w:val="20"/>
          <w:szCs w:val="20"/>
          <w:color w:val="auto"/>
        </w:rPr>
      </w:pPr>
      <w:r>
        <w:rPr>
          <w:rFonts w:ascii="Times New Roman" w:cs="Times New Roman" w:eastAsia="Times New Roman" w:hAnsi="Times New Roman"/>
          <w:sz w:val="13"/>
          <w:szCs w:val="13"/>
          <w:color w:val="auto"/>
        </w:rPr>
        <w:t>(1)Includes $7.1 million and $ 44.5 million of realized performance allocations and incentive fee related compensation not yet paid to participants as of December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-177165</wp:posOffset>
            </wp:positionV>
            <wp:extent cx="176085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198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0"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left="10"/>
        <w:spacing w:after="0" w:line="193" w:lineRule="auto"/>
        <w:rPr>
          <w:sz w:val="20"/>
          <w:szCs w:val="20"/>
          <w:color w:val="auto"/>
        </w:rPr>
      </w:pPr>
      <w:r>
        <w:rPr>
          <w:rFonts w:ascii="Times New Roman" w:cs="Times New Roman" w:eastAsia="Times New Roman" w:hAnsi="Times New Roman"/>
          <w:sz w:val="13"/>
          <w:szCs w:val="13"/>
          <w:color w:val="auto"/>
        </w:rPr>
        <w:t>(2)Includes $176.7 million of realized performance allocations related compensation associated with the Company’s updated compensation program (see Note</w:t>
      </w:r>
    </w:p>
    <w:p>
      <w:pPr>
        <w:ind w:left="10"/>
        <w:spacing w:after="0" w:line="196" w:lineRule="auto"/>
        <w:rPr>
          <w:sz w:val="20"/>
          <w:szCs w:val="20"/>
          <w:color w:val="auto"/>
        </w:rPr>
      </w:pPr>
      <w:r>
        <w:rPr>
          <w:rFonts w:ascii="Times New Roman" w:cs="Times New Roman" w:eastAsia="Times New Roman" w:hAnsi="Times New Roman"/>
          <w:sz w:val="13"/>
          <w:szCs w:val="13"/>
          <w:color w:val="auto"/>
        </w:rPr>
        <w:t>2, Summary of Significant Accounting Policies) not yet paid as of December 31, 2024.</w:t>
      </w:r>
    </w:p>
    <w:p>
      <w:pPr>
        <w:ind w:left="10"/>
        <w:spacing w:after="0" w:line="218" w:lineRule="auto"/>
        <w:rPr>
          <w:sz w:val="20"/>
          <w:szCs w:val="20"/>
          <w:color w:val="auto"/>
        </w:rPr>
      </w:pPr>
      <w:r>
        <w:rPr>
          <w:rFonts w:ascii="Times New Roman" w:cs="Times New Roman" w:eastAsia="Times New Roman" w:hAnsi="Times New Roman"/>
          <w:sz w:val="16"/>
          <w:szCs w:val="16"/>
          <w:color w:val="auto"/>
        </w:rPr>
        <w:t>The following table presents realized and unrealized performance allocations and incentive fee related compensation:</w:t>
      </w:r>
    </w:p>
    <w:tbl>
      <w:tblPr>
        <w:tblLayout w:type="fixed"/>
        <w:tblInd w:w="1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6"/>
        </w:trPr>
        <w:tc>
          <w:tcPr>
            <w:tcW w:w="40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2"/>
        </w:trPr>
        <w:tc>
          <w:tcPr>
            <w:tcW w:w="40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2"/>
        </w:trPr>
        <w:tc>
          <w:tcPr>
            <w:tcW w:w="40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2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753.1</w:t>
            </w: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473.8</w:t>
            </w: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1,026.4</w:t>
            </w:r>
          </w:p>
        </w:tc>
      </w:tr>
      <w:tr>
        <w:trPr>
          <w:trHeight w:val="190"/>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Unrealized</w:t>
            </w:r>
            <w:r>
              <w:rPr>
                <w:rFonts w:ascii="Times New Roman" w:cs="Times New Roman" w:eastAsia="Times New Roman" w:hAnsi="Times New Roman"/>
                <w:sz w:val="9"/>
                <w:szCs w:val="9"/>
                <w:color w:val="auto"/>
              </w:rPr>
              <w:t>(1)</w:t>
            </w: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608.4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629.9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(306.5)</w:t>
            </w:r>
          </w:p>
        </w:tc>
      </w:tr>
      <w:tr>
        <w:trPr>
          <w:trHeight w:val="50"/>
        </w:trPr>
        <w:tc>
          <w:tcPr>
            <w:tcW w:w="40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0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1,361.5</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719.9</w:t>
            </w:r>
          </w:p>
        </w:tc>
      </w:tr>
    </w:tbl>
    <w:p>
      <w:pPr>
        <w:ind w:left="10" w:right="1340" w:hanging="10"/>
        <w:spacing w:after="0" w:line="201" w:lineRule="auto"/>
        <w:tabs>
          <w:tab w:leader="none" w:pos="23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Unrealized performance allocations for the year ended December 31, 2023 included a one-time $1.1 billion charge related to the updated employee compensation program effective December 31, 2023, which increased the proportion of performance allocations revenue that will be used to compensate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-230505</wp:posOffset>
            </wp:positionV>
            <wp:extent cx="266001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660015" cy="7620"/>
                    </a:xfrm>
                    <a:prstGeom prst="rect">
                      <a:avLst/>
                    </a:prstGeom>
                    <a:noFill/>
                  </pic:spPr>
                </pic:pic>
              </a:graphicData>
            </a:graphic>
          </wp:anchor>
        </w:drawing>
      </w:r>
    </w:p>
    <w:p>
      <w:pPr>
        <w:ind w:left="10" w:right="1880"/>
        <w:spacing w:after="0" w:line="208" w:lineRule="auto"/>
        <w:rPr>
          <w:sz w:val="20"/>
          <w:szCs w:val="20"/>
          <w:color w:val="auto"/>
        </w:rPr>
      </w:pPr>
      <w:r>
        <w:rPr>
          <w:rFonts w:ascii="Times New Roman" w:cs="Times New Roman" w:eastAsia="Times New Roman" w:hAnsi="Times New Roman"/>
          <w:sz w:val="16"/>
          <w:szCs w:val="16"/>
          <w:color w:val="auto"/>
        </w:rPr>
        <w:t>Certain employees of AlpInvest are covered by defined benefit pension plans sponsored by AlpInvest. No other employees of the Company are covered by defined benefit pension plans. The following table presents the plans’ benefit obligation, the fair value of plan assets, and the plans’ funded status as of December 31, 2024 and 2023:</w:t>
      </w:r>
    </w:p>
    <w:tbl>
      <w:tblPr>
        <w:tblLayout w:type="fixed"/>
        <w:tblInd w:w="1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460" w:type="dxa"/>
            <w:vAlign w:val="bottom"/>
          </w:tcPr>
          <w:p>
            <w:pPr>
              <w:spacing w:after="0"/>
              <w:rPr>
                <w:sz w:val="4"/>
                <w:szCs w:val="4"/>
                <w:color w:val="auto"/>
              </w:rPr>
            </w:pPr>
          </w:p>
        </w:tc>
        <w:tc>
          <w:tcPr>
            <w:tcW w:w="39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4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4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w:t>
            </w:r>
          </w:p>
        </w:tc>
        <w:tc>
          <w:tcPr>
            <w:tcW w:w="39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(65.1)</w:t>
            </w: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58.1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50"/>
        </w:trPr>
        <w:tc>
          <w:tcPr>
            <w:tcW w:w="1460" w:type="dxa"/>
            <w:vAlign w:val="bottom"/>
            <w:tcBorders>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4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Accrued pension liability</w:t>
            </w:r>
          </w:p>
        </w:tc>
        <w:tc>
          <w:tcPr>
            <w:tcW w:w="3900" w:type="dxa"/>
            <w:vAlign w:val="bottom"/>
            <w:vMerge w:val="restart"/>
            <w:shd w:val="clear" w:color="auto" w:fill="CCEEFF"/>
          </w:tcPr>
          <w:p>
            <w:pPr>
              <w:jc w:val="right"/>
              <w:ind w:right="3758"/>
              <w:spacing w:after="0"/>
              <w:rPr>
                <w:sz w:val="20"/>
                <w:szCs w:val="20"/>
                <w:color w:val="auto"/>
              </w:rPr>
            </w:pPr>
            <w:r>
              <w:rPr>
                <w:rFonts w:ascii="Times New Roman" w:cs="Times New Roman" w:eastAsia="Times New Roman" w:hAnsi="Times New Roman"/>
                <w:sz w:val="8"/>
                <w:szCs w:val="8"/>
                <w:color w:val="auto"/>
                <w:w w:val="85"/>
              </w:rPr>
              <w:t>(1)</w:t>
            </w:r>
          </w:p>
        </w:tc>
        <w:tc>
          <w:tcPr>
            <w:tcW w:w="6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shd w:val="clear" w:color="auto" w:fill="CCEEFF"/>
          </w:tcPr>
          <w:p>
            <w:pPr>
              <w:jc w:val="right"/>
              <w:ind w:right="13"/>
              <w:spacing w:after="0" w:line="100" w:lineRule="exact"/>
              <w:rPr>
                <w:sz w:val="20"/>
                <w:szCs w:val="20"/>
                <w:color w:val="auto"/>
              </w:rPr>
            </w:pPr>
            <w:r>
              <w:rPr>
                <w:rFonts w:ascii="Times New Roman" w:cs="Times New Roman" w:eastAsia="Times New Roman" w:hAnsi="Times New Roman"/>
                <w:sz w:val="11"/>
                <w:szCs w:val="11"/>
                <w:b w:val="1"/>
                <w:bCs w:val="1"/>
                <w:color w:val="auto"/>
              </w:rPr>
              <w:t>(7.0)</w:t>
            </w: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00" w:lineRule="exact"/>
              <w:rPr>
                <w:sz w:val="20"/>
                <w:szCs w:val="20"/>
                <w:color w:val="auto"/>
              </w:rPr>
            </w:pPr>
            <w:r>
              <w:rPr>
                <w:rFonts w:ascii="Times New Roman" w:cs="Times New Roman" w:eastAsia="Times New Roman" w:hAnsi="Times New Roman"/>
                <w:sz w:val="11"/>
                <w:szCs w:val="11"/>
                <w:color w:val="auto"/>
              </w:rPr>
              <w:t>(13.1)</w:t>
            </w:r>
          </w:p>
        </w:tc>
        <w:tc>
          <w:tcPr>
            <w:tcW w:w="0" w:type="dxa"/>
            <w:vAlign w:val="bottom"/>
          </w:tcPr>
          <w:p>
            <w:pPr>
              <w:spacing w:after="0"/>
              <w:rPr>
                <w:sz w:val="1"/>
                <w:szCs w:val="1"/>
                <w:color w:val="auto"/>
              </w:rPr>
            </w:pPr>
          </w:p>
        </w:tc>
      </w:tr>
      <w:tr>
        <w:trPr>
          <w:trHeight w:val="28"/>
        </w:trPr>
        <w:tc>
          <w:tcPr>
            <w:tcW w:w="1460" w:type="dxa"/>
            <w:vAlign w:val="bottom"/>
            <w:shd w:val="clear" w:color="auto" w:fill="CCEEFF"/>
          </w:tcPr>
          <w:p>
            <w:pPr>
              <w:spacing w:after="0"/>
              <w:rPr>
                <w:sz w:val="2"/>
                <w:szCs w:val="2"/>
                <w:color w:val="auto"/>
              </w:rPr>
            </w:pPr>
          </w:p>
        </w:tc>
        <w:tc>
          <w:tcPr>
            <w:tcW w:w="3900" w:type="dxa"/>
            <w:vAlign w:val="bottom"/>
            <w:vMerge w:val="continue"/>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1460" w:type="dxa"/>
            <w:vAlign w:val="bottom"/>
            <w:tcBorders>
              <w:bottom w:val="single" w:sz="8" w:color="CCEEFF"/>
            </w:tcBorders>
            <w:shd w:val="clear" w:color="auto" w:fill="CCEEFF"/>
          </w:tcPr>
          <w:p>
            <w:pPr>
              <w:spacing w:after="0"/>
              <w:rPr>
                <w:sz w:val="6"/>
                <w:szCs w:val="6"/>
                <w:color w:val="auto"/>
              </w:rPr>
            </w:pPr>
          </w:p>
        </w:tc>
        <w:tc>
          <w:tcPr>
            <w:tcW w:w="390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10"/>
        <w:spacing w:after="0" w:line="220" w:lineRule="auto"/>
        <w:rPr>
          <w:sz w:val="20"/>
          <w:szCs w:val="20"/>
          <w:color w:val="auto"/>
        </w:rPr>
      </w:pPr>
      <w:r>
        <w:rPr>
          <w:rFonts w:ascii="Times New Roman" w:cs="Times New Roman" w:eastAsia="Times New Roman" w:hAnsi="Times New Roman"/>
          <w:sz w:val="13"/>
          <w:szCs w:val="13"/>
          <w:color w:val="auto"/>
        </w:rPr>
        <w:t>(1)Represents the funded status of plans and is included in accrued compensation and benefits in the accompanying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-78740</wp:posOffset>
            </wp:positionV>
            <wp:extent cx="176085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760855" cy="7620"/>
                    </a:xfrm>
                    <a:prstGeom prst="rect">
                      <a:avLst/>
                    </a:prstGeom>
                    <a:noFill/>
                  </pic:spPr>
                </pic:pic>
              </a:graphicData>
            </a:graphic>
          </wp:anchor>
        </w:drawing>
      </w:r>
    </w:p>
    <w:p>
      <w:pPr>
        <w:ind w:left="10"/>
        <w:spacing w:after="0" w:line="203" w:lineRule="auto"/>
        <w:rPr>
          <w:sz w:val="20"/>
          <w:szCs w:val="20"/>
          <w:color w:val="auto"/>
        </w:rPr>
      </w:pPr>
      <w:r>
        <w:rPr>
          <w:rFonts w:ascii="Times New Roman" w:cs="Times New Roman" w:eastAsia="Times New Roman" w:hAnsi="Times New Roman"/>
          <w:sz w:val="16"/>
          <w:szCs w:val="16"/>
          <w:color w:val="auto"/>
        </w:rPr>
        <w:t>For the years ended December 31, 2024, 2023 and 2022, the net periodic benefit cost recognized was $1.5 million,</w:t>
      </w:r>
    </w:p>
    <w:p>
      <w:pPr>
        <w:ind w:left="10" w:right="1460"/>
        <w:spacing w:after="0" w:line="203" w:lineRule="auto"/>
        <w:rPr>
          <w:sz w:val="20"/>
          <w:szCs w:val="20"/>
          <w:color w:val="auto"/>
        </w:rPr>
      </w:pPr>
      <w:r>
        <w:rPr>
          <w:rFonts w:ascii="Times New Roman" w:cs="Times New Roman" w:eastAsia="Times New Roman" w:hAnsi="Times New Roman"/>
          <w:sz w:val="16"/>
          <w:szCs w:val="16"/>
          <w:color w:val="auto"/>
        </w:rPr>
        <w:t>$1.7 million and $4.1 million, respectively, which is included in cash-based compensation and benefits expense (for the service cost component) and other non-operating expenses (for non-service cost components) in the accompanying consolidated financial statements.</w:t>
      </w:r>
    </w:p>
    <w:p>
      <w:pPr>
        <w:spacing w:after="0" w:line="1" w:lineRule="exact"/>
        <w:rPr>
          <w:sz w:val="20"/>
          <w:szCs w:val="20"/>
          <w:color w:val="auto"/>
        </w:rPr>
      </w:pPr>
    </w:p>
    <w:p>
      <w:pPr>
        <w:ind w:left="10" w:right="7040" w:hanging="10"/>
        <w:spacing w:after="0" w:line="232" w:lineRule="auto"/>
        <w:tabs>
          <w:tab w:leader="none" w:pos="166"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Capital Commitments</w:t>
      </w:r>
    </w:p>
    <w:p>
      <w:pPr>
        <w:ind w:left="10" w:right="1620"/>
        <w:spacing w:after="0" w:line="2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The Company and its unconsolidated affiliates have unfunded commitments totaling $4.2 billion as of December 31, 2024, of which approximately $3.5 billion is subscribed individually by senior Carlyle professionals, advisors and other professionals. In addition to these unfunded commitments, the Company may from time to time exercise its right to purchase additional interests in its investment funds that become available in the ordinary course of their operations.</w:t>
      </w:r>
    </w:p>
    <w:p>
      <w:pPr>
        <w:spacing w:after="0" w:line="1" w:lineRule="exact"/>
        <w:rPr>
          <w:rFonts w:ascii="Times New Roman" w:cs="Times New Roman" w:eastAsia="Times New Roman" w:hAnsi="Times New Roman"/>
          <w:sz w:val="14"/>
          <w:szCs w:val="14"/>
          <w:b w:val="1"/>
          <w:bCs w:val="1"/>
          <w:color w:val="auto"/>
        </w:rPr>
      </w:pPr>
    </w:p>
    <w:p>
      <w:pPr>
        <w:ind w:left="10" w:right="1520"/>
        <w:spacing w:after="0" w:line="2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Under the Carlyle Global Capital Markets platform, certain subsidiaries of the Company may act as an underwriter, syndicator or placement agent for security offerings and loan originations. The Company earns fees in connection with these activities and bears the risk of the sale of such securities and placement of such loans, which may be longer dated. As of December 31, 2024, the Company had $15.3 million in commitments related to the origination and syndication of loans and securities under the Carlyle Global Capital Markets platform, of which $4.3 million was extinguished in January and February 2025.</w:t>
      </w:r>
    </w:p>
    <w:p>
      <w:pPr>
        <w:spacing w:after="0" w:line="2" w:lineRule="exact"/>
        <w:rPr>
          <w:rFonts w:ascii="Times New Roman" w:cs="Times New Roman" w:eastAsia="Times New Roman" w:hAnsi="Times New Roman"/>
          <w:sz w:val="14"/>
          <w:szCs w:val="14"/>
          <w:b w:val="1"/>
          <w:bCs w:val="1"/>
          <w:color w:val="auto"/>
        </w:rPr>
      </w:pPr>
    </w:p>
    <w:p>
      <w:pPr>
        <w:ind w:left="10"/>
        <w:spacing w:after="0" w:line="20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b w:val="1"/>
          <w:bCs w:val="1"/>
          <w:color w:val="auto"/>
        </w:rPr>
        <w:t>Guaranteed Loans</w:t>
      </w:r>
    </w:p>
    <w:p>
      <w:pPr>
        <w:ind w:left="10" w:right="1580" w:firstLine="576"/>
        <w:spacing w:after="0" w:line="24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From time to time, the Company or its subsidiaries may enter into agreements to guarantee certain obligations of the investment funds related to, for example, credit facilities or equity commitments. Certain consolidated subsidiaries of the Company are the guarantors of revolving credit facilities for certain funds in the Global Investment Solutions segment. The guarantee is limited to the lesser of the total amount drawn under the credit facilities or the total of net asset value of the guarantor subsidiaries plus any uncalled capital of the applicable general partner. The outstanding balances are secured by</w:t>
      </w:r>
    </w:p>
    <w:p>
      <w:pPr>
        <w:sectPr>
          <w:pgSz w:w="11900" w:h="16840" w:orient="portrait"/>
          <w:cols w:equalWidth="0" w:num="1">
            <w:col w:w="9410"/>
          </w:cols>
          <w:pgMar w:left="1050" w:top="555" w:right="1440"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460"/>
        <w:spacing w:after="0" w:line="203" w:lineRule="auto"/>
        <w:rPr>
          <w:sz w:val="20"/>
          <w:szCs w:val="20"/>
          <w:color w:val="auto"/>
        </w:rPr>
      </w:pPr>
      <w:r>
        <w:rPr>
          <w:rFonts w:ascii="Times New Roman" w:cs="Times New Roman" w:eastAsia="Times New Roman" w:hAnsi="Times New Roman"/>
          <w:sz w:val="16"/>
          <w:szCs w:val="16"/>
          <w:color w:val="auto"/>
        </w:rPr>
        <w:t>uncalled capital commitments from the underlying funds, and the Company believes the likelihood of any material funding under this guarantee to be remote. As of December 31, 2024, there were no outstanding balances under the credit facilities with a guarantee agreement.</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Contingent Obligations (Giveback)</w:t>
      </w:r>
    </w:p>
    <w:p>
      <w:pPr>
        <w:spacing w:after="0" w:line="203" w:lineRule="auto"/>
        <w:rPr>
          <w:sz w:val="20"/>
          <w:szCs w:val="20"/>
          <w:color w:val="auto"/>
        </w:rPr>
      </w:pPr>
      <w:r>
        <w:rPr>
          <w:rFonts w:ascii="Times New Roman" w:cs="Times New Roman" w:eastAsia="Times New Roman" w:hAnsi="Times New Roman"/>
          <w:sz w:val="16"/>
          <w:szCs w:val="16"/>
          <w:color w:val="auto"/>
        </w:rPr>
        <w:t>A liability for potential repayment of previously received performance allocations of $44.0 million at December 31,</w:t>
      </w:r>
    </w:p>
    <w:p>
      <w:pPr>
        <w:spacing w:after="0" w:line="1" w:lineRule="exact"/>
        <w:rPr>
          <w:sz w:val="20"/>
          <w:szCs w:val="20"/>
          <w:color w:val="auto"/>
        </w:rPr>
      </w:pPr>
    </w:p>
    <w:p>
      <w:pPr>
        <w:ind w:right="1480"/>
        <w:spacing w:after="0" w:line="232" w:lineRule="auto"/>
        <w:rPr>
          <w:sz w:val="20"/>
          <w:szCs w:val="20"/>
          <w:color w:val="auto"/>
        </w:rPr>
      </w:pPr>
      <w:r>
        <w:rPr>
          <w:rFonts w:ascii="Times New Roman" w:cs="Times New Roman" w:eastAsia="Times New Roman" w:hAnsi="Times New Roman"/>
          <w:sz w:val="14"/>
          <w:szCs w:val="14"/>
          <w:color w:val="auto"/>
        </w:rPr>
        <w:t>2024, was shown as accrued giveback obligations in the consolidated balance sheets, representing the giveback obligation that would need to be paid if the funds were liquidated at their current fair values at December 31, 2024. However, the ultimate giveback obligation, if any, generally is not paid until the end of a fund’s life or earlier if the giveback becomes fixed and early payment is agreed upon by the fund’s partners (see Note 2, Summary of Significant Accounting Policies). As of both December 31, 2024 and 2023, the Company had $11.5 million of unbilled receivables from former and current employees and senior Carlyle professionals related to giveback obligations. Any such receivables are collateralized by investments made by individual senior Carlyle professionals and employees in Carlyle-sponsored funds. In addition, $144.8 million and</w:t>
      </w:r>
    </w:p>
    <w:p>
      <w:pPr>
        <w:spacing w:after="0" w:line="3" w:lineRule="exact"/>
        <w:rPr>
          <w:sz w:val="20"/>
          <w:szCs w:val="20"/>
          <w:color w:val="auto"/>
        </w:rPr>
      </w:pPr>
    </w:p>
    <w:p>
      <w:pPr>
        <w:ind w:right="1460"/>
        <w:spacing w:after="0" w:line="203" w:lineRule="auto"/>
        <w:rPr>
          <w:sz w:val="20"/>
          <w:szCs w:val="20"/>
          <w:color w:val="auto"/>
        </w:rPr>
      </w:pPr>
      <w:r>
        <w:rPr>
          <w:rFonts w:ascii="Times New Roman" w:cs="Times New Roman" w:eastAsia="Times New Roman" w:hAnsi="Times New Roman"/>
          <w:sz w:val="16"/>
          <w:szCs w:val="16"/>
          <w:color w:val="auto"/>
        </w:rPr>
        <w:t>$145.4 million have been withheld from distributions of carried interest to senior Carlyle professionals and employees for potential giveback obligations as of December 31, 2024 and 2023, respectively. Such amounts are held on behalf of the respective current and former Carlyle employees to satisfy any givebacks they may owe and are held by entities not included in the accompanying consolidated balance sheets. Current and former senior Carlyle professionals and employees are personally responsible for their giveback obligations. As of December 31, 2024, approximately $11.5 million of the Company’s accrued giveback obligation is the responsibility of various current and former senior Carlyle professionals and other former limited partners of the Carlyle Holdings partnerships, and the net accrued giveback obligation attributable to the Company is $32.5 million.</w:t>
      </w:r>
    </w:p>
    <w:p>
      <w:pPr>
        <w:spacing w:after="0" w:line="207" w:lineRule="auto"/>
        <w:rPr>
          <w:sz w:val="20"/>
          <w:szCs w:val="20"/>
          <w:color w:val="auto"/>
        </w:rPr>
      </w:pPr>
      <w:r>
        <w:rPr>
          <w:rFonts w:ascii="Times New Roman" w:cs="Times New Roman" w:eastAsia="Times New Roman" w:hAnsi="Times New Roman"/>
          <w:sz w:val="16"/>
          <w:szCs w:val="16"/>
          <w:color w:val="auto"/>
        </w:rPr>
        <w:t>If, at December 31, 2024, all of the investments held by the Company’s Funds were deemed worthless, a possibility</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that management views as remote, the amount of realized and distributed carried interest subject to potential giveback would be $1.4 billion, on an after-tax basis where applicable, of which approximately $0.5 billion would be the responsibility of current and former senior Carlyle professionals.</w:t>
      </w:r>
    </w:p>
    <w:p>
      <w:pPr>
        <w:ind w:left="560"/>
        <w:spacing w:after="0" w:line="205" w:lineRule="auto"/>
        <w:rPr>
          <w:sz w:val="20"/>
          <w:szCs w:val="20"/>
          <w:color w:val="auto"/>
        </w:rPr>
      </w:pPr>
      <w:r>
        <w:rPr>
          <w:rFonts w:ascii="Times New Roman" w:cs="Times New Roman" w:eastAsia="Times New Roman" w:hAnsi="Times New Roman"/>
          <w:sz w:val="16"/>
          <w:szCs w:val="16"/>
          <w:b w:val="1"/>
          <w:bCs w:val="1"/>
          <w:color w:val="auto"/>
        </w:rPr>
        <w:t>Leases</w:t>
      </w:r>
    </w:p>
    <w:p>
      <w:pPr>
        <w:ind w:right="1400" w:firstLine="576"/>
        <w:spacing w:after="0" w:line="203" w:lineRule="auto"/>
        <w:rPr>
          <w:sz w:val="20"/>
          <w:szCs w:val="20"/>
          <w:color w:val="auto"/>
        </w:rPr>
      </w:pPr>
      <w:r>
        <w:rPr>
          <w:rFonts w:ascii="Times New Roman" w:cs="Times New Roman" w:eastAsia="Times New Roman" w:hAnsi="Times New Roman"/>
          <w:sz w:val="16"/>
          <w:szCs w:val="16"/>
          <w:color w:val="auto"/>
        </w:rPr>
        <w:t>The Company’s leases primarily consist of operating leases for office space in various countries around the world, including its largest offices in Washington, D.C., New York City, London and Hong Kong. These leases have remaining lease terms of one year to 12 years, some of which include options to extend for up to five years and some of which include an option to terminate the leases within one year. The Company also has operating leases for office equipment and vehicles, which are not significant.</w:t>
      </w:r>
    </w:p>
    <w:p>
      <w:pPr>
        <w:spacing w:after="0" w:line="2" w:lineRule="exact"/>
        <w:rPr>
          <w:sz w:val="20"/>
          <w:szCs w:val="20"/>
          <w:color w:val="auto"/>
        </w:rPr>
      </w:pPr>
    </w:p>
    <w:p>
      <w:pPr>
        <w:ind w:right="2140"/>
        <w:spacing w:after="0" w:line="210" w:lineRule="auto"/>
        <w:rPr>
          <w:sz w:val="20"/>
          <w:szCs w:val="20"/>
          <w:color w:val="auto"/>
        </w:rPr>
      </w:pPr>
      <w:r>
        <w:rPr>
          <w:rFonts w:ascii="Times New Roman" w:cs="Times New Roman" w:eastAsia="Times New Roman" w:hAnsi="Times New Roman"/>
          <w:sz w:val="16"/>
          <w:szCs w:val="16"/>
          <w:color w:val="auto"/>
        </w:rPr>
        <w:t>The following table summarizes the Company’s lease cost, cash flows and other supplemental information related to its operating leases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4"/>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2"/>
        </w:trPr>
        <w:tc>
          <w:tcPr>
            <w:tcW w:w="506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61.3</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58.5</w:t>
            </w:r>
          </w:p>
        </w:tc>
      </w:tr>
      <w:tr>
        <w:trPr>
          <w:trHeight w:val="18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4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r>
      <w:tr>
        <w:trPr>
          <w:trHeight w:val="40"/>
        </w:trPr>
        <w:tc>
          <w:tcPr>
            <w:tcW w:w="50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7"/>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56.7</w:t>
            </w: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69.1</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68.3</w:t>
            </w:r>
          </w:p>
        </w:tc>
      </w:tr>
      <w:tr>
        <w:trPr>
          <w:trHeight w:val="240"/>
        </w:trPr>
        <w:tc>
          <w:tcPr>
            <w:tcW w:w="5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9.8</w:t>
            </w:r>
          </w:p>
        </w:tc>
        <w:tc>
          <w:tcPr>
            <w:tcW w:w="5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10.4</w:t>
            </w:r>
          </w:p>
        </w:tc>
        <w:tc>
          <w:tcPr>
            <w:tcW w:w="560" w:type="dxa"/>
            <w:vAlign w:val="bottom"/>
            <w:tcBorders>
              <w:bottom w:val="single" w:sz="8" w:color="CCEEFF"/>
            </w:tcBorders>
            <w:shd w:val="clear" w:color="auto" w:fill="CCEEFF"/>
          </w:tcPr>
          <w:p>
            <w:pPr>
              <w:spacing w:after="0"/>
              <w:rPr>
                <w:sz w:val="18"/>
                <w:szCs w:val="18"/>
                <w:color w:val="auto"/>
              </w:rPr>
            </w:pPr>
          </w:p>
        </w:tc>
      </w:tr>
      <w:tr>
        <w:trPr>
          <w:trHeight w:val="188"/>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4.4 %</w:t>
            </w:r>
          </w:p>
        </w:tc>
        <w:tc>
          <w:tcPr>
            <w:tcW w:w="5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4.3 %</w:t>
            </w:r>
          </w:p>
        </w:tc>
        <w:tc>
          <w:tcPr>
            <w:tcW w:w="560" w:type="dxa"/>
            <w:vAlign w:val="bottom"/>
          </w:tcPr>
          <w:p>
            <w:pPr>
              <w:spacing w:after="0"/>
              <w:rPr>
                <w:sz w:val="16"/>
                <w:szCs w:val="16"/>
                <w:color w:val="auto"/>
              </w:rPr>
            </w:pPr>
          </w:p>
        </w:tc>
      </w:tr>
    </w:tbl>
    <w:p>
      <w:pPr>
        <w:spacing w:after="0" w:line="200" w:lineRule="exact"/>
        <w:rPr>
          <w:sz w:val="20"/>
          <w:szCs w:val="20"/>
          <w:color w:val="auto"/>
        </w:rPr>
      </w:pPr>
    </w:p>
    <w:p>
      <w:pPr>
        <w:sectPr>
          <w:pgSz w:w="11900" w:h="16840" w:orient="portrait"/>
          <w:cols w:equalWidth="0" w:num="1">
            <w:col w:w="9400"/>
          </w:cols>
          <w:pgMar w:left="1060" w:top="1440"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4"/>
          <w:szCs w:val="14"/>
          <w:b w:val="1"/>
          <w:bCs w:val="1"/>
          <w:color w:val="auto"/>
        </w:rPr>
        <w:t>The Carlyle Group Inc.</w:t>
      </w:r>
    </w:p>
    <w:p>
      <w:pPr>
        <w:sectPr>
          <w:pgSz w:w="11900" w:h="16840" w:orient="portrait"/>
          <w:cols w:equalWidth="0" w:num="1">
            <w:col w:w="9400"/>
          </w:cols>
          <w:pgMar w:left="1060" w:top="1440" w:right="1440" w:bottom="79"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rPr>
          <w:sz w:val="20"/>
          <w:szCs w:val="20"/>
          <w:color w:val="auto"/>
        </w:rPr>
      </w:pPr>
      <w:r>
        <w:rPr>
          <w:rFonts w:ascii="Times New Roman" w:cs="Times New Roman" w:eastAsia="Times New Roman" w:hAnsi="Times New Roman"/>
          <w:sz w:val="14"/>
          <w:szCs w:val="14"/>
          <w:color w:val="auto"/>
        </w:rPr>
        <w:t>Maturities of lease liabilities related to operating leases were as follows (Dollars in millions):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ectPr>
          <w:pgSz w:w="11900" w:h="16840" w:orient="portrait"/>
          <w:cols w:equalWidth="0" w:num="1">
            <w:col w:w="9400"/>
          </w:cols>
          <w:pgMar w:left="1060" w:top="547" w:right="1440" w:bottom="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2026</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Thereafter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lease payments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imputed interest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lease liabilities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949" w:hanging="949"/>
        <w:spacing w:after="0"/>
        <w:tabs>
          <w:tab w:leader="none" w:pos="94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70.7</w:t>
      </w:r>
    </w:p>
    <w:p>
      <w:pPr>
        <w:spacing w:after="0" w:line="55"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68.1</w:t>
      </w:r>
    </w:p>
    <w:p>
      <w:pPr>
        <w:spacing w:after="0" w:line="67"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68.4</w:t>
      </w:r>
    </w:p>
    <w:p>
      <w:pPr>
        <w:spacing w:after="0" w:line="67"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67.7</w:t>
      </w:r>
    </w:p>
    <w:p>
      <w:pPr>
        <w:spacing w:after="0" w:line="67" w:lineRule="exact"/>
        <w:rPr>
          <w:rFonts w:ascii="Times New Roman" w:cs="Times New Roman" w:eastAsia="Times New Roman" w:hAnsi="Times New Roman"/>
          <w:sz w:val="14"/>
          <w:szCs w:val="14"/>
          <w:color w:val="auto"/>
        </w:rPr>
      </w:pPr>
    </w:p>
    <w:p>
      <w:pPr>
        <w:ind w:left="94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-383540</wp:posOffset>
            </wp:positionV>
            <wp:extent cx="3391535" cy="144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391535" cy="14478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-93980</wp:posOffset>
            </wp:positionV>
            <wp:extent cx="3391535" cy="14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391535" cy="14478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-673100</wp:posOffset>
            </wp:positionV>
            <wp:extent cx="3391535" cy="144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91535" cy="144780"/>
                    </a:xfrm>
                    <a:prstGeom prst="rect">
                      <a:avLst/>
                    </a:prstGeom>
                    <a:noFill/>
                  </pic:spPr>
                </pic:pic>
              </a:graphicData>
            </a:graphic>
          </wp:anchor>
        </w:drawing>
      </w:r>
    </w:p>
    <w:p>
      <w:pPr>
        <w:spacing w:after="0" w:line="47" w:lineRule="exact"/>
        <w:rPr>
          <w:sz w:val="20"/>
          <w:szCs w:val="20"/>
          <w:color w:val="auto"/>
        </w:rPr>
      </w:pPr>
    </w:p>
    <w:p>
      <w:pPr>
        <w:ind w:left="869"/>
        <w:spacing w:after="0"/>
        <w:rPr>
          <w:sz w:val="20"/>
          <w:szCs w:val="20"/>
          <w:color w:val="auto"/>
        </w:rPr>
      </w:pPr>
      <w:r>
        <w:rPr>
          <w:rFonts w:ascii="Times New Roman" w:cs="Times New Roman" w:eastAsia="Times New Roman" w:hAnsi="Times New Roman"/>
          <w:sz w:val="14"/>
          <w:szCs w:val="14"/>
          <w:color w:val="auto"/>
        </w:rPr>
        <w:t>249.6</w:t>
      </w:r>
    </w:p>
    <w:p>
      <w:pPr>
        <w:spacing w:after="0" w:line="79" w:lineRule="exact"/>
        <w:rPr>
          <w:sz w:val="20"/>
          <w:szCs w:val="20"/>
          <w:color w:val="auto"/>
        </w:rPr>
      </w:pPr>
    </w:p>
    <w:p>
      <w:pPr>
        <w:ind w:left="869" w:hanging="869"/>
        <w:spacing w:after="0"/>
        <w:tabs>
          <w:tab w:leader="none" w:pos="86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592.1</w:t>
      </w:r>
    </w:p>
    <w:p>
      <w:pPr>
        <w:spacing w:after="0" w:line="55" w:lineRule="exact"/>
        <w:rPr>
          <w:rFonts w:ascii="Times New Roman" w:cs="Times New Roman" w:eastAsia="Times New Roman" w:hAnsi="Times New Roman"/>
          <w:sz w:val="14"/>
          <w:szCs w:val="14"/>
          <w:color w:val="auto"/>
        </w:rPr>
      </w:pPr>
    </w:p>
    <w:p>
      <w:pPr>
        <w:ind w:left="82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-238760</wp:posOffset>
            </wp:positionV>
            <wp:extent cx="3391535" cy="144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391535" cy="144780"/>
                    </a:xfrm>
                    <a:prstGeom prst="rect">
                      <a:avLst/>
                    </a:prstGeom>
                    <a:noFill/>
                  </pic:spPr>
                </pic:pic>
              </a:graphicData>
            </a:graphic>
          </wp:anchor>
        </w:drawing>
      </w:r>
    </w:p>
    <w:p>
      <w:pPr>
        <w:spacing w:after="0" w:line="59" w:lineRule="exact"/>
        <w:rPr>
          <w:sz w:val="20"/>
          <w:szCs w:val="20"/>
          <w:color w:val="auto"/>
        </w:rPr>
      </w:pPr>
    </w:p>
    <w:p>
      <w:pPr>
        <w:ind w:left="869" w:hanging="869"/>
        <w:spacing w:after="0"/>
        <w:tabs>
          <w:tab w:leader="none" w:pos="86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-101600</wp:posOffset>
            </wp:positionV>
            <wp:extent cx="3391535"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91535" cy="144780"/>
                    </a:xfrm>
                    <a:prstGeom prst="rect">
                      <a:avLst/>
                    </a:prstGeom>
                    <a:noFill/>
                  </pic:spPr>
                </pic:pic>
              </a:graphicData>
            </a:graphic>
          </wp:anchor>
        </w:drawing>
      </w:r>
    </w:p>
    <w:p>
      <w:pPr>
        <w:spacing w:after="0" w:line="56" w:lineRule="exact"/>
        <w:rPr>
          <w:sz w:val="20"/>
          <w:szCs w:val="20"/>
          <w:color w:val="auto"/>
        </w:rPr>
      </w:pPr>
    </w:p>
    <w:p>
      <w:pPr>
        <w:sectPr>
          <w:pgSz w:w="11900" w:h="16840" w:orient="portrait"/>
          <w:cols w:equalWidth="0" w:num="2">
            <w:col w:w="3291" w:space="720"/>
            <w:col w:w="5389"/>
          </w:cols>
          <w:pgMar w:left="1060" w:top="547" w:right="1440"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Rent expense was approximately $61.3 million, $58.5 million and $56.3 million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-101600</wp:posOffset>
            </wp:positionV>
            <wp:extent cx="8458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ind w:right="1460"/>
        <w:spacing w:after="0" w:line="203" w:lineRule="auto"/>
        <w:rPr>
          <w:sz w:val="20"/>
          <w:szCs w:val="20"/>
          <w:color w:val="auto"/>
        </w:rPr>
      </w:pPr>
      <w:r>
        <w:rPr>
          <w:rFonts w:ascii="Times New Roman" w:cs="Times New Roman" w:eastAsia="Times New Roman" w:hAnsi="Times New Roman"/>
          <w:sz w:val="16"/>
          <w:szCs w:val="16"/>
          <w:color w:val="auto"/>
        </w:rPr>
        <w:t>2024, 2023 and 2022, respectively, and is included in general, administrative and other expenses in the consolidated statements of operations.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4" w:lineRule="auto"/>
        <w:rPr>
          <w:sz w:val="20"/>
          <w:szCs w:val="20"/>
          <w:color w:val="auto"/>
        </w:rPr>
      </w:pPr>
      <w:r>
        <w:rPr>
          <w:rFonts w:ascii="Times New Roman" w:cs="Times New Roman" w:eastAsia="Times New Roman" w:hAnsi="Times New Roman"/>
          <w:sz w:val="16"/>
          <w:szCs w:val="16"/>
          <w:color w:val="auto"/>
        </w:rPr>
        <w:t>In the ordinary course of business, the Company is a party to litigation, investigations, inquiries, employment-related</w:t>
      </w:r>
    </w:p>
    <w:p>
      <w:pPr>
        <w:ind w:right="1420"/>
        <w:spacing w:after="0" w:line="232" w:lineRule="auto"/>
        <w:rPr>
          <w:sz w:val="20"/>
          <w:szCs w:val="20"/>
          <w:color w:val="auto"/>
        </w:rPr>
      </w:pPr>
      <w:r>
        <w:rPr>
          <w:rFonts w:ascii="Times New Roman" w:cs="Times New Roman" w:eastAsia="Times New Roman" w:hAnsi="Times New Roman"/>
          <w:sz w:val="14"/>
          <w:szCs w:val="14"/>
          <w:color w:val="auto"/>
        </w:rPr>
        <w:t>matters, disputes, and other potential claims. Certain of these matters are described below. The Company is not currently able to estimate the reasonably possible amount of loss or range of loss, in excess of amounts accrued, for the matters that have not been resolved. The Company does not believe it is probable that the outcome of any existing litigation, investigations, disputes, or other potential claims will materially affect the Company or these financial statements in excess of amounts accrued.</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The Authentix Matter</w:t>
      </w:r>
    </w:p>
    <w:p>
      <w:pPr>
        <w:spacing w:after="0" w:line="204" w:lineRule="auto"/>
        <w:rPr>
          <w:sz w:val="20"/>
          <w:szCs w:val="20"/>
          <w:color w:val="auto"/>
        </w:rPr>
      </w:pPr>
      <w:r>
        <w:rPr>
          <w:rFonts w:ascii="Times New Roman" w:cs="Times New Roman" w:eastAsia="Times New Roman" w:hAnsi="Times New Roman"/>
          <w:sz w:val="16"/>
          <w:szCs w:val="16"/>
          <w:color w:val="auto"/>
        </w:rPr>
        <w:t>Authentix, Inc. (“Authentix”) was a majority-owned portfolio company in one of the Company’s investment funds,</w:t>
      </w:r>
    </w:p>
    <w:p>
      <w:pPr>
        <w:spacing w:after="0" w:line="203" w:lineRule="auto"/>
        <w:rPr>
          <w:sz w:val="20"/>
          <w:szCs w:val="20"/>
          <w:color w:val="auto"/>
        </w:rPr>
      </w:pPr>
      <w:r>
        <w:rPr>
          <w:rFonts w:ascii="Times New Roman" w:cs="Times New Roman" w:eastAsia="Times New Roman" w:hAnsi="Times New Roman"/>
          <w:sz w:val="16"/>
          <w:szCs w:val="16"/>
          <w:color w:val="auto"/>
        </w:rPr>
        <w:t>Carlyle U.S. Growth Fund III, L.P. (“CGF III”). When Authentix was owned by CGF III, two of the Company’s employees</w:t>
      </w:r>
    </w:p>
    <w:p>
      <w:pPr>
        <w:spacing w:after="0" w:line="204" w:lineRule="auto"/>
        <w:rPr>
          <w:sz w:val="20"/>
          <w:szCs w:val="20"/>
          <w:color w:val="auto"/>
        </w:rPr>
      </w:pPr>
      <w:r>
        <w:rPr>
          <w:rFonts w:ascii="Times New Roman" w:cs="Times New Roman" w:eastAsia="Times New Roman" w:hAnsi="Times New Roman"/>
          <w:sz w:val="16"/>
          <w:szCs w:val="16"/>
          <w:color w:val="auto"/>
        </w:rPr>
        <w:t>served on Authentix’s board of directors. After a lengthy sale process, Authentix was sold for an aggregate sale price of</w:t>
      </w:r>
    </w:p>
    <w:p>
      <w:pPr>
        <w:spacing w:after="0" w:line="203" w:lineRule="auto"/>
        <w:rPr>
          <w:sz w:val="20"/>
          <w:szCs w:val="20"/>
          <w:color w:val="auto"/>
        </w:rPr>
      </w:pPr>
      <w:r>
        <w:rPr>
          <w:rFonts w:ascii="Times New Roman" w:cs="Times New Roman" w:eastAsia="Times New Roman" w:hAnsi="Times New Roman"/>
          <w:sz w:val="16"/>
          <w:szCs w:val="16"/>
          <w:color w:val="auto"/>
        </w:rPr>
        <w:t>$87.5 million. On August 7, 2020, certain of the former minority shareholders in Authentix filed suit in Delaware Chancery</w:t>
      </w:r>
    </w:p>
    <w:p>
      <w:pPr>
        <w:spacing w:after="0" w:line="233" w:lineRule="auto"/>
        <w:rPr>
          <w:sz w:val="20"/>
          <w:szCs w:val="20"/>
          <w:color w:val="auto"/>
        </w:rPr>
      </w:pPr>
      <w:r>
        <w:rPr>
          <w:rFonts w:ascii="Times New Roman" w:cs="Times New Roman" w:eastAsia="Times New Roman" w:hAnsi="Times New Roman"/>
          <w:sz w:val="14"/>
          <w:szCs w:val="14"/>
          <w:color w:val="auto"/>
        </w:rPr>
        <w:t>Court, alleging that the Authentix board of directors, CGF III, and the Company breached various fiduciary duties by agreeing</w:t>
      </w:r>
    </w:p>
    <w:p>
      <w:pPr>
        <w:spacing w:after="0" w:line="233" w:lineRule="auto"/>
        <w:rPr>
          <w:sz w:val="20"/>
          <w:szCs w:val="20"/>
          <w:color w:val="auto"/>
        </w:rPr>
      </w:pPr>
      <w:r>
        <w:rPr>
          <w:rFonts w:ascii="Times New Roman" w:cs="Times New Roman" w:eastAsia="Times New Roman" w:hAnsi="Times New Roman"/>
          <w:sz w:val="14"/>
          <w:szCs w:val="14"/>
          <w:color w:val="auto"/>
        </w:rPr>
        <w:t>to a sale of Authentix at an inopportune time and at a price that was too low. A trial before the Delaware Court of Chancery was</w:t>
      </w:r>
    </w:p>
    <w:p>
      <w:pPr>
        <w:spacing w:after="0" w:line="233" w:lineRule="auto"/>
        <w:rPr>
          <w:sz w:val="20"/>
          <w:szCs w:val="20"/>
          <w:color w:val="auto"/>
        </w:rPr>
      </w:pPr>
      <w:r>
        <w:rPr>
          <w:rFonts w:ascii="Times New Roman" w:cs="Times New Roman" w:eastAsia="Times New Roman" w:hAnsi="Times New Roman"/>
          <w:sz w:val="14"/>
          <w:szCs w:val="14"/>
          <w:color w:val="auto"/>
        </w:rPr>
        <w:t>completed in early February 2024, and a decision was rendered in favor of the Company and all other defendants on all claims</w:t>
      </w:r>
    </w:p>
    <w:p>
      <w:pPr>
        <w:spacing w:after="0" w:line="203" w:lineRule="auto"/>
        <w:rPr>
          <w:sz w:val="20"/>
          <w:szCs w:val="20"/>
          <w:color w:val="auto"/>
        </w:rPr>
      </w:pPr>
      <w:r>
        <w:rPr>
          <w:rFonts w:ascii="Times New Roman" w:cs="Times New Roman" w:eastAsia="Times New Roman" w:hAnsi="Times New Roman"/>
          <w:sz w:val="16"/>
          <w:szCs w:val="16"/>
          <w:color w:val="auto"/>
        </w:rPr>
        <w:t>on January 8, 2025. At this time, it is unclear whether the plaintiffs will appeal the decision.</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The Tax Receivable Agreement Matter</w:t>
      </w:r>
    </w:p>
    <w:p>
      <w:pPr>
        <w:spacing w:after="0" w:line="203" w:lineRule="auto"/>
        <w:rPr>
          <w:sz w:val="20"/>
          <w:szCs w:val="20"/>
          <w:color w:val="auto"/>
        </w:rPr>
      </w:pPr>
      <w:r>
        <w:rPr>
          <w:rFonts w:ascii="Times New Roman" w:cs="Times New Roman" w:eastAsia="Times New Roman" w:hAnsi="Times New Roman"/>
          <w:sz w:val="16"/>
          <w:szCs w:val="16"/>
          <w:color w:val="auto"/>
        </w:rPr>
        <w:t>The Company came into existence on January 1, 2020, when its predecessor, The Carlyle Group, L.P. (the “PTP”),</w:t>
      </w:r>
    </w:p>
    <w:p>
      <w:pPr>
        <w:spacing w:after="0" w:line="1" w:lineRule="exact"/>
        <w:rPr>
          <w:sz w:val="20"/>
          <w:szCs w:val="20"/>
          <w:color w:val="auto"/>
        </w:rPr>
      </w:pPr>
    </w:p>
    <w:p>
      <w:pPr>
        <w:ind w:right="1420"/>
        <w:spacing w:after="0"/>
        <w:rPr>
          <w:sz w:val="20"/>
          <w:szCs w:val="20"/>
          <w:color w:val="auto"/>
        </w:rPr>
      </w:pPr>
      <w:r>
        <w:rPr>
          <w:rFonts w:ascii="Times New Roman" w:cs="Times New Roman" w:eastAsia="Times New Roman" w:hAnsi="Times New Roman"/>
          <w:sz w:val="14"/>
          <w:szCs w:val="14"/>
          <w:color w:val="auto"/>
        </w:rPr>
        <w:t>converted from a partnership into a corporation (the “Conversion”). On July 29, 2022, an alleged stockholder of the Company, the City of Pittsburgh Comprehensive Municipal Trust Fund (the “Plaintiff”), filed suit in the Delaware Court of Chancery, alleging a direct claim against the Company for breach of its certificate of incorporation and a derivative claim on behalf of the Company against certain current and former officers and directors of the Company. Plaintiff challenges the receipt, by certain officers of the PTP and certain directors of the general partner of the PTP, of a right to cash payments associated with the elimination of a tax receivable agreement in connection with the Conversion. Plaintiff is seeking monetary damages, restitution, and an injunction preventing the Company from making any future cash payments for the elimination of the tax receivable agreement in connection with the Conversion. By virtue of the derivative nature of the primary claims (i.e., that the claims are aimed primarily at certain officers and directors), it is unlikely that the Company itself will pay material damage awards based on the Plaintiff’s claims, although the Company is expected to incur legal defense fees to the extent not covered by insurance. The Delaware Court issued a ruling on the defendant’s motion to dismiss on April 24, 2024, dismissing some of the Plaintiff’s claims but allowing most of the claims to proceed to discovery and possibly to trial. The Company intends to contest the direct claims vigorously, and the officer and director defendants intend to continue contesting the derivative claims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SEC Investigation</w:t>
      </w:r>
    </w:p>
    <w:p>
      <w:pPr>
        <w:ind w:right="1520"/>
        <w:spacing w:after="0" w:line="203" w:lineRule="auto"/>
        <w:rPr>
          <w:sz w:val="20"/>
          <w:szCs w:val="20"/>
          <w:color w:val="auto"/>
        </w:rPr>
      </w:pPr>
      <w:r>
        <w:rPr>
          <w:rFonts w:ascii="Times New Roman" w:cs="Times New Roman" w:eastAsia="Times New Roman" w:hAnsi="Times New Roman"/>
          <w:sz w:val="16"/>
          <w:szCs w:val="16"/>
          <w:color w:val="auto"/>
        </w:rPr>
        <w:t>As part of a sweep investigation of financial services and investment advisory firms, in October 2022, the Company received from the SEC a request for information related to the preservation of certain types of electronic business communications (e.g., text messages and messages on WhatsApp, WeChat, and similar applications) as part of the Company’s books and records. On January 13, 2025, the SEC announced a settlement with several of the firms that were part of the sweep investigation, including the Company. Under the settlement, the Company paid a civil penalty of $8.5 million in January 2025 and agreed to implement certain limited remedial measures, for failure to maintain and preserve such electronic communications in its books and records under the Advisers Act. The Company accrued for the civil penalty during the year ended December 31, 2024.</w:t>
      </w:r>
    </w:p>
    <w:p>
      <w:pPr>
        <w:spacing w:after="0" w:line="207" w:lineRule="auto"/>
        <w:rPr>
          <w:sz w:val="20"/>
          <w:szCs w:val="20"/>
          <w:color w:val="auto"/>
        </w:rPr>
      </w:pPr>
      <w:r>
        <w:rPr>
          <w:rFonts w:ascii="Times New Roman" w:cs="Times New Roman" w:eastAsia="Times New Roman" w:hAnsi="Times New Roman"/>
          <w:sz w:val="16"/>
          <w:szCs w:val="16"/>
          <w:color w:val="auto"/>
        </w:rPr>
        <w:t>The Company currently is and expects to continue to be, from time to time, subject to examinations, formal and</w:t>
      </w:r>
    </w:p>
    <w:p>
      <w:pPr>
        <w:spacing w:after="0" w:line="1" w:lineRule="exact"/>
        <w:rPr>
          <w:sz w:val="20"/>
          <w:szCs w:val="20"/>
          <w:color w:val="auto"/>
        </w:rPr>
      </w:pPr>
    </w:p>
    <w:p>
      <w:pPr>
        <w:ind w:right="1400"/>
        <w:spacing w:after="0" w:line="232" w:lineRule="auto"/>
        <w:rPr>
          <w:sz w:val="20"/>
          <w:szCs w:val="20"/>
          <w:color w:val="auto"/>
        </w:rPr>
      </w:pPr>
      <w:r>
        <w:rPr>
          <w:rFonts w:ascii="Times New Roman" w:cs="Times New Roman" w:eastAsia="Times New Roman" w:hAnsi="Times New Roman"/>
          <w:sz w:val="14"/>
          <w:szCs w:val="14"/>
          <w:color w:val="auto"/>
        </w:rPr>
        <w:t>informal inquiries, and investigations by various U.S. and non-U.S. governmental and regulatory agencies, including but not limited to, the SEC, Department of Justice, state attorneys general, FINRA, National Futures Association, and the U.K. Financial Conduct Authority. The Company routinely cooperates with such examinations, inquiries and investigations, and they may result in the commencement of civil, criminal, or administrative or other proceedings against the Company or its personnel. It is not possible to predict the ultimate outcome of all pending investigations and legal proceedings and employment-</w:t>
      </w:r>
    </w:p>
    <w:p>
      <w:pPr>
        <w:spacing w:after="0" w:line="2" w:lineRule="exact"/>
        <w:rPr>
          <w:sz w:val="20"/>
          <w:szCs w:val="20"/>
          <w:color w:val="auto"/>
        </w:rPr>
      </w:pPr>
    </w:p>
    <w:p>
      <w:pPr>
        <w:jc w:val="both"/>
        <w:ind w:right="1500"/>
        <w:spacing w:after="0" w:line="250" w:lineRule="auto"/>
        <w:rPr>
          <w:sz w:val="20"/>
          <w:szCs w:val="20"/>
          <w:color w:val="auto"/>
        </w:rPr>
      </w:pPr>
      <w:r>
        <w:rPr>
          <w:rFonts w:ascii="Times New Roman" w:cs="Times New Roman" w:eastAsia="Times New Roman" w:hAnsi="Times New Roman"/>
          <w:sz w:val="14"/>
          <w:szCs w:val="14"/>
          <w:color w:val="auto"/>
        </w:rPr>
        <w:t>related matters, and some of the matters discussed above involve claims for potentially large and/or indeterminate amounts of damages. Based on information known by management, management does not believe that as of the date of this filing the final resolutions of the matters above will have a material effect upon the Company’s consolidated financial statements. However,</w:t>
      </w:r>
    </w:p>
    <w:p>
      <w:pPr>
        <w:sectPr>
          <w:pgSz w:w="11900" w:h="16840" w:orient="portrait"/>
          <w:cols w:equalWidth="0" w:num="1">
            <w:col w:w="9400"/>
          </w:cols>
          <w:pgMar w:left="1060" w:top="547" w:right="1440" w:bottom="0" w:gutter="0" w:footer="0" w:header="0"/>
          <w:type w:val="continuous"/>
        </w:sectPr>
      </w:pPr>
    </w:p>
    <w:bookmarkStart w:id="164" w:name="page165"/>
    <w:bookmarkEnd w:id="164"/>
    <w:p>
      <w:pPr>
        <w:ind w:right="1640"/>
        <w:spacing w:after="0" w:line="211" w:lineRule="auto"/>
        <w:rPr>
          <w:sz w:val="20"/>
          <w:szCs w:val="20"/>
          <w:color w:val="auto"/>
        </w:rPr>
      </w:pPr>
      <w:r>
        <w:rPr>
          <w:rFonts w:ascii="Times New Roman" w:cs="Times New Roman" w:eastAsia="Times New Roman" w:hAnsi="Times New Roman"/>
          <w:sz w:val="16"/>
          <w:szCs w:val="16"/>
          <w:color w:val="auto"/>
        </w:rPr>
        <w:t>given the potentially large and/or indeterminate amounts of damages sought in certain of these matters and the inherent unpredictability of investigations and litigations, it is possible that an adverse outcome in certain matters could, from time to time, have a material effect on the Company’s financial results in any particular period.</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The Company accrues an estimated loss contingency liability when it is probable that such a liability has been incurred and the amount of the loss can be reasonably estimated. As of December 31, 2024, the Company had recorded liabilities aggregating to approximately $44 million for litigation-related contingencies, regulatory examinations and inquiries, and other matters. The Company evaluates its outstanding legal and regulatory proceedings and other matters each quarter to assess its loss contingency accruals, and makes adjustments in such accruals, upward or downward, as appropriate, based on management’s best judgment after consultation with counsel. There is no assurance that the Company’s accruals for loss contingencies will not need to be adjusted in the future or that, in light of the uncertainties involved in such matters, the ultimate resolution of these matters will not significantly exceed the accruals that the Company has recorded.</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Indemnifications</w:t>
      </w:r>
    </w:p>
    <w:p>
      <w:pPr>
        <w:spacing w:after="0" w:line="1" w:lineRule="exact"/>
        <w:rPr>
          <w:sz w:val="20"/>
          <w:szCs w:val="20"/>
          <w:color w:val="auto"/>
        </w:rPr>
      </w:pPr>
    </w:p>
    <w:p>
      <w:pPr>
        <w:ind w:right="2000"/>
        <w:spacing w:after="0" w:line="203" w:lineRule="auto"/>
        <w:rPr>
          <w:sz w:val="20"/>
          <w:szCs w:val="20"/>
          <w:color w:val="auto"/>
        </w:rPr>
      </w:pPr>
      <w:r>
        <w:rPr>
          <w:rFonts w:ascii="Times New Roman" w:cs="Times New Roman" w:eastAsia="Times New Roman" w:hAnsi="Times New Roman"/>
          <w:sz w:val="16"/>
          <w:szCs w:val="16"/>
          <w:color w:val="auto"/>
        </w:rPr>
        <w:t>In the normal course of business, the Company and its subsidiaries enter into contracts that contain a variety of representations and warranties and provide general indemnifications. The Company’s maximum exposure under these arrangements is unknown as this would involve future claims that may be made against the Company that have not yet occurred. However, based on experience, the Company believes the risk of material loss to be remote.</w:t>
      </w:r>
    </w:p>
    <w:p>
      <w:pPr>
        <w:spacing w:after="0" w:line="205" w:lineRule="auto"/>
        <w:rPr>
          <w:sz w:val="20"/>
          <w:szCs w:val="20"/>
          <w:color w:val="auto"/>
        </w:rPr>
      </w:pPr>
      <w:r>
        <w:rPr>
          <w:rFonts w:ascii="Times New Roman" w:cs="Times New Roman" w:eastAsia="Times New Roman" w:hAnsi="Times New Roman"/>
          <w:sz w:val="16"/>
          <w:szCs w:val="16"/>
          <w:color w:val="auto"/>
        </w:rPr>
        <w:t>In connection with the sale of the Company’s interest in its local Brazilian management entity in August 2021, the</w:t>
      </w:r>
    </w:p>
    <w:p>
      <w:pPr>
        <w:spacing w:after="0" w:line="1"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Company provided a guarantee to the acquiring company of up to BRL 100.0 million ($16.2 million as of December 31, 2024) for liabilities arising from tax- related indemnifications. This guarantee, which will expire in August 2027, would only come into effect after all alternative remedies have been exhausted. The Company believes the likelihood of any material funding under this guarantee to be remote.</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 w:lineRule="exact"/>
        <w:rPr>
          <w:sz w:val="20"/>
          <w:szCs w:val="20"/>
          <w:color w:val="auto"/>
        </w:rPr>
      </w:pPr>
    </w:p>
    <w:p>
      <w:pPr>
        <w:ind w:right="1400"/>
        <w:spacing w:after="0" w:line="208" w:lineRule="auto"/>
        <w:rPr>
          <w:sz w:val="20"/>
          <w:szCs w:val="20"/>
          <w:color w:val="auto"/>
        </w:rPr>
      </w:pPr>
      <w:r>
        <w:rPr>
          <w:rFonts w:ascii="Times New Roman" w:cs="Times New Roman" w:eastAsia="Times New Roman" w:hAnsi="Times New Roman"/>
          <w:sz w:val="16"/>
          <w:szCs w:val="16"/>
          <w:color w:val="auto"/>
        </w:rPr>
        <w:t>Carlyle’s funds seek investment opportunities that offer the possibility of attaining substantial capital appreciation. Certain events particular to each industry in which the underlying investees conduct their operations, as well as general economic, political, regulatory, and public health conditions, may have a significant negative impact on the Company’s investments and profitability. The funds managed by the Company may also experience a slowdown in the deployment of capital, which could adversely affect the Company’s ability to raise capital for new or successor funds and could also impact the management fees the Company earns on its carry funds and managed accounts, and/or result in the impairment of intangible assets and/or goodwill the case of the Company’s acquired businesses. Such events are beyond the Company’s control, and the likelihood that they may occur and the effect on the Company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Furthermore, certain of the funds’ investments are made in private companies and there are generally no public</w:t>
      </w:r>
    </w:p>
    <w:p>
      <w:pPr>
        <w:ind w:right="1560"/>
        <w:spacing w:after="0" w:line="203" w:lineRule="auto"/>
        <w:rPr>
          <w:sz w:val="20"/>
          <w:szCs w:val="20"/>
          <w:color w:val="auto"/>
        </w:rPr>
      </w:pPr>
      <w:r>
        <w:rPr>
          <w:rFonts w:ascii="Times New Roman" w:cs="Times New Roman" w:eastAsia="Times New Roman" w:hAnsi="Times New Roman"/>
          <w:sz w:val="16"/>
          <w:szCs w:val="16"/>
          <w:color w:val="auto"/>
        </w:rPr>
        <w:t>markets for the underlying securities at the current time. The funds’ ability to liquidate their publicly-traded investments are often subject to limitations, including discounts that may be required to be taken on quoted prices due to the number of shares being sold. The funds’ ability to liquidate their investments and realize value is subject to significant limitations and uncertainties, including among others currency fluctuations and natural disasters.</w:t>
      </w:r>
    </w:p>
    <w:p>
      <w:pPr>
        <w:spacing w:after="0" w:line="205" w:lineRule="auto"/>
        <w:rPr>
          <w:sz w:val="20"/>
          <w:szCs w:val="20"/>
          <w:color w:val="auto"/>
        </w:rPr>
      </w:pPr>
      <w:r>
        <w:rPr>
          <w:rFonts w:ascii="Times New Roman" w:cs="Times New Roman" w:eastAsia="Times New Roman" w:hAnsi="Times New Roman"/>
          <w:sz w:val="16"/>
          <w:szCs w:val="16"/>
          <w:color w:val="auto"/>
        </w:rPr>
        <w:t>The Company and the funds make investments outside of the United States. Investments outside the United States may</w:t>
      </w:r>
    </w:p>
    <w:p>
      <w:pPr>
        <w:spacing w:after="0" w:line="1" w:lineRule="exact"/>
        <w:rPr>
          <w:sz w:val="20"/>
          <w:szCs w:val="20"/>
          <w:color w:val="auto"/>
        </w:rPr>
      </w:pPr>
    </w:p>
    <w:p>
      <w:pPr>
        <w:ind w:right="1420"/>
        <w:spacing w:after="0" w:line="203" w:lineRule="auto"/>
        <w:rPr>
          <w:sz w:val="20"/>
          <w:szCs w:val="20"/>
          <w:color w:val="auto"/>
        </w:rPr>
      </w:pPr>
      <w:r>
        <w:rPr>
          <w:rFonts w:ascii="Times New Roman" w:cs="Times New Roman" w:eastAsia="Times New Roman" w:hAnsi="Times New Roman"/>
          <w:sz w:val="16"/>
          <w:szCs w:val="16"/>
          <w:color w:val="auto"/>
        </w:rPr>
        <w:t>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Company or an unrelated fund or portfolio company) . Non -U.S. investments are subject to the same risks associated with the Company’s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3" w:lineRule="exact"/>
        <w:rPr>
          <w:sz w:val="20"/>
          <w:szCs w:val="20"/>
          <w:color w:val="auto"/>
        </w:rPr>
      </w:pPr>
    </w:p>
    <w:p>
      <w:pPr>
        <w:ind w:right="2500"/>
        <w:spacing w:after="0" w:line="203" w:lineRule="auto"/>
        <w:rPr>
          <w:sz w:val="20"/>
          <w:szCs w:val="20"/>
          <w:color w:val="auto"/>
        </w:rPr>
      </w:pPr>
      <w:r>
        <w:rPr>
          <w:rFonts w:ascii="Times New Roman" w:cs="Times New Roman" w:eastAsia="Times New Roman" w:hAnsi="Times New Roman"/>
          <w:sz w:val="16"/>
          <w:szCs w:val="16"/>
          <w:color w:val="auto"/>
        </w:rPr>
        <w:t>Furthermore, Carlyle is exposed to economic risk concentrations related to certain large investments as well as concentrations of investments in certain industries and geographies.</w:t>
      </w:r>
    </w:p>
    <w:p>
      <w:pPr>
        <w:spacing w:after="0" w:line="1" w:lineRule="exact"/>
        <w:rPr>
          <w:sz w:val="20"/>
          <w:szCs w:val="20"/>
          <w:color w:val="auto"/>
        </w:rPr>
      </w:pPr>
    </w:p>
    <w:p>
      <w:pPr>
        <w:ind w:right="1560"/>
        <w:spacing w:after="0" w:line="203" w:lineRule="auto"/>
        <w:rPr>
          <w:sz w:val="20"/>
          <w:szCs w:val="20"/>
          <w:color w:val="auto"/>
        </w:rPr>
      </w:pPr>
      <w:r>
        <w:rPr>
          <w:rFonts w:ascii="Times New Roman" w:cs="Times New Roman" w:eastAsia="Times New Roman" w:hAnsi="Times New Roman"/>
          <w:sz w:val="16"/>
          <w:szCs w:val="16"/>
          <w:color w:val="auto"/>
        </w:rPr>
        <w:t>Additionally, the Company encounters credit risk. Credit risk is the risk of default by a counterparty in the Company’s investments in debt securities, loans, leases and derivatives that result from a borrower’s, lessee’s or derivative counterparty’s inability or unwillingness to make required or expected payments. The Company is subject to credit risk should a financial institution be unable to fulfill its obligations.</w:t>
      </w:r>
    </w:p>
    <w:p>
      <w:pPr>
        <w:spacing w:after="0" w:line="2" w:lineRule="exact"/>
        <w:rPr>
          <w:sz w:val="20"/>
          <w:szCs w:val="20"/>
          <w:color w:val="auto"/>
        </w:rPr>
      </w:pPr>
    </w:p>
    <w:p>
      <w:pPr>
        <w:ind w:right="1500"/>
        <w:spacing w:after="0" w:line="203" w:lineRule="auto"/>
        <w:rPr>
          <w:sz w:val="20"/>
          <w:szCs w:val="20"/>
          <w:color w:val="auto"/>
        </w:rPr>
      </w:pPr>
      <w:r>
        <w:rPr>
          <w:rFonts w:ascii="Times New Roman" w:cs="Times New Roman" w:eastAsia="Times New Roman" w:hAnsi="Times New Roman"/>
          <w:sz w:val="16"/>
          <w:szCs w:val="16"/>
          <w:color w:val="auto"/>
        </w:rPr>
        <w:t>The Company considers cash, cash equivalents, securities, receivables, principal equity method investments, accounts payable, accrued expenses, other liabilities, loans, senior notes, assets and liabilities of Consolidated Funds and contingent and other consideration for acquisitions to be its financial instruments. Except for the senior notes, subordinated notes and compensatory contingent and other consideration for acquisitions, the carrying amounts reported in the consolidated balance sheets for these financial instruments equal or closely approximate their fair values. The fair value of the senior and subordinated notes is disclosed in Note 6, Borrowings.</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9. Related Party Transactions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Due from Affiliates and Other Receivables, Net</w:t>
      </w:r>
    </w:p>
    <w:p>
      <w:pPr>
        <w:spacing w:after="0"/>
        <w:rPr>
          <w:sz w:val="20"/>
          <w:szCs w:val="20"/>
          <w:color w:val="auto"/>
        </w:rPr>
      </w:pPr>
      <w:r>
        <w:rPr>
          <w:rFonts w:ascii="Times New Roman" w:cs="Times New Roman" w:eastAsia="Times New Roman" w:hAnsi="Times New Roman"/>
          <w:sz w:val="16"/>
          <w:szCs w:val="16"/>
          <w:color w:val="auto"/>
        </w:rPr>
        <w:t>The Company had the following due from affiliates and other receivables at December 31, 2024 and 2023:</w:t>
      </w:r>
    </w:p>
    <w:p>
      <w:pPr>
        <w:sectPr>
          <w:pgSz w:w="11900" w:h="16840" w:orient="portrait"/>
          <w:cols w:equalWidth="0" w:num="1">
            <w:col w:w="9400"/>
          </w:cols>
          <w:pgMar w:left="1060" w:top="557"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2"/>
        </w:trPr>
        <w:tc>
          <w:tcPr>
            <w:tcW w:w="55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55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55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
        </w:trPr>
        <w:tc>
          <w:tcPr>
            <w:tcW w:w="5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incentive fees</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33.7</w:t>
            </w:r>
          </w:p>
        </w:tc>
        <w:tc>
          <w:tcPr>
            <w:tcW w:w="6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r>
      <w:tr>
        <w:trPr>
          <w:trHeight w:val="190"/>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Unbilled receivable for giveback obligations from current and former employees</w:t>
            </w:r>
          </w:p>
        </w:tc>
        <w:tc>
          <w:tcPr>
            <w:tcW w:w="5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11.5</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r>
      <w:tr>
        <w:trPr>
          <w:trHeight w:val="38"/>
        </w:trPr>
        <w:tc>
          <w:tcPr>
            <w:tcW w:w="5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receivable and accrued interest from affiliates</w:t>
            </w:r>
          </w:p>
        </w:tc>
        <w:tc>
          <w:tcPr>
            <w:tcW w:w="5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46.2</w:t>
            </w: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r>
      <w:tr>
        <w:trPr>
          <w:trHeight w:val="190"/>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 receivable, net</w:t>
            </w:r>
          </w:p>
        </w:tc>
        <w:tc>
          <w:tcPr>
            <w:tcW w:w="5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296.4</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277.8</w:t>
            </w:r>
          </w:p>
        </w:tc>
      </w:tr>
      <w:tr>
        <w:trPr>
          <w:trHeight w:val="38"/>
        </w:trPr>
        <w:tc>
          <w:tcPr>
            <w:tcW w:w="5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Reimbursable expenses and other receivables from unconsolidated funds and affiliates, net</w:t>
            </w:r>
          </w:p>
        </w:tc>
        <w:tc>
          <w:tcPr>
            <w:tcW w:w="5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417.8</w:t>
            </w: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335.2</w:t>
            </w:r>
          </w:p>
        </w:tc>
      </w:tr>
      <w:tr>
        <w:trPr>
          <w:trHeight w:val="18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805.6</w:t>
            </w: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1270</wp:posOffset>
            </wp:positionV>
            <wp:extent cx="171513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Reimbursable expenses and other receivables from certain of the unconsolidated funds and portfolio companies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-101600</wp:posOffset>
            </wp:positionV>
            <wp:extent cx="171513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ind w:right="1580"/>
        <w:spacing w:after="0" w:line="203" w:lineRule="auto"/>
        <w:rPr>
          <w:sz w:val="20"/>
          <w:szCs w:val="20"/>
          <w:color w:val="auto"/>
        </w:rPr>
      </w:pPr>
      <w:r>
        <w:rPr>
          <w:rFonts w:ascii="Times New Roman" w:cs="Times New Roman" w:eastAsia="Times New Roman" w:hAnsi="Times New Roman"/>
          <w:sz w:val="16"/>
          <w:szCs w:val="16"/>
          <w:color w:val="auto"/>
        </w:rPr>
        <w:t>to advisory fees receivable and expenses paid on behalf of these entities. These costs generally represent costs related to the pursuit of actual or proposed investments, professional fees and expenses associated with the acquisition, holding and disposition of the investments. The affiliates are obligated at the discretion of the Company to reimburse the expenses. Based on management’s determination, the Company accrues and charges interest on amounts due from affiliate accounts at interest rates ranging up to 7.02% as of December 31, 2024. The accrued and charged interest to the affiliates was not significant for any period presented.</w:t>
      </w:r>
    </w:p>
    <w:p>
      <w:pPr>
        <w:spacing w:after="0" w:line="3" w:lineRule="exact"/>
        <w:rPr>
          <w:sz w:val="20"/>
          <w:szCs w:val="20"/>
          <w:color w:val="auto"/>
        </w:rPr>
      </w:pPr>
    </w:p>
    <w:p>
      <w:pPr>
        <w:ind w:right="1600"/>
        <w:spacing w:after="0" w:line="268" w:lineRule="auto"/>
        <w:rPr>
          <w:sz w:val="20"/>
          <w:szCs w:val="20"/>
          <w:color w:val="auto"/>
        </w:rPr>
      </w:pPr>
      <w:r>
        <w:rPr>
          <w:rFonts w:ascii="Times New Roman" w:cs="Times New Roman" w:eastAsia="Times New Roman" w:hAnsi="Times New Roman"/>
          <w:sz w:val="14"/>
          <w:szCs w:val="14"/>
          <w:color w:val="auto"/>
        </w:rPr>
        <w:t>Notes receivable includes loans that the Company has provided to certain unconsolidated funds to meet short -term obligations to purchase investments. Notes receivable as of December 31, 2024 and December 31, 2023 also include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440"/>
        <w:spacing w:after="0" w:line="203" w:lineRule="auto"/>
        <w:rPr>
          <w:sz w:val="20"/>
          <w:szCs w:val="20"/>
          <w:color w:val="auto"/>
        </w:rPr>
      </w:pPr>
      <w:r>
        <w:rPr>
          <w:rFonts w:ascii="Times New Roman" w:cs="Times New Roman" w:eastAsia="Times New Roman" w:hAnsi="Times New Roman"/>
          <w:sz w:val="16"/>
          <w:szCs w:val="16"/>
          <w:color w:val="auto"/>
        </w:rPr>
        <w:t>bearing loans of $ 22.8 million and $25.0 million, respectively, to certain eligible Carlyle employees, which excludes Section 16 officers and other members of senior management, to finance their investments in certain Carlyle sponsored funds. These advances accrue interest at the WSJ Prime Rate minus 1.00% floating with a floor rate of 3.50% (6.50% as of December 31, 2024) and are collateralized by each borrower’s interest in the Carlyle sponsored funds.</w:t>
      </w:r>
    </w:p>
    <w:p>
      <w:pPr>
        <w:spacing w:after="0" w:line="2" w:lineRule="exact"/>
        <w:rPr>
          <w:sz w:val="20"/>
          <w:szCs w:val="20"/>
          <w:color w:val="auto"/>
        </w:rPr>
      </w:pPr>
    </w:p>
    <w:p>
      <w:pPr>
        <w:ind w:right="1560"/>
        <w:spacing w:after="0" w:line="211" w:lineRule="auto"/>
        <w:rPr>
          <w:sz w:val="20"/>
          <w:szCs w:val="20"/>
          <w:color w:val="auto"/>
        </w:rPr>
      </w:pPr>
      <w:r>
        <w:rPr>
          <w:rFonts w:ascii="Times New Roman" w:cs="Times New Roman" w:eastAsia="Times New Roman" w:hAnsi="Times New Roman"/>
          <w:sz w:val="16"/>
          <w:szCs w:val="16"/>
          <w:color w:val="auto"/>
        </w:rPr>
        <w:t>These receivables are assessed regularly for collectability. Management fee receivable amounts determined to be uncollectible are recorded as a reduction in revenue in the consolidated statements of operations. For all other receivables, amounts determined to be uncollectible are charged directly to general, administrative and other expenses in the consolidated statements of operations. A corresponding allowance for doubtful accounts is recorded and such amounts were not significant for any period presented.</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Due to Affiliates</w:t>
      </w:r>
    </w:p>
    <w:p>
      <w:pPr>
        <w:spacing w:after="0" w:line="217" w:lineRule="auto"/>
        <w:rPr>
          <w:sz w:val="20"/>
          <w:szCs w:val="20"/>
          <w:color w:val="auto"/>
        </w:rPr>
      </w:pPr>
      <w:r>
        <w:rPr>
          <w:rFonts w:ascii="Times New Roman" w:cs="Times New Roman" w:eastAsia="Times New Roman" w:hAnsi="Times New Roman"/>
          <w:sz w:val="16"/>
          <w:szCs w:val="16"/>
          <w:color w:val="auto"/>
        </w:rPr>
        <w:t>The Company had the following due to affiliates balances at December 31, 2024 and 2023:</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4"/>
        </w:trPr>
        <w:tc>
          <w:tcPr>
            <w:tcW w:w="54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affiliates of Consolidated Funds</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w:t>
            </w: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r>
      <w:tr>
        <w:trPr>
          <w:trHeight w:val="19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Due to non-consolidated affiliates</w:t>
            </w:r>
          </w:p>
        </w:tc>
        <w:tc>
          <w:tcPr>
            <w:tcW w:w="6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134.1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97.0</w:t>
            </w:r>
          </w:p>
        </w:tc>
      </w:tr>
      <w:tr>
        <w:trPr>
          <w:trHeight w:val="38"/>
        </w:trPr>
        <w:tc>
          <w:tcPr>
            <w:tcW w:w="5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owed under the tax receivable agreement</w:t>
            </w:r>
          </w:p>
        </w:tc>
        <w:tc>
          <w:tcPr>
            <w:tcW w:w="6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77.2</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r>
      <w:tr>
        <w:trPr>
          <w:trHeight w:val="19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Deferred consideration for Carlyle Holdings units</w:t>
            </w:r>
          </w:p>
        </w:tc>
        <w:tc>
          <w:tcPr>
            <w:tcW w:w="6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w:t>
            </w:r>
          </w:p>
        </w:tc>
      </w:tr>
      <w:tr>
        <w:trPr>
          <w:trHeight w:val="38"/>
        </w:trPr>
        <w:tc>
          <w:tcPr>
            <w:tcW w:w="5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w:t>
            </w:r>
          </w:p>
        </w:tc>
      </w:tr>
      <w:tr>
        <w:trPr>
          <w:trHeight w:val="18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241.9</w:t>
            </w:r>
          </w:p>
        </w:tc>
        <w:tc>
          <w:tcPr>
            <w:tcW w:w="60" w:type="dxa"/>
            <w:vAlign w:val="bottom"/>
          </w:tcPr>
          <w:p>
            <w:pPr>
              <w:spacing w:after="0"/>
              <w:rPr>
                <w:sz w:val="15"/>
                <w:szCs w:val="15"/>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1270</wp:posOffset>
            </wp:positionV>
            <wp:extent cx="17151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5" w:lineRule="exact"/>
        <w:rPr>
          <w:sz w:val="20"/>
          <w:szCs w:val="20"/>
          <w:color w:val="auto"/>
        </w:rPr>
      </w:pPr>
    </w:p>
    <w:p>
      <w:pPr>
        <w:ind w:right="2140"/>
        <w:spacing w:after="0" w:line="215" w:lineRule="auto"/>
        <w:rPr>
          <w:sz w:val="20"/>
          <w:szCs w:val="20"/>
          <w:color w:val="auto"/>
        </w:rPr>
      </w:pPr>
      <w:r>
        <w:rPr>
          <w:rFonts w:ascii="Times New Roman" w:cs="Times New Roman" w:eastAsia="Times New Roman" w:hAnsi="Times New Roman"/>
          <w:sz w:val="16"/>
          <w:szCs w:val="16"/>
          <w:color w:val="auto"/>
        </w:rPr>
        <w:t>The Company has recorded obligations for amounts due to certain of its affiliates. The Company periodically offsets expenses it has paid on behalf of its affiliates against these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-200660</wp:posOffset>
            </wp:positionV>
            <wp:extent cx="17151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Deferred consideration for Carlyle Holdings units relates to the remaining obligation to the holders of Carlyle</w:t>
      </w:r>
    </w:p>
    <w:p>
      <w:pPr>
        <w:ind w:right="1480"/>
        <w:spacing w:after="0" w:line="203" w:lineRule="auto"/>
        <w:rPr>
          <w:sz w:val="20"/>
          <w:szCs w:val="20"/>
          <w:color w:val="auto"/>
        </w:rPr>
      </w:pPr>
      <w:r>
        <w:rPr>
          <w:rFonts w:ascii="Times New Roman" w:cs="Times New Roman" w:eastAsia="Times New Roman" w:hAnsi="Times New Roman"/>
          <w:sz w:val="16"/>
          <w:szCs w:val="16"/>
          <w:color w:val="auto"/>
        </w:rPr>
        <w:t>Holdings partnership units who received cash payments aggregating to $1.50 per Carlyle Holdings partnership unit exchanged in connection with the Conversion, payable in five annual installments of $0.30. The fifth and final annual installment payment occurred in January 2024. The obligation was initially recorded at fair value, net of a discount of $11.3 million and measured using Level III inputs in the fair value hierarchy.</w:t>
      </w:r>
    </w:p>
    <w:p>
      <w:pPr>
        <w:spacing w:after="0" w:line="205" w:lineRule="auto"/>
        <w:rPr>
          <w:sz w:val="20"/>
          <w:szCs w:val="20"/>
          <w:color w:val="auto"/>
        </w:rPr>
      </w:pPr>
      <w:r>
        <w:rPr>
          <w:rFonts w:ascii="Times New Roman" w:cs="Times New Roman" w:eastAsia="Times New Roman" w:hAnsi="Times New Roman"/>
          <w:sz w:val="16"/>
          <w:szCs w:val="16"/>
          <w:color w:val="auto"/>
        </w:rPr>
        <w:t>In connection with the Company’s initial public offering, the Company entered into a tax receivable agreement with</w:t>
      </w:r>
    </w:p>
    <w:p>
      <w:pPr>
        <w:spacing w:after="0" w:line="1"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the limited partners of the Carlyle Holdings partnerships whereby certain subsidiaries of the Partnership agreed to pay to the limited partners of the Carlyle Holdings partnerships involved in any exchange transaction 85% of the amount of cash tax savings, if any, in U.S. federal, state and local income tax realized as a result of increases in tax basis resulting from exchanges of Carlyle Holdings Partnership units for common units of The Carlyle Group L.P.</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Other Related Party Transactions</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Entities controlled by our co -founders own aircraft that may be used for the Company’s business in the ordinary course of its operations. The hourly rates that the Company pays for the use of these aircraft are based on current market rates for chartering private aircraft of the same type. The Company incurred $ 1.3 million for the use of these aircraft for the year ended December 31, 2024, all of which was paid directly to the manager of the aircraft and a significant portion of which ultimately was paid to or for the benefit of certain co- founders.</w:t>
      </w:r>
    </w:p>
    <w:p>
      <w:pPr>
        <w:spacing w:after="0" w:line="206" w:lineRule="auto"/>
        <w:rPr>
          <w:sz w:val="20"/>
          <w:szCs w:val="20"/>
          <w:color w:val="auto"/>
        </w:rPr>
      </w:pPr>
      <w:r>
        <w:rPr>
          <w:rFonts w:ascii="Times New Roman" w:cs="Times New Roman" w:eastAsia="Times New Roman" w:hAnsi="Times New Roman"/>
          <w:sz w:val="16"/>
          <w:szCs w:val="16"/>
          <w:color w:val="auto"/>
        </w:rPr>
        <w:t>On May 5, 2020, the Company purchased 2,000,000 of the BDC Preferred Shares from CSL in a private placement at</w:t>
      </w:r>
    </w:p>
    <w:p>
      <w:pPr>
        <w:ind w:right="1420"/>
        <w:spacing w:after="0" w:line="238" w:lineRule="auto"/>
        <w:rPr>
          <w:sz w:val="20"/>
          <w:szCs w:val="20"/>
          <w:color w:val="auto"/>
        </w:rPr>
      </w:pPr>
      <w:r>
        <w:rPr>
          <w:rFonts w:ascii="Times New Roman" w:cs="Times New Roman" w:eastAsia="Times New Roman" w:hAnsi="Times New Roman"/>
          <w:sz w:val="14"/>
          <w:szCs w:val="14"/>
          <w:color w:val="auto"/>
        </w:rPr>
        <w:t>a price of $ 25 per share. Dividends are payable on a quarterly basis in an initial amount equal to 7.0% per annum payable in cash, or, at CSL’s option, 9.0% per annum payable in additional BDC Preferred Shares. The BDC Preferred Shares are convertible at the Company’s option, in whole or in part, into the number of shares of common stock equal to $25 per share plus any accumulated but unpaid dividends divided by an initial conversion price of $ 9.50 per share, subject to certain adjustments. With the approval of its board of directors, CSL has the option to redeem the BDC Preferred Shares, in whole or in part. In such case, the Company has the right to convert its shares, in whole or in part, prior to the date of redemption. The Company recorded dividend income of $3.5 million during each of the years ended December 31, 2024, 2023 and 2022. Dividend income from the BDC Preferred Shares is included in interest and other income in the consolidated statements of</w:t>
      </w:r>
    </w:p>
    <w:p>
      <w:pPr>
        <w:sectPr>
          <w:pgSz w:w="11900" w:h="16840" w:orient="portrait"/>
          <w:cols w:equalWidth="0" w:num="1">
            <w:col w:w="9400"/>
          </w:cols>
          <w:pgMar w:left="1060" w:top="555" w:right="1440" w:bottom="499"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operations. The Company’s investment in the BDC Preferred Shares, which is recorded at fair value, was $53.4 million and</w:t>
      </w:r>
    </w:p>
    <w:p>
      <w:pPr>
        <w:ind w:right="1520"/>
        <w:spacing w:after="0" w:line="203" w:lineRule="auto"/>
        <w:rPr>
          <w:sz w:val="20"/>
          <w:szCs w:val="20"/>
          <w:color w:val="auto"/>
        </w:rPr>
      </w:pPr>
      <w:r>
        <w:rPr>
          <w:rFonts w:ascii="Times New Roman" w:cs="Times New Roman" w:eastAsia="Times New Roman" w:hAnsi="Times New Roman"/>
          <w:sz w:val="16"/>
          <w:szCs w:val="16"/>
          <w:color w:val="auto"/>
        </w:rPr>
        <w:t>$81.7 million as of December 31, 2024 and 2023, respectively, and is included in investments, including accrued performance allocations, in the consolidated balance sheets. In August 2024, to facilitate a proposed merger between CSL and another Carlyle -advised BDC, the Company agreed to exchange its 2,000,000 preferred shares into newly issued common shares of CSL at a price equal to the net asset value per common share on the date of completion of a proposed merger (compared to a current conversion price of $8.87 per share as of December 31, 2024). The merger is subject to CSL stockholder approvals, customary regulatory approvals and other closing conditions. Assuming satisfaction of those conditions, the merger of the BDCs and the exchange of the preferred shares are expected to close in 2025. As a result of the agreement, the Company reversed $45.5 million of previously recorded unrealized investment income in the second half of 2024. The reversal of unrealized investment income was based on the net asset value of $16.80 per common share of CSL as of December 31, 2024. The ultimate amount of unrealized investment income to be reversed will be determined based on the net asset value per common share of CSL as of the closing date of the merger.</w:t>
      </w:r>
    </w:p>
    <w:p>
      <w:pPr>
        <w:spacing w:after="0" w:line="5" w:lineRule="exact"/>
        <w:rPr>
          <w:sz w:val="20"/>
          <w:szCs w:val="20"/>
          <w:color w:val="auto"/>
        </w:rPr>
      </w:pPr>
    </w:p>
    <w:p>
      <w:pPr>
        <w:ind w:right="1680"/>
        <w:spacing w:after="0" w:line="203" w:lineRule="auto"/>
        <w:rPr>
          <w:sz w:val="20"/>
          <w:szCs w:val="20"/>
          <w:color w:val="auto"/>
        </w:rPr>
      </w:pPr>
      <w:r>
        <w:rPr>
          <w:rFonts w:ascii="Times New Roman" w:cs="Times New Roman" w:eastAsia="Times New Roman" w:hAnsi="Times New Roman"/>
          <w:sz w:val="16"/>
          <w:szCs w:val="16"/>
          <w:color w:val="auto"/>
        </w:rPr>
        <w:t>Senior Carlyle professionals and employees are permitted to participate in co-investment entities that invest in Carlyle funds or alongside Carlyle funds. In many cases, participation is limited by law to individuals who qualify under applicable legal requirements. These co-investment entities generally do not require senior Carlyle professionals and employees to pay management or performance allocations, however, Carlyle professionals and employees are required to pay their portion of partnership expenses.</w:t>
      </w:r>
    </w:p>
    <w:p>
      <w:pPr>
        <w:spacing w:after="0" w:line="206" w:lineRule="auto"/>
        <w:rPr>
          <w:sz w:val="20"/>
          <w:szCs w:val="20"/>
          <w:color w:val="auto"/>
        </w:rPr>
      </w:pPr>
      <w:r>
        <w:rPr>
          <w:rFonts w:ascii="Times New Roman" w:cs="Times New Roman" w:eastAsia="Times New Roman" w:hAnsi="Times New Roman"/>
          <w:sz w:val="16"/>
          <w:szCs w:val="16"/>
          <w:color w:val="auto"/>
        </w:rPr>
        <w:t>Carried interest income from certain funds can be distributed to senior Carlyle professionals and employees on a</w:t>
      </w:r>
    </w:p>
    <w:p>
      <w:pPr>
        <w:ind w:right="1520"/>
        <w:spacing w:after="0" w:line="203" w:lineRule="auto"/>
        <w:rPr>
          <w:sz w:val="20"/>
          <w:szCs w:val="20"/>
          <w:color w:val="auto"/>
        </w:rPr>
      </w:pPr>
      <w:r>
        <w:rPr>
          <w:rFonts w:ascii="Times New Roman" w:cs="Times New Roman" w:eastAsia="Times New Roman" w:hAnsi="Times New Roman"/>
          <w:sz w:val="16"/>
          <w:szCs w:val="16"/>
          <w:color w:val="auto"/>
        </w:rPr>
        <w:t>current basis, but is subject to repayment by the subsidiary of the Company that acts as general partner of the fund in the event that certain specified return thresholds are not ultimately achieved. The senior Carlyle professionals and certain other investment professionals have personally guaranteed, subject to certain limitations, the obligation of these subsidiaries in respect of this general partner obligation. Such guarantees are several and not joint and are limited to a particular individual’s distributions received.</w:t>
      </w:r>
    </w:p>
    <w:p>
      <w:pPr>
        <w:spacing w:after="0" w:line="206" w:lineRule="auto"/>
        <w:rPr>
          <w:sz w:val="20"/>
          <w:szCs w:val="20"/>
          <w:color w:val="auto"/>
        </w:rPr>
      </w:pPr>
      <w:r>
        <w:rPr>
          <w:rFonts w:ascii="Times New Roman" w:cs="Times New Roman" w:eastAsia="Times New Roman" w:hAnsi="Times New Roman"/>
          <w:sz w:val="16"/>
          <w:szCs w:val="16"/>
          <w:color w:val="auto"/>
        </w:rPr>
        <w:t>The Company does business with some of its portfolio companies; all such arrangements are on a negotiated basis.</w:t>
      </w:r>
    </w:p>
    <w:p>
      <w:pPr>
        <w:spacing w:after="0" w:line="219" w:lineRule="auto"/>
        <w:rPr>
          <w:sz w:val="20"/>
          <w:szCs w:val="20"/>
          <w:color w:val="auto"/>
        </w:rPr>
      </w:pPr>
      <w:r>
        <w:rPr>
          <w:rFonts w:ascii="Times New Roman" w:cs="Times New Roman" w:eastAsia="Times New Roman" w:hAnsi="Times New Roman"/>
          <w:sz w:val="16"/>
          <w:szCs w:val="16"/>
          <w:color w:val="auto"/>
        </w:rPr>
        <w:t>Substantially all revenue is earned from affiliates of Carlyle.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217" w:lineRule="auto"/>
        <w:rPr>
          <w:sz w:val="20"/>
          <w:szCs w:val="20"/>
          <w:color w:val="auto"/>
        </w:rPr>
      </w:pPr>
      <w:r>
        <w:rPr>
          <w:rFonts w:ascii="Times New Roman" w:cs="Times New Roman" w:eastAsia="Times New Roman" w:hAnsi="Times New Roman"/>
          <w:sz w:val="16"/>
          <w:szCs w:val="16"/>
          <w:color w:val="auto"/>
        </w:rPr>
        <w:t>The income (loss) before provision for income taxes consists of the following:</w:t>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46"/>
        </w:trPr>
        <w:tc>
          <w:tcPr>
            <w:tcW w:w="47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83"/>
        </w:trPr>
        <w:tc>
          <w:tcPr>
            <w:tcW w:w="4700" w:type="dxa"/>
            <w:vAlign w:val="bottom"/>
          </w:tcPr>
          <w:p>
            <w:pPr>
              <w:spacing w:after="0"/>
              <w:rPr>
                <w:sz w:val="15"/>
                <w:szCs w:val="15"/>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r>
      <w:tr>
        <w:trPr>
          <w:trHeight w:val="184"/>
        </w:trPr>
        <w:tc>
          <w:tcPr>
            <w:tcW w:w="4700" w:type="dxa"/>
            <w:vAlign w:val="bottom"/>
          </w:tcPr>
          <w:p>
            <w:pPr>
              <w:spacing w:after="0"/>
              <w:rPr>
                <w:sz w:val="16"/>
                <w:szCs w:val="16"/>
                <w:color w:val="auto"/>
              </w:rPr>
            </w:pP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domestic income (loss)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1,163.5</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w:t>
            </w: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1,402.9</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Foreign income</w:t>
            </w:r>
          </w:p>
        </w:tc>
        <w:tc>
          <w:tcPr>
            <w:tcW w:w="4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230.2</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169.6</w:t>
            </w:r>
          </w:p>
        </w:tc>
      </w:tr>
      <w:tr>
        <w:trPr>
          <w:trHeight w:val="50"/>
        </w:trPr>
        <w:tc>
          <w:tcPr>
            <w:tcW w:w="47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1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(loss) before provision for income taxes</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1,393.7</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40" w:orient="portrait"/>
          <w:cols w:equalWidth="0" w:num="1">
            <w:col w:w="9400"/>
          </w:cols>
          <w:pgMar w:left="1060" w:top="1440"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color w:val="auto"/>
        </w:rPr>
        <w:t>205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8" w:lineRule="auto"/>
        <w:rPr>
          <w:sz w:val="20"/>
          <w:szCs w:val="20"/>
          <w:color w:val="auto"/>
        </w:rPr>
      </w:pPr>
      <w:r>
        <w:rPr>
          <w:rFonts w:ascii="Times New Roman" w:cs="Times New Roman" w:eastAsia="Times New Roman" w:hAnsi="Times New Roman"/>
          <w:sz w:val="16"/>
          <w:szCs w:val="16"/>
          <w:color w:val="auto"/>
        </w:rPr>
        <w:t>The provision for income taxes consists of the following:</w:t>
      </w: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8"/>
        </w:trPr>
        <w:tc>
          <w:tcPr>
            <w:tcW w:w="4700" w:type="dxa"/>
            <w:vAlign w:val="bottom"/>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r>
      <w:tr>
        <w:trPr>
          <w:trHeight w:val="184"/>
        </w:trPr>
        <w:tc>
          <w:tcPr>
            <w:tcW w:w="4700" w:type="dxa"/>
            <w:vAlign w:val="bottom"/>
          </w:tcPr>
          <w:p>
            <w:pPr>
              <w:spacing w:after="0"/>
              <w:rPr>
                <w:sz w:val="16"/>
                <w:szCs w:val="16"/>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Federal income tax</w:t>
            </w: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186.0</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263.6</w:t>
            </w:r>
          </w:p>
        </w:tc>
      </w:tr>
      <w:tr>
        <w:trPr>
          <w:trHeight w:val="50"/>
        </w:trPr>
        <w:tc>
          <w:tcPr>
            <w:tcW w:w="4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2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local income tax</w:t>
            </w:r>
          </w:p>
        </w:tc>
        <w:tc>
          <w:tcPr>
            <w:tcW w:w="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27.0</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30.4</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Foreign income tax</w:t>
            </w:r>
          </w:p>
        </w:tc>
        <w:tc>
          <w:tcPr>
            <w:tcW w:w="5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55.5</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55.6</w:t>
            </w:r>
          </w:p>
        </w:tc>
      </w:tr>
      <w:tr>
        <w:trPr>
          <w:trHeight w:val="50"/>
        </w:trPr>
        <w:tc>
          <w:tcPr>
            <w:tcW w:w="47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0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w:t>
            </w: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214.7</w:t>
            </w: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261.3</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349.6</w:t>
            </w:r>
          </w:p>
        </w:tc>
      </w:tr>
      <w:tr>
        <w:trPr>
          <w:trHeight w:val="18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52"/>
        </w:trPr>
        <w:tc>
          <w:tcPr>
            <w:tcW w:w="4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2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income tax</w:t>
            </w:r>
          </w:p>
        </w:tc>
        <w:tc>
          <w:tcPr>
            <w:tcW w:w="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102.5</w:t>
            </w: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(333.4)</w:t>
            </w:r>
          </w:p>
        </w:tc>
        <w:tc>
          <w:tcPr>
            <w:tcW w:w="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(0.8)</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r>
      <w:tr>
        <w:trPr>
          <w:trHeight w:val="50"/>
        </w:trPr>
        <w:tc>
          <w:tcPr>
            <w:tcW w:w="4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4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income tax</w:t>
            </w:r>
          </w:p>
        </w:tc>
        <w:tc>
          <w:tcPr>
            <w:tcW w:w="5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w:t>
            </w:r>
          </w:p>
        </w:tc>
      </w:tr>
      <w:tr>
        <w:trPr>
          <w:trHeight w:val="18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w:t>
            </w:r>
          </w:p>
        </w:tc>
        <w:tc>
          <w:tcPr>
            <w:tcW w:w="5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87.9</w:t>
            </w:r>
          </w:p>
        </w:tc>
        <w:tc>
          <w:tcPr>
            <w:tcW w:w="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(365.5)</w:t>
            </w: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(61.8)</w:t>
            </w:r>
          </w:p>
        </w:tc>
      </w:tr>
      <w:tr>
        <w:trPr>
          <w:trHeight w:val="38"/>
        </w:trPr>
        <w:tc>
          <w:tcPr>
            <w:tcW w:w="47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provision (benefit) for income taxes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302.6</w:t>
            </w: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287.8</w:t>
            </w:r>
          </w:p>
        </w:tc>
      </w:tr>
    </w:tbl>
    <w:p>
      <w:pPr>
        <w:spacing w:after="0"/>
        <w:rPr>
          <w:sz w:val="20"/>
          <w:szCs w:val="20"/>
          <w:color w:val="auto"/>
        </w:rPr>
      </w:pPr>
      <w:r>
        <w:rPr>
          <w:rFonts w:ascii="Times New Roman" w:cs="Times New Roman" w:eastAsia="Times New Roman" w:hAnsi="Times New Roman"/>
          <w:sz w:val="16"/>
          <w:szCs w:val="16"/>
          <w:color w:val="auto"/>
        </w:rPr>
        <w:t>The following table summarizes the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-108585</wp:posOffset>
            </wp:positionV>
            <wp:extent cx="227901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46"/>
        </w:trPr>
        <w:tc>
          <w:tcPr>
            <w:tcW w:w="47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2"/>
        </w:trPr>
        <w:tc>
          <w:tcPr>
            <w:tcW w:w="470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5"/>
                <w:szCs w:val="15"/>
                <w:color w:val="auto"/>
              </w:rPr>
            </w:pPr>
          </w:p>
        </w:tc>
      </w:tr>
      <w:tr>
        <w:trPr>
          <w:trHeight w:val="38"/>
        </w:trPr>
        <w:tc>
          <w:tcPr>
            <w:tcW w:w="4700" w:type="dxa"/>
            <w:vAlign w:val="bottom"/>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2"/>
        </w:trPr>
        <w:tc>
          <w:tcPr>
            <w:tcW w:w="47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8"/>
        </w:trPr>
        <w:tc>
          <w:tcPr>
            <w:tcW w:w="4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1,393.7</w:t>
            </w: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(600.9)</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1,572.5</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302.6</w:t>
            </w: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(104.2)</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287.8</w:t>
            </w:r>
          </w:p>
        </w:tc>
      </w:tr>
      <w:tr>
        <w:trPr>
          <w:trHeight w:val="22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21.71 %</w:t>
            </w: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17.34 %</w:t>
            </w:r>
          </w:p>
        </w:tc>
        <w:tc>
          <w:tcPr>
            <w:tcW w:w="56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18.30 %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5243830" cy="152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5243830" cy="15240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effective tax rate is impacted by a variety of factors, including, but not limited to, changes in the sources of</w:t>
      </w:r>
    </w:p>
    <w:p>
      <w:pPr>
        <w:ind w:right="1460"/>
        <w:spacing w:after="0" w:line="210" w:lineRule="auto"/>
        <w:rPr>
          <w:sz w:val="20"/>
          <w:szCs w:val="20"/>
          <w:color w:val="auto"/>
        </w:rPr>
      </w:pPr>
      <w:r>
        <w:rPr>
          <w:rFonts w:ascii="Times New Roman" w:cs="Times New Roman" w:eastAsia="Times New Roman" w:hAnsi="Times New Roman"/>
          <w:sz w:val="16"/>
          <w:szCs w:val="16"/>
          <w:color w:val="auto"/>
        </w:rPr>
        <w:t>income or loss during the period and whether such income or loss is taxable to the Company and its subsidiaries. The following table reconciles the effective income tax rate to the U.S. federal statutory tax rate: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4"/>
        </w:trPr>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6"/>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Statutory U.S. federal income tax rate</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21.00 %</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21.00 %</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21.00 %</w:t>
            </w:r>
          </w:p>
        </w:tc>
      </w:tr>
      <w:tr>
        <w:trPr>
          <w:trHeight w:val="197"/>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State and local income taxes</w:t>
            </w: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1.80 %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1.55 %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0.83 %</w:t>
            </w:r>
          </w:p>
        </w:tc>
      </w:tr>
      <w:tr>
        <w:trPr>
          <w:trHeight w:val="41"/>
        </w:trPr>
        <w:tc>
          <w:tcPr>
            <w:tcW w:w="470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Foreign income taxes</w:t>
            </w:r>
          </w:p>
        </w:tc>
        <w:tc>
          <w:tcPr>
            <w:tcW w:w="1140" w:type="dxa"/>
            <w:vAlign w:val="bottom"/>
            <w:shd w:val="clear" w:color="auto" w:fill="CCEEFF"/>
          </w:tcPr>
          <w:p>
            <w:pPr>
              <w:ind w:left="20"/>
              <w:spacing w:after="0" w:line="42" w:lineRule="exact"/>
              <w:rPr>
                <w:sz w:val="20"/>
                <w:szCs w:val="20"/>
                <w:color w:val="auto"/>
              </w:rPr>
            </w:pPr>
            <w:r>
              <w:rPr>
                <w:rFonts w:ascii="Times New Roman" w:cs="Times New Roman" w:eastAsia="Times New Roman" w:hAnsi="Times New Roman"/>
                <w:sz w:val="4"/>
                <w:szCs w:val="4"/>
                <w:b w:val="1"/>
                <w:bCs w:val="1"/>
                <w:color w:val="auto"/>
              </w:rPr>
              <w:t>(0.42)%</w:t>
            </w:r>
          </w:p>
        </w:tc>
        <w:tc>
          <w:tcPr>
            <w:tcW w:w="1200" w:type="dxa"/>
            <w:vAlign w:val="bottom"/>
            <w:gridSpan w:val="2"/>
            <w:shd w:val="clear" w:color="auto" w:fill="CCEEFF"/>
          </w:tcPr>
          <w:p>
            <w:pPr>
              <w:ind w:left="80"/>
              <w:spacing w:after="0" w:line="42" w:lineRule="exact"/>
              <w:rPr>
                <w:sz w:val="20"/>
                <w:szCs w:val="20"/>
                <w:color w:val="auto"/>
              </w:rPr>
            </w:pPr>
            <w:r>
              <w:rPr>
                <w:rFonts w:ascii="Times New Roman" w:cs="Times New Roman" w:eastAsia="Times New Roman" w:hAnsi="Times New Roman"/>
                <w:sz w:val="4"/>
                <w:szCs w:val="4"/>
                <w:color w:val="auto"/>
              </w:rPr>
              <w:t>(1.19)%</w:t>
            </w:r>
          </w:p>
        </w:tc>
        <w:tc>
          <w:tcPr>
            <w:tcW w:w="1200" w:type="dxa"/>
            <w:vAlign w:val="bottom"/>
            <w:gridSpan w:val="2"/>
            <w:shd w:val="clear" w:color="auto" w:fill="CCEEFF"/>
          </w:tcPr>
          <w:p>
            <w:pPr>
              <w:ind w:left="80"/>
              <w:spacing w:after="0" w:line="42" w:lineRule="exact"/>
              <w:rPr>
                <w:sz w:val="20"/>
                <w:szCs w:val="20"/>
                <w:color w:val="auto"/>
              </w:rPr>
            </w:pPr>
            <w:r>
              <w:rPr>
                <w:rFonts w:ascii="Times New Roman" w:cs="Times New Roman" w:eastAsia="Times New Roman" w:hAnsi="Times New Roman"/>
                <w:sz w:val="4"/>
                <w:szCs w:val="4"/>
                <w:color w:val="auto"/>
              </w:rPr>
              <w:t>(1.75)%</w:t>
            </w:r>
          </w:p>
        </w:tc>
      </w:tr>
      <w:tr>
        <w:trPr>
          <w:trHeight w:val="124"/>
        </w:trPr>
        <w:tc>
          <w:tcPr>
            <w:tcW w:w="47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0"/>
                <w:szCs w:val="10"/>
                <w:color w:val="auto"/>
              </w:rPr>
              <w:t>(1)</w:t>
            </w: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70"/>
        </w:trPr>
        <w:tc>
          <w:tcPr>
            <w:tcW w:w="47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132"/>
        </w:trPr>
        <w:tc>
          <w:tcPr>
            <w:tcW w:w="470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Income passed through to common unitholders and non-controlling interest</w:t>
            </w:r>
          </w:p>
        </w:tc>
        <w:tc>
          <w:tcPr>
            <w:tcW w:w="1140" w:type="dxa"/>
            <w:vAlign w:val="bottom"/>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(0.84)%</w:t>
            </w:r>
          </w:p>
        </w:tc>
        <w:tc>
          <w:tcPr>
            <w:tcW w:w="120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4"/>
                <w:szCs w:val="14"/>
                <w:color w:val="auto"/>
              </w:rPr>
              <w:t>3.17 %</w:t>
            </w:r>
          </w:p>
        </w:tc>
        <w:tc>
          <w:tcPr>
            <w:tcW w:w="120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4"/>
                <w:szCs w:val="14"/>
                <w:color w:val="auto"/>
              </w:rPr>
              <w:t>(0.67)%</w:t>
            </w:r>
          </w:p>
        </w:tc>
      </w:tr>
      <w:tr>
        <w:trPr>
          <w:trHeight w:val="46"/>
        </w:trPr>
        <w:tc>
          <w:tcPr>
            <w:tcW w:w="4700" w:type="dxa"/>
            <w:vAlign w:val="bottom"/>
          </w:tcPr>
          <w:p>
            <w:pPr>
              <w:spacing w:after="0" w:line="47" w:lineRule="exact"/>
              <w:rPr>
                <w:sz w:val="20"/>
                <w:szCs w:val="20"/>
                <w:color w:val="auto"/>
              </w:rPr>
            </w:pPr>
            <w:r>
              <w:rPr>
                <w:rFonts w:ascii="Times New Roman" w:cs="Times New Roman" w:eastAsia="Times New Roman" w:hAnsi="Times New Roman"/>
                <w:sz w:val="5"/>
                <w:szCs w:val="5"/>
                <w:color w:val="auto"/>
              </w:rPr>
              <w:t>holders</w:t>
            </w: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24"/>
        </w:trPr>
        <w:tc>
          <w:tcPr>
            <w:tcW w:w="470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(2)</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46"/>
        </w:trPr>
        <w:tc>
          <w:tcPr>
            <w:tcW w:w="4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Equity-based compensation</w:t>
            </w:r>
            <w:r>
              <w:rPr>
                <w:rFonts w:ascii="Times New Roman" w:cs="Times New Roman" w:eastAsia="Times New Roman" w:hAnsi="Times New Roman"/>
                <w:sz w:val="9"/>
                <w:szCs w:val="9"/>
                <w:color w:val="auto"/>
              </w:rPr>
              <w:t>(3)</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0.20 %</w:t>
            </w:r>
          </w:p>
        </w:tc>
        <w:tc>
          <w:tcPr>
            <w:tcW w:w="1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(2.76)%</w:t>
            </w:r>
          </w:p>
        </w:tc>
        <w:tc>
          <w:tcPr>
            <w:tcW w:w="1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(0.67)%</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r>
              <w:rPr>
                <w:rFonts w:ascii="Times New Roman" w:cs="Times New Roman" w:eastAsia="Times New Roman" w:hAnsi="Times New Roman"/>
                <w:sz w:val="9"/>
                <w:szCs w:val="9"/>
                <w:color w:val="auto"/>
              </w:rPr>
              <w:t>(4)</w:t>
            </w: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(1.02)%</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0.30 %</w:t>
            </w:r>
          </w:p>
        </w:tc>
      </w:tr>
      <w:tr>
        <w:trPr>
          <w:trHeight w:val="50"/>
        </w:trPr>
        <w:tc>
          <w:tcPr>
            <w:tcW w:w="47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tax benefits</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(0.13)%</w:t>
            </w:r>
          </w:p>
        </w:tc>
        <w:tc>
          <w:tcPr>
            <w:tcW w:w="1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(1.13)%</w:t>
            </w:r>
          </w:p>
        </w:tc>
        <w:tc>
          <w:tcPr>
            <w:tcW w:w="1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0.01 %</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9"/>
                <w:szCs w:val="9"/>
                <w:color w:val="auto"/>
              </w:rPr>
              <w:t>(4)</w:t>
            </w: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0.10 %</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(2.28)%</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(0.75)%</w:t>
            </w:r>
          </w:p>
        </w:tc>
      </w:tr>
      <w:tr>
        <w:trPr>
          <w:trHeight w:val="50"/>
        </w:trPr>
        <w:tc>
          <w:tcPr>
            <w:tcW w:w="47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00"/>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21.71 %</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17.34 %</w:t>
            </w:r>
          </w:p>
        </w:tc>
        <w:tc>
          <w:tcPr>
            <w:tcW w:w="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18.30 %</w:t>
            </w:r>
          </w:p>
        </w:tc>
      </w:tr>
    </w:tbl>
    <w:p>
      <w:pPr>
        <w:ind w:right="1540"/>
        <w:spacing w:after="0" w:line="200" w:lineRule="auto"/>
        <w:rPr>
          <w:sz w:val="20"/>
          <w:szCs w:val="20"/>
          <w:color w:val="auto"/>
        </w:rPr>
      </w:pPr>
      <w:r>
        <w:rPr>
          <w:rFonts w:ascii="Times New Roman" w:cs="Times New Roman" w:eastAsia="Times New Roman" w:hAnsi="Times New Roman"/>
          <w:sz w:val="13"/>
          <w:szCs w:val="13"/>
          <w:color w:val="auto"/>
        </w:rPr>
        <w:t>(1)All periods are net of foreign tax credits. 2022 includes a tax benefit due to restructuring the ownership of its foreign Global Investment Solutions business and the impact of amending the Company’s 2020 tax return to claim a foreign tax credit rather than the original filing position claiming a foreign tax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-229235</wp:posOffset>
            </wp:positionV>
            <wp:extent cx="224853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248535" cy="7620"/>
                    </a:xfrm>
                    <a:prstGeom prst="rect">
                      <a:avLst/>
                    </a:prstGeom>
                    <a:noFill/>
                  </pic:spPr>
                </pic:pic>
              </a:graphicData>
            </a:graphic>
          </wp:anchor>
        </w:drawing>
      </w:r>
    </w:p>
    <w:p>
      <w:pPr>
        <w:spacing w:after="0" w:line="193" w:lineRule="auto"/>
        <w:rPr>
          <w:sz w:val="20"/>
          <w:szCs w:val="20"/>
          <w:color w:val="auto"/>
        </w:rPr>
      </w:pPr>
      <w:r>
        <w:rPr>
          <w:rFonts w:ascii="Times New Roman" w:cs="Times New Roman" w:eastAsia="Times New Roman" w:hAnsi="Times New Roman"/>
          <w:sz w:val="13"/>
          <w:szCs w:val="13"/>
          <w:color w:val="auto"/>
        </w:rPr>
        <w:t>(2)Includes income that is not taxable to the Company and its subsidiaries.</w:t>
      </w:r>
    </w:p>
    <w:p>
      <w:pPr>
        <w:spacing w:after="0" w:line="193" w:lineRule="auto"/>
        <w:rPr>
          <w:sz w:val="20"/>
          <w:szCs w:val="20"/>
          <w:color w:val="auto"/>
        </w:rPr>
      </w:pPr>
      <w:r>
        <w:rPr>
          <w:rFonts w:ascii="Times New Roman" w:cs="Times New Roman" w:eastAsia="Times New Roman" w:hAnsi="Times New Roman"/>
          <w:sz w:val="13"/>
          <w:szCs w:val="13"/>
          <w:color w:val="auto"/>
        </w:rPr>
        <w:t>(3)Includes the net impact of nondeductible officer compensation expense offset by tax benefits from windfall deductions in each year.</w:t>
      </w:r>
    </w:p>
    <w:p>
      <w:pPr>
        <w:ind w:right="1500"/>
        <w:spacing w:after="0" w:line="212" w:lineRule="auto"/>
        <w:rPr>
          <w:sz w:val="20"/>
          <w:szCs w:val="20"/>
          <w:color w:val="auto"/>
        </w:rPr>
      </w:pPr>
      <w:r>
        <w:rPr>
          <w:rFonts w:ascii="Times New Roman" w:cs="Times New Roman" w:eastAsia="Times New Roman" w:hAnsi="Times New Roman"/>
          <w:sz w:val="13"/>
          <w:szCs w:val="13"/>
          <w:color w:val="auto"/>
        </w:rPr>
        <w:t>(4)In 2024, the nondeductible officer compensation expense increased the effective tax rate by 1.56% and the tax benefit from windfall deductions decreased the effective tax rate by 1.37%. 2023 includes updates to the current and/or deferred tax balances related to the filing of the Company’s 2022 tax returns. The gross impact of these changes in estimates to Valuation allowance and Other adjustments was 1.36% and (0.86)%,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that may exist between the carrying amounts</w:t>
      </w:r>
    </w:p>
    <w:p>
      <w:pPr>
        <w:ind w:right="1440"/>
        <w:spacing w:after="0" w:line="216" w:lineRule="auto"/>
        <w:rPr>
          <w:sz w:val="20"/>
          <w:szCs w:val="20"/>
          <w:color w:val="auto"/>
        </w:rPr>
      </w:pPr>
      <w:r>
        <w:rPr>
          <w:rFonts w:ascii="Times New Roman" w:cs="Times New Roman" w:eastAsia="Times New Roman" w:hAnsi="Times New Roman"/>
          <w:sz w:val="16"/>
          <w:szCs w:val="16"/>
          <w:color w:val="auto"/>
        </w:rPr>
        <w:t>of assets and liabilities for financial reporting purposes and the amounts used for income tax purposes using enacted tax rates in effect for the year in which the differences are expected to reverse. The following table summarizes the tax effects of the temporary differences:</w:t>
      </w:r>
    </w:p>
    <w:p>
      <w:pPr>
        <w:sectPr>
          <w:pgSz w:w="11900" w:h="16840" w:orient="portrait"/>
          <w:cols w:equalWidth="0" w:num="1">
            <w:col w:w="9400"/>
          </w:cols>
          <w:pgMar w:left="1060" w:top="1171" w:right="1440" w:bottom="1004"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2"/>
        </w:trPr>
        <w:tc>
          <w:tcPr>
            <w:tcW w:w="56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2"/>
        </w:trPr>
        <w:tc>
          <w:tcPr>
            <w:tcW w:w="560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r>
      <w:tr>
        <w:trPr>
          <w:trHeight w:val="26"/>
        </w:trPr>
        <w:tc>
          <w:tcPr>
            <w:tcW w:w="56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2"/>
        </w:trPr>
        <w:tc>
          <w:tcPr>
            <w:tcW w:w="56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6"/>
        </w:trPr>
        <w:tc>
          <w:tcPr>
            <w:tcW w:w="5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Federal foreign tax credit carryforward</w:t>
            </w: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47.9</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net operating loss carryforwards</w:t>
            </w: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Tax basis goodwill and intangibles</w:t>
            </w:r>
          </w:p>
        </w:tc>
        <w:tc>
          <w:tcPr>
            <w:tcW w:w="5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218.3</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240.3</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76.3</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61.7</w:t>
            </w: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Deferred restricted common unit compensation</w:t>
            </w:r>
          </w:p>
        </w:tc>
        <w:tc>
          <w:tcPr>
            <w:tcW w:w="5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83.1</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114.7</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116.1</w:t>
            </w: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5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1,045.8</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926.2</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0"/>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106.6</w:t>
            </w: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109.8</w:t>
            </w:r>
          </w:p>
        </w:tc>
      </w:tr>
      <w:tr>
        <w:trPr>
          <w:trHeight w:val="182"/>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 before valuation allowance</w:t>
            </w:r>
          </w:p>
        </w:tc>
        <w:tc>
          <w:tcPr>
            <w:tcW w:w="5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1,697.8</w:t>
            </w:r>
          </w:p>
        </w:tc>
        <w:tc>
          <w:tcPr>
            <w:tcW w:w="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1,543.1</w:t>
            </w:r>
          </w:p>
        </w:tc>
      </w:tr>
      <w:tr>
        <w:trPr>
          <w:trHeight w:val="26"/>
        </w:trPr>
        <w:tc>
          <w:tcPr>
            <w:tcW w:w="5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5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(62.8)</w:t>
            </w: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tax assets</w:t>
            </w: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1,635.1</w:t>
            </w:r>
          </w:p>
        </w:tc>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1,480.3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3"/>
        </w:trPr>
        <w:tc>
          <w:tcPr>
            <w:tcW w:w="5600" w:type="dxa"/>
            <w:vAlign w:val="bottom"/>
            <w:tcBorders>
              <w:bottom w:val="single" w:sz="8" w:color="CCEEFF"/>
            </w:tcBorders>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Deferred tax liabilities</w:t>
            </w:r>
            <w:r>
              <w:rPr>
                <w:rFonts w:ascii="Times New Roman" w:cs="Times New Roman" w:eastAsia="Times New Roman" w:hAnsi="Times New Roman"/>
                <w:sz w:val="9"/>
                <w:szCs w:val="9"/>
                <w:color w:val="auto"/>
              </w:rPr>
              <w:t>(1)</w:t>
            </w:r>
          </w:p>
        </w:tc>
        <w:tc>
          <w:tcPr>
            <w:tcW w:w="5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Unrealized appreciation on investments</w:t>
            </w: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1,517.3</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1,333.8</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right-of-use assets</w:t>
            </w: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87.4</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w:t>
            </w: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Basis difference in investments</w:t>
            </w:r>
          </w:p>
        </w:tc>
        <w:tc>
          <w:tcPr>
            <w:tcW w:w="5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100.2</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w:t>
            </w:r>
          </w:p>
        </w:tc>
      </w:tr>
      <w:tr>
        <w:trPr>
          <w:trHeight w:val="38"/>
        </w:trPr>
        <w:tc>
          <w:tcPr>
            <w:tcW w:w="5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2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39.6</w:t>
            </w: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38.8</w:t>
            </w:r>
          </w:p>
        </w:tc>
      </w:tr>
      <w:tr>
        <w:trPr>
          <w:trHeight w:val="183"/>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1,744.5</w:t>
            </w:r>
          </w:p>
        </w:tc>
        <w:tc>
          <w:tcPr>
            <w:tcW w:w="60" w:type="dxa"/>
            <w:vAlign w:val="bottom"/>
          </w:tcPr>
          <w:p>
            <w:pPr>
              <w:spacing w:after="0"/>
              <w:rPr>
                <w:sz w:val="15"/>
                <w:szCs w:val="15"/>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1,509.1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(109.4)</w:t>
            </w: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r>
    </w:tbl>
    <w:p>
      <w:pPr>
        <w:ind w:right="1520"/>
        <w:spacing w:after="0" w:line="206" w:lineRule="auto"/>
        <w:rPr>
          <w:sz w:val="20"/>
          <w:szCs w:val="20"/>
          <w:color w:val="auto"/>
        </w:rPr>
      </w:pPr>
      <w:r>
        <w:rPr>
          <w:rFonts w:ascii="Times New Roman" w:cs="Times New Roman" w:eastAsia="Times New Roman" w:hAnsi="Times New Roman"/>
          <w:sz w:val="13"/>
          <w:szCs w:val="13"/>
          <w:color w:val="auto"/>
        </w:rPr>
        <w:t>(1)As of December 31, 2024 and 2023, $1,607.5 million and $ 1,463.8 million of deferred tax assets were offset and presented as a single deferred tax liability amount on the Company’s consolidated balance sheet as these deferred tax assets and liabilities relate to the same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-154940</wp:posOffset>
            </wp:positionV>
            <wp:extent cx="169989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699895" cy="7620"/>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6"/>
          <w:szCs w:val="16"/>
          <w:color w:val="auto"/>
        </w:rPr>
        <w:t>The Company had $27.6 million and $16.5 million in deferred tax assets as of December 31, 2024 and 2023,</w:t>
      </w:r>
    </w:p>
    <w:p>
      <w:pPr>
        <w:ind w:right="1440"/>
        <w:spacing w:after="0" w:line="203" w:lineRule="auto"/>
        <w:rPr>
          <w:sz w:val="20"/>
          <w:szCs w:val="20"/>
          <w:color w:val="auto"/>
        </w:rPr>
      </w:pPr>
      <w:r>
        <w:rPr>
          <w:rFonts w:ascii="Times New Roman" w:cs="Times New Roman" w:eastAsia="Times New Roman" w:hAnsi="Times New Roman"/>
          <w:sz w:val="16"/>
          <w:szCs w:val="16"/>
          <w:color w:val="auto"/>
        </w:rPr>
        <w:t>respectively, which are offset with deferred tax liabilities where those assets and liabilities relate to the same tax jurisdiction. In both years, the deferred tax assets resulted primarily from the carryforward of federal and state tax attributes, partially offset by a valuation allowance, and temporary differences between the financial statement and tax bases of assets and liabilities at the Company’s foreign sub-advisor entities. The realization of the deferred tax assets is dependent on the Company’s future taxable income before deductions related to the establishment of its deferred tax assets. The deferred tax asset balance comprises a portion that would be realized in connection with future ordinary income and a portion that would be realized in connection with future capital gains.</w:t>
      </w:r>
    </w:p>
    <w:p>
      <w:pPr>
        <w:spacing w:after="0" w:line="3" w:lineRule="exact"/>
        <w:rPr>
          <w:sz w:val="20"/>
          <w:szCs w:val="20"/>
          <w:color w:val="auto"/>
        </w:rPr>
      </w:pPr>
    </w:p>
    <w:p>
      <w:pPr>
        <w:ind w:right="1480" w:firstLine="576"/>
        <w:spacing w:after="0" w:line="203" w:lineRule="auto"/>
        <w:rPr>
          <w:sz w:val="20"/>
          <w:szCs w:val="20"/>
          <w:color w:val="auto"/>
        </w:rPr>
      </w:pPr>
      <w:r>
        <w:rPr>
          <w:rFonts w:ascii="Times New Roman" w:cs="Times New Roman" w:eastAsia="Times New Roman" w:hAnsi="Times New Roman"/>
          <w:sz w:val="16"/>
          <w:szCs w:val="16"/>
          <w:color w:val="auto"/>
        </w:rPr>
        <w:t>The Company evaluated various sources of evidence in determining the ultimate realizability of its deferred tax assets including the character and timing of projected future taxable income and the Company’s ability to claim a foreign tax credit (“FTC”). The Company continues to maintain a valuation allowance of $2.2 million on certain state net operating losses for a corporate subsidiary with entity level state net operating losses that cannot be utilized by other group members. In addition, the Company continues to maintain a valuation allowance of $47.8 million on certain FTC carryforwards generated in 2020 and forward that are not expected to be realized due to federal limitations on its utilization. As of December 31, 2024 and 2023, the Company established a total valuation allowance of $62.7 million and $62.8 million, respectively, with the net decrease primarily due to a release of the valuation allowance on tax attribute carryforwards of a foreign subsidiary liquidated in 2024 offset by a net increase in the FTC carryforward and related deferred tax assets. For all other deferred tax assets, the Company has concluded it is more likely than not that they will be realized and that a valuation allowance is not needed as of December 31, 2024.</w:t>
      </w:r>
    </w:p>
    <w:p>
      <w:pPr>
        <w:spacing w:after="0" w:line="209" w:lineRule="auto"/>
        <w:rPr>
          <w:sz w:val="20"/>
          <w:szCs w:val="20"/>
          <w:color w:val="auto"/>
        </w:rPr>
      </w:pPr>
      <w:r>
        <w:rPr>
          <w:rFonts w:ascii="Times New Roman" w:cs="Times New Roman" w:eastAsia="Times New Roman" w:hAnsi="Times New Roman"/>
          <w:sz w:val="16"/>
          <w:szCs w:val="16"/>
          <w:color w:val="auto"/>
        </w:rPr>
        <w:t>The Company has deferred tax liabilities of $137.0 million and $45.3 million as of December 31, 2024 and 2023,</w:t>
      </w:r>
    </w:p>
    <w:p>
      <w:pPr>
        <w:ind w:right="1420"/>
        <w:spacing w:after="0" w:line="268" w:lineRule="auto"/>
        <w:rPr>
          <w:sz w:val="20"/>
          <w:szCs w:val="20"/>
          <w:color w:val="auto"/>
        </w:rPr>
      </w:pPr>
      <w:r>
        <w:rPr>
          <w:rFonts w:ascii="Times New Roman" w:cs="Times New Roman" w:eastAsia="Times New Roman" w:hAnsi="Times New Roman"/>
          <w:sz w:val="14"/>
          <w:szCs w:val="14"/>
          <w:color w:val="auto"/>
        </w:rPr>
        <w:t>respectively, which are offset with deferred tax assets where those assets and liabilities relate to the same tax jurisdiction. These deferred tax liabilities primarily resulted from temporary differences between the financial statement and tax bases of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580"/>
        <w:spacing w:after="0" w:line="203" w:lineRule="auto"/>
        <w:rPr>
          <w:sz w:val="20"/>
          <w:szCs w:val="20"/>
          <w:color w:val="auto"/>
        </w:rPr>
      </w:pPr>
      <w:r>
        <w:rPr>
          <w:rFonts w:ascii="Times New Roman" w:cs="Times New Roman" w:eastAsia="Times New Roman" w:hAnsi="Times New Roman"/>
          <w:sz w:val="16"/>
          <w:szCs w:val="16"/>
          <w:color w:val="auto"/>
        </w:rPr>
        <w:t>performance allocations. These deferred tax liabilities are net of related compensation and offset by step-up in tax basis resulting from the Conversion and future amortization of tax basis intangible assets generated from exchanges covered by the Tax Receivable Agreement (see Note 2, Summary of Significant Accounting Policies).</w:t>
      </w:r>
    </w:p>
    <w:p>
      <w:pPr>
        <w:spacing w:after="0" w:line="205" w:lineRule="auto"/>
        <w:rPr>
          <w:sz w:val="20"/>
          <w:szCs w:val="20"/>
          <w:color w:val="auto"/>
        </w:rPr>
      </w:pPr>
      <w:r>
        <w:rPr>
          <w:rFonts w:ascii="Times New Roman" w:cs="Times New Roman" w:eastAsia="Times New Roman" w:hAnsi="Times New Roman"/>
          <w:sz w:val="16"/>
          <w:szCs w:val="16"/>
          <w:color w:val="auto"/>
        </w:rPr>
        <w:t>As of December 31, 2024, the Company has cumulative state pre-tax net operating loss carryforwards of</w:t>
      </w:r>
    </w:p>
    <w:p>
      <w:pPr>
        <w:ind w:right="1640"/>
        <w:spacing w:after="0" w:line="203" w:lineRule="auto"/>
        <w:rPr>
          <w:sz w:val="20"/>
          <w:szCs w:val="20"/>
          <w:color w:val="auto"/>
        </w:rPr>
      </w:pPr>
      <w:r>
        <w:rPr>
          <w:rFonts w:ascii="Times New Roman" w:cs="Times New Roman" w:eastAsia="Times New Roman" w:hAnsi="Times New Roman"/>
          <w:sz w:val="16"/>
          <w:szCs w:val="16"/>
          <w:color w:val="auto"/>
        </w:rPr>
        <w:t>approximately $63.6 million ($5.1 million tax- effected), which will be available to offset future taxable income. If unused, a portion of the state carryforwards will begin to expire in 2025, which is considered in the valuation allowance evaluation referenced above. In addition, the Company has a FTC carryforward of $47.9 million, which relates to taxes paid in foreign jurisdictions. If unused, a portion will expire in 2030 and years forward, which is also considered in the valuation allowance evaluation referenced above.</w:t>
      </w:r>
    </w:p>
    <w:p>
      <w:pPr>
        <w:spacing w:after="0" w:line="206" w:lineRule="auto"/>
        <w:rPr>
          <w:sz w:val="20"/>
          <w:szCs w:val="20"/>
          <w:color w:val="auto"/>
        </w:rPr>
      </w:pPr>
      <w:r>
        <w:rPr>
          <w:rFonts w:ascii="Times New Roman" w:cs="Times New Roman" w:eastAsia="Times New Roman" w:hAnsi="Times New Roman"/>
          <w:sz w:val="16"/>
          <w:szCs w:val="16"/>
          <w:color w:val="auto"/>
        </w:rPr>
        <w:t>In the normal course of business, the Company is subject to examination by federal and certain state, local and foreign</w:t>
      </w:r>
    </w:p>
    <w:p>
      <w:pPr>
        <w:ind w:right="1400"/>
        <w:spacing w:after="0" w:line="203" w:lineRule="auto"/>
        <w:rPr>
          <w:sz w:val="20"/>
          <w:szCs w:val="20"/>
          <w:color w:val="auto"/>
        </w:rPr>
      </w:pPr>
      <w:r>
        <w:rPr>
          <w:rFonts w:ascii="Times New Roman" w:cs="Times New Roman" w:eastAsia="Times New Roman" w:hAnsi="Times New Roman"/>
          <w:sz w:val="16"/>
          <w:szCs w:val="16"/>
          <w:color w:val="auto"/>
        </w:rPr>
        <w:t>tax regulators. With a few exceptions, as of December 31, 2024, the Company’s U.S. federal income tax returns for the years 2021 through 2023 are open under the normal three-year statute of limitations and therefore subject to examination. State and local tax returns are generally subject to audit from 2019 to 2023. Foreign tax returns are generally subject to audit from 2011 to 2023. Certain of the Company’s affiliates are currently under audit by federal, state and foreign tax authorities. The Company does not believe that the outcome of the audits will require it to record material reserves for uncertain tax positions or that the outcome will have a material impact on the consolidated financial statements.</w:t>
      </w:r>
    </w:p>
    <w:p>
      <w:pPr>
        <w:spacing w:after="0" w:line="206" w:lineRule="auto"/>
        <w:rPr>
          <w:sz w:val="20"/>
          <w:szCs w:val="20"/>
          <w:color w:val="auto"/>
        </w:rPr>
      </w:pPr>
      <w:r>
        <w:rPr>
          <w:rFonts w:ascii="Times New Roman" w:cs="Times New Roman" w:eastAsia="Times New Roman" w:hAnsi="Times New Roman"/>
          <w:sz w:val="16"/>
          <w:szCs w:val="16"/>
          <w:color w:val="auto"/>
        </w:rPr>
        <w:t>Under U.S. GAAP for income taxes, the amount of tax benefit to be recognized is the amount of benefit that is “more</w:t>
      </w:r>
    </w:p>
    <w:p>
      <w:pPr>
        <w:spacing w:after="0" w:line="1" w:lineRule="exact"/>
        <w:rPr>
          <w:sz w:val="20"/>
          <w:szCs w:val="20"/>
          <w:color w:val="auto"/>
        </w:rPr>
      </w:pPr>
    </w:p>
    <w:p>
      <w:pPr>
        <w:ind w:right="1460"/>
        <w:spacing w:after="0" w:line="232" w:lineRule="auto"/>
        <w:rPr>
          <w:sz w:val="20"/>
          <w:szCs w:val="20"/>
          <w:color w:val="auto"/>
        </w:rPr>
      </w:pPr>
      <w:r>
        <w:rPr>
          <w:rFonts w:ascii="Times New Roman" w:cs="Times New Roman" w:eastAsia="Times New Roman" w:hAnsi="Times New Roman"/>
          <w:sz w:val="14"/>
          <w:szCs w:val="14"/>
          <w:color w:val="auto"/>
        </w:rPr>
        <w:t>likely than not” to be sustained upon examination. The Company has recorded unrecognized tax benefits of $38.0 million and $42.3 million as of December 31, 2024 and 2023, respectively, which is reflected in accounts payable, accrued expenses and other liabilities in the accompanying consolidated balance sheets. These balances include $16.6 million and $17.8 million related to interest and penalties associated with uncertain tax positions as of December 31, 2024 and 2023, respectively. During the years ended December 31, 2024, 2023 and 2022, the Company accrued penalties and interest expense, net of settlements, related to unrecognized tax benefits of $(0.8) million, $4.8 million, and $4.2 million, respectively. If recognized, $27.0 million of uncertain tax positions would be recorded as a reduction in the provision for income taxes.</w:t>
      </w:r>
    </w:p>
    <w:p>
      <w:pPr>
        <w:spacing w:after="0" w:line="3" w:lineRule="exact"/>
        <w:rPr>
          <w:sz w:val="20"/>
          <w:szCs w:val="20"/>
          <w:color w:val="auto"/>
        </w:rPr>
      </w:pPr>
    </w:p>
    <w:p>
      <w:pPr>
        <w:ind w:right="2060"/>
        <w:spacing w:after="0" w:line="222" w:lineRule="auto"/>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benefits, exclusive of penalties and interest, is as follows:</w:t>
      </w:r>
    </w:p>
    <w:p>
      <w:pPr>
        <w:sectPr>
          <w:pgSz w:w="11900" w:h="16840" w:orient="portrait"/>
          <w:cols w:equalWidth="0" w:num="1">
            <w:col w:w="9400"/>
          </w:cols>
          <w:pgMar w:left="1060" w:top="555" w:right="1440" w:bottom="476"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52"/>
        </w:trPr>
        <w:tc>
          <w:tcPr>
            <w:tcW w:w="47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82"/>
        </w:trPr>
        <w:tc>
          <w:tcPr>
            <w:tcW w:w="470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r>
      <w:tr>
        <w:trPr>
          <w:trHeight w:val="26"/>
        </w:trPr>
        <w:tc>
          <w:tcPr>
            <w:tcW w:w="47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2"/>
        </w:trPr>
        <w:tc>
          <w:tcPr>
            <w:tcW w:w="470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6"/>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24.5</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Additions based on tax positions related to current year</w:t>
            </w:r>
          </w:p>
        </w:tc>
        <w:tc>
          <w:tcPr>
            <w:tcW w:w="5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38"/>
        </w:trPr>
        <w:tc>
          <w:tcPr>
            <w:tcW w:w="4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5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Reductions for tax position of prior years</w:t>
            </w: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8"/>
        </w:trPr>
        <w:tc>
          <w:tcPr>
            <w:tcW w:w="4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0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Reductions due to lapse of statute of limitations</w:t>
            </w:r>
          </w:p>
        </w:tc>
        <w:tc>
          <w:tcPr>
            <w:tcW w:w="5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Reductions due to settlements</w:t>
            </w:r>
          </w:p>
        </w:tc>
        <w:tc>
          <w:tcPr>
            <w:tcW w:w="5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47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8"/>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21.3</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tcPr>
          <w:p>
            <w:pPr>
              <w:spacing w:after="0"/>
              <w:rPr>
                <w:sz w:val="16"/>
                <w:szCs w:val="16"/>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r>
    </w:tbl>
    <w:p>
      <w:pPr>
        <w:ind w:right="2000"/>
        <w:spacing w:after="0" w:line="214" w:lineRule="auto"/>
        <w:rPr>
          <w:sz w:val="20"/>
          <w:szCs w:val="20"/>
          <w:color w:val="auto"/>
        </w:rPr>
      </w:pPr>
      <w:r>
        <w:rPr>
          <w:rFonts w:ascii="Times New Roman" w:cs="Times New Roman" w:eastAsia="Times New Roman" w:hAnsi="Times New Roman"/>
          <w:sz w:val="16"/>
          <w:szCs w:val="16"/>
          <w:color w:val="auto"/>
        </w:rPr>
        <w:t>The Company does not believe that it has any tax positions for which it is reasonably possible that the total amounts of unrecognized tax benefits will significantly increase or decrease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-200025</wp:posOffset>
            </wp:positionV>
            <wp:extent cx="224853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248535" cy="7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16"/>
          <w:szCs w:val="16"/>
          <w:color w:val="auto"/>
        </w:rPr>
        <w:t>On August 16, 2022, the Inflation Reduction Act of 2022 (the “IRA”) was signed into law. The IRA enacted a 15%</w:t>
      </w:r>
    </w:p>
    <w:p>
      <w:pPr>
        <w:spacing w:after="0" w:line="1" w:lineRule="exact"/>
        <w:rPr>
          <w:sz w:val="20"/>
          <w:szCs w:val="20"/>
          <w:color w:val="auto"/>
        </w:rPr>
      </w:pPr>
    </w:p>
    <w:p>
      <w:pPr>
        <w:ind w:right="1400"/>
        <w:spacing w:after="0" w:line="203" w:lineRule="auto"/>
        <w:rPr>
          <w:sz w:val="20"/>
          <w:szCs w:val="20"/>
          <w:color w:val="auto"/>
        </w:rPr>
      </w:pPr>
      <w:r>
        <w:rPr>
          <w:rFonts w:ascii="Times New Roman" w:cs="Times New Roman" w:eastAsia="Times New Roman" w:hAnsi="Times New Roman"/>
          <w:sz w:val="16"/>
          <w:szCs w:val="16"/>
          <w:color w:val="auto"/>
        </w:rPr>
        <w:t>CAMT on the “adjusted financial statement income” of certain large corporations, which became effective on January 1, 2023. The Company does not expect the IRA to have a material impact to its provision for income taxes given that any current year payments that would be made under CAMT would be permitted to be carried forward and used as credits in future years resulting in a deferred tax benefit. The Company will continue to monitor as additional guidance is released by U.S. Department of the Treasury, the IRS, and other standard-setting bodies.</w:t>
      </w:r>
    </w:p>
    <w:p>
      <w:pPr>
        <w:spacing w:after="0" w:line="2" w:lineRule="exact"/>
        <w:rPr>
          <w:sz w:val="20"/>
          <w:szCs w:val="20"/>
          <w:color w:val="auto"/>
        </w:rPr>
      </w:pPr>
    </w:p>
    <w:p>
      <w:pPr>
        <w:ind w:right="1600"/>
        <w:spacing w:after="0" w:line="250" w:lineRule="auto"/>
        <w:rPr>
          <w:sz w:val="20"/>
          <w:szCs w:val="20"/>
          <w:color w:val="auto"/>
        </w:rPr>
      </w:pPr>
      <w:r>
        <w:rPr>
          <w:rFonts w:ascii="Times New Roman" w:cs="Times New Roman" w:eastAsia="Times New Roman" w:hAnsi="Times New Roman"/>
          <w:sz w:val="14"/>
          <w:szCs w:val="14"/>
          <w:color w:val="auto"/>
        </w:rPr>
        <w:t>On December 27, 2023, the State of New York issued final regulations that implemented comprehensive franchise tax reform for corporations, banks, and insurance companies. This did not have a material impact to the Company’s consolidated financial statements. The Company will continue to monitor as additional guidance is released by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ind w:right="1540"/>
        <w:spacing w:after="0" w:line="203" w:lineRule="auto"/>
        <w:rPr>
          <w:sz w:val="20"/>
          <w:szCs w:val="20"/>
          <w:color w:val="auto"/>
        </w:rPr>
      </w:pPr>
      <w:r>
        <w:rPr>
          <w:rFonts w:ascii="Times New Roman" w:cs="Times New Roman" w:eastAsia="Times New Roman" w:hAnsi="Times New Roman"/>
          <w:sz w:val="16"/>
          <w:szCs w:val="16"/>
          <w:color w:val="auto"/>
        </w:rPr>
        <w:t>In October 2021, the OECD introduced a 15% global minimum tax under the Pillar Two GloBE model rules. There are a number of key provisions under the rules that became effective in 2024 and others that will be phased in during 2025. Several OECD member countries have enacted the tax legislation based on certain elements of these rules that became effective on January 1, 2024, and additional countries have drafted or announced an intent to implement legislation. While Pillar Two did not have a material impact to the Company’s provision for income taxes for 2024, the rules remain subject to significant negotiation and potential change, and the timing and ultimate impact of any such changes on our tax obligations are uncertain. The Company will continue to monitor as additional countries enact legislation, new parts of the regime come into force or additional guidance is released by the OECD and other standard-setting bodies.</w:t>
      </w:r>
    </w:p>
    <w:p>
      <w:pPr>
        <w:spacing w:after="0" w:line="207" w:lineRule="auto"/>
        <w:rPr>
          <w:sz w:val="20"/>
          <w:szCs w:val="20"/>
          <w:color w:val="auto"/>
        </w:rPr>
      </w:pPr>
      <w:r>
        <w:rPr>
          <w:rFonts w:ascii="Times New Roman" w:cs="Times New Roman" w:eastAsia="Times New Roman" w:hAnsi="Times New Roman"/>
          <w:sz w:val="16"/>
          <w:szCs w:val="16"/>
          <w:b w:val="1"/>
          <w:bCs w:val="1"/>
          <w:color w:val="auto"/>
        </w:rPr>
        <w:t>11. Non-controlling Interests in Consolidated Entities</w:t>
      </w:r>
    </w:p>
    <w:p>
      <w:pPr>
        <w:spacing w:after="0" w:line="218" w:lineRule="auto"/>
        <w:rPr>
          <w:sz w:val="20"/>
          <w:szCs w:val="20"/>
          <w:color w:val="auto"/>
        </w:rPr>
      </w:pPr>
      <w:r>
        <w:rPr>
          <w:rFonts w:ascii="Times New Roman" w:cs="Times New Roman" w:eastAsia="Times New Roman" w:hAnsi="Times New Roman"/>
          <w:sz w:val="16"/>
          <w:szCs w:val="16"/>
          <w:color w:val="auto"/>
        </w:rPr>
        <w:t>The components of the Company’s non-controlling interests in consolidated entities are as follows: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4"/>
        </w:trPr>
        <w:tc>
          <w:tcPr>
            <w:tcW w:w="54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548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
        </w:trPr>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8"/>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Non-Carlyle interests in Consolidated Funds</w:t>
            </w:r>
          </w:p>
        </w:tc>
        <w:tc>
          <w:tcPr>
            <w:tcW w:w="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407.1</w:t>
            </w: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415.3</w:t>
            </w:r>
          </w:p>
        </w:tc>
      </w:tr>
      <w:tr>
        <w:trPr>
          <w:trHeight w:val="19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Non-Carlyle interests in majority-owned subsidiaries</w:t>
            </w:r>
          </w:p>
        </w:tc>
        <w:tc>
          <w:tcPr>
            <w:tcW w:w="6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334.2</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184.5</w:t>
            </w:r>
          </w:p>
        </w:tc>
      </w:tr>
      <w:tr>
        <w:trPr>
          <w:trHeight w:val="38"/>
        </w:trPr>
        <w:tc>
          <w:tcPr>
            <w:tcW w:w="5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32"/>
        </w:trPr>
        <w:tc>
          <w:tcPr>
            <w:tcW w:w="54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Non-controlling interest in carried interest, giveback obligations and cash held for carried</w:t>
            </w: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b w:val="1"/>
                <w:bCs w:val="1"/>
                <w:color w:val="auto"/>
              </w:rPr>
              <w:t>(0.6)</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(6.7)</w:t>
            </w:r>
          </w:p>
        </w:tc>
      </w:tr>
      <w:tr>
        <w:trPr>
          <w:trHeight w:val="20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distributions</w:t>
            </w:r>
          </w:p>
        </w:tc>
        <w:tc>
          <w:tcPr>
            <w:tcW w:w="6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r>
      <w:tr>
        <w:trPr>
          <w:trHeight w:val="183"/>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in consolidated entities</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740.7</w:t>
            </w: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593.1</w:t>
            </w:r>
          </w:p>
        </w:tc>
      </w:tr>
      <w:tr>
        <w:trPr>
          <w:trHeight w:val="20"/>
        </w:trPr>
        <w:tc>
          <w:tcPr>
            <w:tcW w:w="5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the Company’s non-controlling interests in income of consolidated entities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4"/>
        </w:trPr>
        <w:tc>
          <w:tcPr>
            <w:tcW w:w="4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2"/>
        </w:trPr>
        <w:tc>
          <w:tcPr>
            <w:tcW w:w="45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r>
      <w:tr>
        <w:trPr>
          <w:trHeight w:val="26"/>
        </w:trPr>
        <w:tc>
          <w:tcPr>
            <w:tcW w:w="454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2"/>
        </w:trPr>
        <w:tc>
          <w:tcPr>
            <w:tcW w:w="45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
        </w:trPr>
        <w:tc>
          <w:tcPr>
            <w:tcW w:w="4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Non-Carlyle interests in Consolidated Funds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w:t>
            </w: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w:t>
            </w:r>
          </w:p>
        </w:tc>
        <w:tc>
          <w:tcPr>
            <w:tcW w:w="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w:t>
            </w: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Non-Carlyle interests in majority-owned subsidiaries</w:t>
            </w:r>
          </w:p>
        </w:tc>
        <w:tc>
          <w:tcPr>
            <w:tcW w:w="5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61.5</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r>
      <w:tr>
        <w:trPr>
          <w:trHeight w:val="38"/>
        </w:trPr>
        <w:tc>
          <w:tcPr>
            <w:tcW w:w="4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32"/>
        </w:trPr>
        <w:tc>
          <w:tcPr>
            <w:tcW w:w="45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Non-controlling interest in carried interest, giveback obligations and cash</w:t>
            </w: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b w:val="1"/>
                <w:bCs w:val="1"/>
                <w:color w:val="auto"/>
              </w:rPr>
              <w:t>0.5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2.9</w:t>
            </w:r>
          </w:p>
        </w:tc>
      </w:tr>
      <w:tr>
        <w:trPr>
          <w:trHeight w:val="240"/>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 for carried interest distributions</w:t>
            </w:r>
          </w:p>
        </w:tc>
        <w:tc>
          <w:tcPr>
            <w:tcW w:w="5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18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in income of consolidated entities</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70.7</w:t>
            </w:r>
          </w:p>
        </w:tc>
        <w:tc>
          <w:tcPr>
            <w:tcW w:w="60" w:type="dxa"/>
            <w:vAlign w:val="bottom"/>
          </w:tcPr>
          <w:p>
            <w:pPr>
              <w:spacing w:after="0"/>
              <w:rPr>
                <w:sz w:val="15"/>
                <w:szCs w:val="15"/>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c>
          <w:tcPr>
            <w:tcW w:w="60" w:type="dxa"/>
            <w:vAlign w:val="bottom"/>
          </w:tcPr>
          <w:p>
            <w:pPr>
              <w:spacing w:after="0"/>
              <w:rPr>
                <w:sz w:val="15"/>
                <w:szCs w:val="15"/>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1270</wp:posOffset>
            </wp:positionV>
            <wp:extent cx="23704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-106680</wp:posOffset>
            </wp:positionV>
            <wp:extent cx="23704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Basic and diluted net income (loss) per common share are calculated as follows:</w:t>
      </w:r>
    </w:p>
    <w:p>
      <w:pPr>
        <w:sectPr>
          <w:pgSz w:w="11900" w:h="16840" w:orient="portrait"/>
          <w:cols w:equalWidth="0" w:num="1">
            <w:col w:w="9400"/>
          </w:cols>
          <w:pgMar w:left="1060" w:top="555" w:right="1440" w:bottom="277" w:gutter="0" w:footer="0" w:header="0"/>
        </w:sectPr>
      </w:pPr>
    </w:p>
    <w:p>
      <w:pPr>
        <w:spacing w:after="0" w:line="200" w:lineRule="exact"/>
        <w:rPr>
          <w:sz w:val="20"/>
          <w:szCs w:val="20"/>
          <w:color w:val="auto"/>
        </w:rPr>
      </w:pPr>
    </w:p>
    <w:p>
      <w:pPr>
        <w:spacing w:after="0" w:line="207"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3"/>
          <w:szCs w:val="13"/>
          <w:color w:val="auto"/>
        </w:rPr>
        <w:t>Net income (loss) attributable to common shares</w:t>
      </w:r>
    </w:p>
    <w:p>
      <w:pPr>
        <w:spacing w:after="0" w:line="4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3"/>
          <w:szCs w:val="13"/>
          <w:color w:val="auto"/>
        </w:rPr>
        <w:t>Weighted-average common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 w:type="dxa"/>
            <w:vAlign w:val="bottom"/>
          </w:tcPr>
          <w:p>
            <w:pPr>
              <w:spacing w:after="0"/>
              <w:rPr>
                <w:sz w:val="15"/>
                <w:szCs w:val="15"/>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0" w:type="dxa"/>
            <w:vAlign w:val="bottom"/>
          </w:tcPr>
          <w:p>
            <w:pPr>
              <w:spacing w:after="0"/>
              <w:rPr>
                <w:sz w:val="1"/>
                <w:szCs w:val="1"/>
                <w:color w:val="auto"/>
              </w:rPr>
            </w:pPr>
          </w:p>
        </w:tc>
      </w:tr>
      <w:tr>
        <w:trPr>
          <w:trHeight w:val="32"/>
        </w:trPr>
        <w:tc>
          <w:tcPr>
            <w:tcW w:w="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36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20" w:type="dxa"/>
            <w:vAlign w:val="bottom"/>
            <w:vMerge w:val="continue"/>
          </w:tcPr>
          <w:p>
            <w:pPr>
              <w:spacing w:after="0"/>
              <w:rPr>
                <w:sz w:val="14"/>
                <w:szCs w:val="1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34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20" w:type="dxa"/>
            <w:vAlign w:val="bottom"/>
            <w:vMerge w:val="continue"/>
          </w:tcPr>
          <w:p>
            <w:pPr>
              <w:spacing w:after="0"/>
              <w:rPr>
                <w:sz w:val="14"/>
                <w:szCs w:val="1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34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40" w:hanging="125"/>
        <w:spacing w:after="0"/>
        <w:tabs>
          <w:tab w:leader="none" w:pos="14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1,020,400,000  $ 1,020,400,000  </w:t>
      </w:r>
      <w:r>
        <w:rPr>
          <w:rFonts w:ascii="Times New Roman" w:cs="Times New Roman" w:eastAsia="Times New Roman" w:hAnsi="Times New Roman"/>
          <w:sz w:val="13"/>
          <w:szCs w:val="13"/>
          <w:color w:val="auto"/>
        </w:rPr>
        <w:t>$  (608,400,000)  $  (608,400,000) $ 1,225,000,000   $ 1,225,000,000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-93345</wp:posOffset>
            </wp:positionV>
            <wp:extent cx="5274310" cy="213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5274310" cy="213360"/>
                    </a:xfrm>
                    <a:prstGeom prst="rect">
                      <a:avLst/>
                    </a:prstGeom>
                    <a:noFill/>
                  </pic:spPr>
                </pic:pic>
              </a:graphicData>
            </a:graphic>
          </wp:anchor>
        </w:drawing>
      </w:r>
    </w:p>
    <w:p>
      <w:pPr>
        <w:spacing w:after="0" w:line="155" w:lineRule="exact"/>
        <w:rPr>
          <w:sz w:val="20"/>
          <w:szCs w:val="20"/>
          <w:color w:val="auto"/>
        </w:rPr>
      </w:pPr>
    </w:p>
    <w:p>
      <w:pPr>
        <w:ind w:left="240"/>
        <w:spacing w:after="0"/>
        <w:tabs>
          <w:tab w:leader="none" w:pos="1260" w:val="left"/>
          <w:tab w:leader="none" w:pos="2260" w:val="left"/>
          <w:tab w:leader="none" w:pos="3300" w:val="left"/>
          <w:tab w:leader="none" w:pos="4320" w:val="left"/>
          <w:tab w:leader="none" w:pos="5360" w:val="left"/>
        </w:tabs>
        <w:rPr>
          <w:sz w:val="20"/>
          <w:szCs w:val="20"/>
          <w:color w:val="auto"/>
        </w:rPr>
      </w:pPr>
      <w:r>
        <w:rPr>
          <w:rFonts w:ascii="Times New Roman" w:cs="Times New Roman" w:eastAsia="Times New Roman" w:hAnsi="Times New Roman"/>
          <w:sz w:val="13"/>
          <w:szCs w:val="13"/>
          <w:b w:val="1"/>
          <w:bCs w:val="1"/>
          <w:color w:val="auto"/>
        </w:rPr>
        <w:t>358,584,203</w:t>
      </w:r>
      <w:r>
        <w:rPr>
          <w:sz w:val="20"/>
          <w:szCs w:val="20"/>
          <w:color w:val="auto"/>
        </w:rPr>
        <w:tab/>
      </w:r>
      <w:r>
        <w:rPr>
          <w:rFonts w:ascii="Times New Roman" w:cs="Times New Roman" w:eastAsia="Times New Roman" w:hAnsi="Times New Roman"/>
          <w:sz w:val="13"/>
          <w:szCs w:val="13"/>
          <w:b w:val="1"/>
          <w:bCs w:val="1"/>
          <w:color w:val="auto"/>
        </w:rPr>
        <w:t>368,024,612</w:t>
      </w:r>
      <w:r>
        <w:rPr>
          <w:sz w:val="20"/>
          <w:szCs w:val="20"/>
          <w:color w:val="auto"/>
        </w:rPr>
        <w:tab/>
      </w:r>
      <w:r>
        <w:rPr>
          <w:rFonts w:ascii="Times New Roman" w:cs="Times New Roman" w:eastAsia="Times New Roman" w:hAnsi="Times New Roman"/>
          <w:sz w:val="13"/>
          <w:szCs w:val="13"/>
          <w:color w:val="auto"/>
        </w:rPr>
        <w:t>361,395,823</w:t>
      </w:r>
      <w:r>
        <w:rPr>
          <w:sz w:val="20"/>
          <w:szCs w:val="20"/>
          <w:color w:val="auto"/>
        </w:rPr>
        <w:tab/>
      </w:r>
      <w:r>
        <w:rPr>
          <w:rFonts w:ascii="Times New Roman" w:cs="Times New Roman" w:eastAsia="Times New Roman" w:hAnsi="Times New Roman"/>
          <w:sz w:val="13"/>
          <w:szCs w:val="13"/>
          <w:color w:val="auto"/>
        </w:rPr>
        <w:t>361,395,823</w:t>
      </w:r>
      <w:r>
        <w:rPr>
          <w:sz w:val="20"/>
          <w:szCs w:val="20"/>
          <w:color w:val="auto"/>
        </w:rPr>
        <w:tab/>
      </w:r>
      <w:r>
        <w:rPr>
          <w:rFonts w:ascii="Times New Roman" w:cs="Times New Roman" w:eastAsia="Times New Roman" w:hAnsi="Times New Roman"/>
          <w:sz w:val="13"/>
          <w:szCs w:val="13"/>
          <w:color w:val="auto"/>
        </w:rPr>
        <w:t>361,278,064</w:t>
      </w:r>
      <w:r>
        <w:rPr>
          <w:sz w:val="20"/>
          <w:szCs w:val="20"/>
          <w:color w:val="auto"/>
        </w:rPr>
        <w:tab/>
      </w:r>
      <w:r>
        <w:rPr>
          <w:rFonts w:ascii="Times New Roman" w:cs="Times New Roman" w:eastAsia="Times New Roman" w:hAnsi="Times New Roman"/>
          <w:sz w:val="13"/>
          <w:szCs w:val="13"/>
          <w:color w:val="auto"/>
        </w:rPr>
        <w:t>365,707,722</w:t>
      </w:r>
    </w:p>
    <w:p>
      <w:pPr>
        <w:spacing w:after="0" w:line="189" w:lineRule="exact"/>
        <w:rPr>
          <w:sz w:val="20"/>
          <w:szCs w:val="20"/>
          <w:color w:val="auto"/>
        </w:rPr>
      </w:pPr>
    </w:p>
    <w:p>
      <w:pPr>
        <w:sectPr>
          <w:pgSz w:w="11900" w:h="16840" w:orient="portrait"/>
          <w:cols w:equalWidth="0" w:num="2">
            <w:col w:w="1820" w:space="340"/>
            <w:col w:w="7240"/>
          </w:cols>
          <w:pgMar w:left="1060" w:top="555" w:right="1440" w:bottom="277" w:gutter="0" w:footer="0" w:header="0"/>
          <w:type w:val="continuous"/>
        </w:sectPr>
      </w:pPr>
    </w:p>
    <w:p>
      <w:pPr>
        <w:spacing w:after="0"/>
        <w:tabs>
          <w:tab w:leader="none" w:pos="2160" w:val="left"/>
          <w:tab w:leader="none" w:pos="2800" w:val="left"/>
          <w:tab w:leader="none" w:pos="3200" w:val="left"/>
          <w:tab w:leader="none" w:pos="3840" w:val="left"/>
          <w:tab w:leader="none" w:pos="4200" w:val="left"/>
          <w:tab w:leader="none" w:pos="4800" w:val="left"/>
          <w:tab w:leader="none" w:pos="5260" w:val="left"/>
          <w:tab w:leader="none" w:pos="5860" w:val="left"/>
          <w:tab w:leader="none" w:pos="6900" w:val="left"/>
          <w:tab w:leader="none" w:pos="7300" w:val="left"/>
          <w:tab w:leader="none" w:pos="7940" w:val="left"/>
        </w:tabs>
        <w:rPr>
          <w:sz w:val="20"/>
          <w:szCs w:val="20"/>
          <w:color w:val="auto"/>
        </w:rPr>
      </w:pPr>
      <w:r>
        <w:rPr>
          <w:rFonts w:ascii="Times New Roman" w:cs="Times New Roman" w:eastAsia="Times New Roman" w:hAnsi="Times New Roman"/>
          <w:sz w:val="13"/>
          <w:szCs w:val="13"/>
          <w:color w:val="auto"/>
        </w:rPr>
        <w:t>Net income (loss) per common share</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2.85</w:t>
        <w:tab/>
        <w:t>$</w:t>
      </w:r>
      <w:r>
        <w:rPr>
          <w:sz w:val="20"/>
          <w:szCs w:val="20"/>
          <w:color w:val="auto"/>
        </w:rPr>
        <w:tab/>
      </w:r>
      <w:r>
        <w:rPr>
          <w:rFonts w:ascii="Times New Roman" w:cs="Times New Roman" w:eastAsia="Times New Roman" w:hAnsi="Times New Roman"/>
          <w:sz w:val="13"/>
          <w:szCs w:val="13"/>
          <w:b w:val="1"/>
          <w:bCs w:val="1"/>
          <w:color w:val="auto"/>
        </w:rPr>
        <w:t>2.77</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(1.68)</w:t>
        <w:tab/>
        <w:t>$</w:t>
      </w:r>
      <w:r>
        <w:rPr>
          <w:sz w:val="20"/>
          <w:szCs w:val="20"/>
          <w:color w:val="auto"/>
        </w:rPr>
        <w:tab/>
      </w:r>
      <w:r>
        <w:rPr>
          <w:rFonts w:ascii="Times New Roman" w:cs="Times New Roman" w:eastAsia="Times New Roman" w:hAnsi="Times New Roman"/>
          <w:sz w:val="13"/>
          <w:szCs w:val="13"/>
          <w:color w:val="auto"/>
        </w:rPr>
        <w:t>(1.68)  $</w:t>
      </w:r>
      <w:r>
        <w:rPr>
          <w:sz w:val="20"/>
          <w:szCs w:val="20"/>
          <w:color w:val="auto"/>
        </w:rPr>
        <w:tab/>
      </w:r>
      <w:r>
        <w:rPr>
          <w:rFonts w:ascii="Times New Roman" w:cs="Times New Roman" w:eastAsia="Times New Roman" w:hAnsi="Times New Roman"/>
          <w:sz w:val="13"/>
          <w:szCs w:val="13"/>
          <w:color w:val="auto"/>
        </w:rPr>
        <w:t>3.39</w:t>
        <w:tab/>
        <w:t>$</w:t>
      </w:r>
      <w:r>
        <w:rPr>
          <w:sz w:val="20"/>
          <w:szCs w:val="20"/>
          <w:color w:val="auto"/>
        </w:rPr>
        <w:tab/>
      </w:r>
      <w:r>
        <w:rPr>
          <w:rFonts w:ascii="Times New Roman" w:cs="Times New Roman" w:eastAsia="Times New Roman" w:hAnsi="Times New Roman"/>
          <w:sz w:val="13"/>
          <w:szCs w:val="13"/>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5274310" cy="152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274310" cy="152400"/>
                    </a:xfrm>
                    <a:prstGeom prst="rect">
                      <a:avLst/>
                    </a:prstGeom>
                    <a:noFill/>
                  </pic:spPr>
                </pic:pic>
              </a:graphicData>
            </a:graphic>
          </wp:anchor>
        </w:drawing>
      </w:r>
    </w:p>
    <w:p>
      <w:pPr>
        <w:sectPr>
          <w:pgSz w:w="11900" w:h="16840" w:orient="portrait"/>
          <w:cols w:equalWidth="0" w:num="1">
            <w:col w:w="9400"/>
          </w:cols>
          <w:pgMar w:left="1060" w:top="555" w:right="1440" w:bottom="277" w:gutter="0" w:footer="0" w:header="0"/>
          <w:type w:val="continuous"/>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weighted-average common shares outstanding, basic and diluted,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-93345</wp:posOffset>
            </wp:positionV>
            <wp:extent cx="389509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895090" cy="7620"/>
                    </a:xfrm>
                    <a:prstGeom prst="rect">
                      <a:avLst/>
                    </a:prstGeom>
                    <a:noFill/>
                  </pic:spPr>
                </pic:pic>
              </a:graphicData>
            </a:graphic>
          </wp:anchor>
        </w:drawing>
      </w:r>
    </w:p>
    <w:p>
      <w:pPr>
        <w:sectPr>
          <w:pgSz w:w="11900" w:h="16840" w:orient="portrait"/>
          <w:cols w:equalWidth="0" w:num="1">
            <w:col w:w="9400"/>
          </w:cols>
          <w:pgMar w:left="1060" w:top="555" w:right="1440" w:bottom="277"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 w:type="dxa"/>
            <w:vAlign w:val="bottom"/>
          </w:tcPr>
          <w:p>
            <w:pPr>
              <w:spacing w:after="0"/>
              <w:rPr>
                <w:sz w:val="15"/>
                <w:szCs w:val="15"/>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 w:type="dxa"/>
            <w:vAlign w:val="bottom"/>
          </w:tcPr>
          <w:p>
            <w:pPr>
              <w:spacing w:after="0"/>
              <w:rPr>
                <w:sz w:val="15"/>
                <w:szCs w:val="15"/>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0" w:type="dxa"/>
            <w:vAlign w:val="bottom"/>
          </w:tcPr>
          <w:p>
            <w:pPr>
              <w:spacing w:after="0"/>
              <w:rPr>
                <w:sz w:val="1"/>
                <w:szCs w:val="1"/>
                <w:color w:val="auto"/>
              </w:rPr>
            </w:pPr>
          </w:p>
        </w:tc>
      </w:tr>
      <w:tr>
        <w:trPr>
          <w:trHeight w:val="44"/>
        </w:trPr>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w w:val="97"/>
              </w:rPr>
              <w:t>Diluted</w:t>
            </w:r>
          </w:p>
        </w:tc>
        <w:tc>
          <w:tcPr>
            <w:tcW w:w="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0" w:type="dxa"/>
            <w:vAlign w:val="bottom"/>
          </w:tcPr>
          <w:p>
            <w:pPr>
              <w:spacing w:after="0"/>
              <w:rPr>
                <w:sz w:val="1"/>
                <w:szCs w:val="1"/>
                <w:color w:val="auto"/>
              </w:rPr>
            </w:pPr>
          </w:p>
        </w:tc>
      </w:tr>
      <w:tr>
        <w:trPr>
          <w:trHeight w:val="120"/>
        </w:trPr>
        <w:tc>
          <w:tcPr>
            <w:tcW w:w="2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The Carlyle Group Inc. weighted-average</w:t>
            </w: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b w:val="1"/>
                <w:bCs w:val="1"/>
                <w:color w:val="auto"/>
              </w:rPr>
              <w:t>358,584,203</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b w:val="1"/>
                <w:bCs w:val="1"/>
                <w:color w:val="auto"/>
              </w:rPr>
              <w:t>358,584,203</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361,395,823</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361,395,823</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361,278,064</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361,278,064</w:t>
            </w:r>
          </w:p>
        </w:tc>
        <w:tc>
          <w:tcPr>
            <w:tcW w:w="0" w:type="dxa"/>
            <w:vAlign w:val="bottom"/>
          </w:tcPr>
          <w:p>
            <w:pPr>
              <w:spacing w:after="0"/>
              <w:rPr>
                <w:sz w:val="1"/>
                <w:szCs w:val="1"/>
                <w:color w:val="auto"/>
              </w:rPr>
            </w:pPr>
          </w:p>
        </w:tc>
      </w:tr>
      <w:tr>
        <w:trPr>
          <w:trHeight w:val="18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shares outstanding</w:t>
            </w: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Unvested restricted stock units</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6,685,145</w:t>
            </w:r>
          </w:p>
        </w:tc>
        <w:tc>
          <w:tcPr>
            <w:tcW w:w="2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2,394,372</w:t>
            </w:r>
          </w:p>
        </w:tc>
        <w:tc>
          <w:tcPr>
            <w:tcW w:w="0" w:type="dxa"/>
            <w:vAlign w:val="bottom"/>
          </w:tcPr>
          <w:p>
            <w:pPr>
              <w:spacing w:after="0"/>
              <w:rPr>
                <w:sz w:val="1"/>
                <w:szCs w:val="1"/>
                <w:color w:val="auto"/>
              </w:rPr>
            </w:pPr>
          </w:p>
        </w:tc>
      </w:tr>
      <w:tr>
        <w:trPr>
          <w:trHeight w:val="30"/>
        </w:trPr>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Issuable common shares and performance-</w:t>
            </w: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b w:val="1"/>
                <w:bCs w:val="1"/>
                <w:color w:val="auto"/>
              </w:rPr>
              <w:t>2,755,264</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4"/>
              <w:spacing w:after="0" w:line="120"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4"/>
              <w:spacing w:after="0" w:line="120" w:lineRule="exact"/>
              <w:rPr>
                <w:sz w:val="20"/>
                <w:szCs w:val="20"/>
                <w:color w:val="auto"/>
              </w:rPr>
            </w:pPr>
            <w:r>
              <w:rPr>
                <w:rFonts w:ascii="Times New Roman" w:cs="Times New Roman" w:eastAsia="Times New Roman" w:hAnsi="Times New Roman"/>
                <w:sz w:val="13"/>
                <w:szCs w:val="13"/>
                <w:color w:val="auto"/>
              </w:rPr>
              <w:t>2,035,286</w:t>
            </w: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restricted stock units</w:t>
            </w:r>
          </w:p>
        </w:tc>
        <w:tc>
          <w:tcPr>
            <w:tcW w:w="9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358,584,203</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368,024,612</w:t>
            </w: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361,395,823</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361,395,823</w:t>
            </w:r>
          </w:p>
        </w:tc>
        <w:tc>
          <w:tcPr>
            <w:tcW w:w="20" w:type="dxa"/>
            <w:vAlign w:val="bottom"/>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361,278,064</w:t>
            </w:r>
          </w:p>
        </w:tc>
        <w:tc>
          <w:tcPr>
            <w:tcW w:w="60" w:type="dxa"/>
            <w:vAlign w:val="bottom"/>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365,707,722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The Company applies the treasury stock method to determine the dilutive weighted-average common shares</w:t>
      </w:r>
    </w:p>
    <w:p>
      <w:pPr>
        <w:ind w:right="1440"/>
        <w:spacing w:after="0" w:line="203" w:lineRule="auto"/>
        <w:rPr>
          <w:sz w:val="20"/>
          <w:szCs w:val="20"/>
          <w:color w:val="auto"/>
        </w:rPr>
      </w:pPr>
      <w:r>
        <w:rPr>
          <w:rFonts w:ascii="Times New Roman" w:cs="Times New Roman" w:eastAsia="Times New Roman" w:hAnsi="Times New Roman"/>
          <w:sz w:val="16"/>
          <w:szCs w:val="16"/>
          <w:color w:val="auto"/>
        </w:rPr>
        <w:t>represented by the unvested restricted stock units. Also included in the determination of dilutive weighted-average common shares are issuable common shares associated with the Company’s investment in NGP and performance-vesting restricted stock units. For the year ended December 31, 2023, all such awards are antidilutive and excluded from the computation of diluted earnings per share given the net loss attributable to common stockholders.</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13. Equity</w:t>
      </w:r>
    </w:p>
    <w:p>
      <w:pPr>
        <w:ind w:left="180"/>
        <w:spacing w:after="0" w:line="204" w:lineRule="auto"/>
        <w:rPr>
          <w:sz w:val="20"/>
          <w:szCs w:val="20"/>
          <w:color w:val="auto"/>
        </w:rPr>
      </w:pPr>
      <w:r>
        <w:rPr>
          <w:rFonts w:ascii="Times New Roman" w:cs="Times New Roman" w:eastAsia="Times New Roman" w:hAnsi="Times New Roman"/>
          <w:sz w:val="16"/>
          <w:szCs w:val="16"/>
          <w:b w:val="1"/>
          <w:bCs w:val="1"/>
          <w:color w:val="auto"/>
        </w:rPr>
        <w:t>Share Repurchase Program</w:t>
      </w:r>
    </w:p>
    <w:p>
      <w:pPr>
        <w:ind w:right="1420" w:firstLine="216"/>
        <w:spacing w:after="0" w:line="204" w:lineRule="auto"/>
        <w:rPr>
          <w:sz w:val="20"/>
          <w:szCs w:val="20"/>
          <w:color w:val="auto"/>
        </w:rPr>
      </w:pPr>
      <w:r>
        <w:rPr>
          <w:rFonts w:ascii="Times New Roman" w:cs="Times New Roman" w:eastAsia="Times New Roman" w:hAnsi="Times New Roman"/>
          <w:sz w:val="16"/>
          <w:szCs w:val="16"/>
          <w:color w:val="auto"/>
        </w:rPr>
        <w:t>The Board of Directors reset the total repurchase authorization of the Company’s previously approved share repurchase program to $1.4 billion in shares of the Company’s common stock, effective as of February 6, 2024, which authorization replaced the Company’s prior $500 million authorization. Under the share repurchase program, shares of the Company’s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and price, economic, and market conditions. In addition to repurchases of common stock, the share repurchase program is used for the payment of tax withholding amounts upon net share settlement of equity - based awards granted pursuant to our Equity Incentive Plan or otherwise based on the value of shares withheld that would have otherwise been issued to the award holder. The share repurchase program may be suspended or discontinued at any time and does not have a specified expiration date. As of December 31, 2024, $852.2 million of repurchase capacity remained under the program, which reflects both common shares repurchased and shares retired in connection with the net share settlement of equity - based awards. The following table presents the Company’s shares that have been repurchased or retired as a result of net share settlement of equity-based awards during the years ended December 31, 2024 and 2023. Dollar amounts exclude the impact of excise taxes.</w:t>
      </w:r>
    </w:p>
    <w:p>
      <w:pPr>
        <w:sectPr>
          <w:pgSz w:w="11900" w:h="16840" w:orient="portrait"/>
          <w:cols w:equalWidth="0" w:num="1">
            <w:col w:w="9400"/>
          </w:cols>
          <w:pgMar w:left="1060" w:top="556" w:right="1440"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4870450" cy="1295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4870450" cy="129540"/>
                    </a:xfrm>
                    <a:prstGeom prst="rect">
                      <a:avLst/>
                    </a:prstGeom>
                    <a:noFill/>
                  </pic:spPr>
                </pic:pic>
              </a:graphicData>
            </a:graphic>
          </wp:anchor>
        </w:drawing>
      </w:r>
    </w:p>
    <w:p>
      <w:pPr>
        <w:spacing w:after="0" w:line="2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Shares retired in connection with the net share settlement of equity- based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7"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-100330</wp:posOffset>
            </wp:positionV>
            <wp:extent cx="211899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pacing w:after="0" w:line="23" w:lineRule="exact"/>
        <w:rPr>
          <w:sz w:val="20"/>
          <w:szCs w:val="20"/>
          <w:color w:val="auto"/>
        </w:rPr>
      </w:pPr>
    </w:p>
    <w:p>
      <w:pPr>
        <w:spacing w:after="0"/>
        <w:tabs>
          <w:tab w:leader="none" w:pos="820" w:val="left"/>
          <w:tab w:leader="none" w:pos="1660" w:val="left"/>
          <w:tab w:leader="none" w:pos="250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-100330</wp:posOffset>
            </wp:positionV>
            <wp:extent cx="211899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spacing w:after="0" w:line="25" w:lineRule="exact"/>
        <w:rPr>
          <w:sz w:val="20"/>
          <w:szCs w:val="20"/>
          <w:color w:val="auto"/>
        </w:rPr>
      </w:pPr>
    </w:p>
    <w:p>
      <w:pPr>
        <w:ind w:left="100"/>
        <w:spacing w:after="0"/>
        <w:tabs>
          <w:tab w:leader="none" w:pos="820" w:val="left"/>
          <w:tab w:leader="none" w:pos="1180" w:val="left"/>
          <w:tab w:leader="none" w:pos="1760" w:val="left"/>
          <w:tab w:leader="none" w:pos="2500" w:val="left"/>
          <w:tab w:leader="none" w:pos="2860" w:val="left"/>
        </w:tabs>
        <w:rPr>
          <w:sz w:val="20"/>
          <w:szCs w:val="20"/>
          <w:color w:val="auto"/>
        </w:rPr>
      </w:pPr>
      <w:r>
        <w:rPr>
          <w:rFonts w:ascii="Times New Roman" w:cs="Times New Roman" w:eastAsia="Times New Roman" w:hAnsi="Times New Roman"/>
          <w:sz w:val="14"/>
          <w:szCs w:val="14"/>
          <w:color w:val="auto"/>
        </w:rPr>
        <w:t>8,984,957</w:t>
        <w:tab/>
        <w:t>$</w:t>
      </w:r>
      <w:r>
        <w:rPr>
          <w:sz w:val="20"/>
          <w:szCs w:val="20"/>
          <w:color w:val="auto"/>
        </w:rPr>
        <w:tab/>
      </w:r>
      <w:r>
        <w:rPr>
          <w:rFonts w:ascii="Times New Roman" w:cs="Times New Roman" w:eastAsia="Times New Roman" w:hAnsi="Times New Roman"/>
          <w:sz w:val="14"/>
          <w:szCs w:val="14"/>
          <w:color w:val="auto"/>
        </w:rPr>
        <w:t>395.6</w:t>
      </w:r>
      <w:r>
        <w:rPr>
          <w:sz w:val="20"/>
          <w:szCs w:val="20"/>
          <w:color w:val="auto"/>
        </w:rPr>
        <w:tab/>
      </w:r>
      <w:r>
        <w:rPr>
          <w:rFonts w:ascii="Times New Roman" w:cs="Times New Roman" w:eastAsia="Times New Roman" w:hAnsi="Times New Roman"/>
          <w:sz w:val="14"/>
          <w:szCs w:val="14"/>
          <w:color w:val="auto"/>
        </w:rPr>
        <w:t>6,505,037</w:t>
        <w:tab/>
        <w:t>$</w:t>
      </w:r>
      <w:r>
        <w:rPr>
          <w:sz w:val="20"/>
          <w:szCs w:val="20"/>
          <w:color w:val="auto"/>
        </w:rPr>
        <w:tab/>
      </w:r>
      <w:r>
        <w:rPr>
          <w:rFonts w:ascii="Times New Roman" w:cs="Times New Roman" w:eastAsia="Times New Roman" w:hAnsi="Times New Roman"/>
          <w:sz w:val="14"/>
          <w:szCs w:val="14"/>
          <w:color w:val="auto"/>
        </w:rPr>
        <w:t>203.5</w:t>
      </w:r>
    </w:p>
    <w:p>
      <w:pPr>
        <w:spacing w:after="0" w:line="31" w:lineRule="exact"/>
        <w:rPr>
          <w:sz w:val="20"/>
          <w:szCs w:val="20"/>
          <w:color w:val="auto"/>
        </w:rPr>
      </w:pPr>
    </w:p>
    <w:p>
      <w:pPr>
        <w:ind w:left="100"/>
        <w:spacing w:after="0"/>
        <w:tabs>
          <w:tab w:leader="none" w:pos="1180" w:val="left"/>
          <w:tab w:leader="none" w:pos="2200" w:val="left"/>
          <w:tab w:leader="none" w:pos="3040" w:val="left"/>
        </w:tabs>
        <w:rPr>
          <w:sz w:val="20"/>
          <w:szCs w:val="20"/>
          <w:color w:val="auto"/>
        </w:rPr>
      </w:pPr>
      <w:r>
        <w:rPr>
          <w:rFonts w:ascii="Times New Roman" w:cs="Times New Roman" w:eastAsia="Times New Roman" w:hAnsi="Times New Roman"/>
          <w:sz w:val="14"/>
          <w:szCs w:val="14"/>
          <w:color w:val="auto"/>
        </w:rPr>
        <w:t>3,332,881</w:t>
      </w:r>
      <w:r>
        <w:rPr>
          <w:sz w:val="20"/>
          <w:szCs w:val="20"/>
          <w:color w:val="auto"/>
        </w:rPr>
        <w:tab/>
      </w:r>
      <w:r>
        <w:rPr>
          <w:rFonts w:ascii="Times New Roman" w:cs="Times New Roman" w:eastAsia="Times New Roman" w:hAnsi="Times New Roman"/>
          <w:sz w:val="14"/>
          <w:szCs w:val="14"/>
          <w:color w:val="auto"/>
        </w:rPr>
        <w:t>159.0</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87" w:lineRule="exact"/>
        <w:rPr>
          <w:sz w:val="20"/>
          <w:szCs w:val="20"/>
          <w:color w:val="auto"/>
        </w:rPr>
      </w:pPr>
    </w:p>
    <w:p>
      <w:pPr>
        <w:sectPr>
          <w:pgSz w:w="11900" w:h="16840" w:orient="portrait"/>
          <w:cols w:equalWidth="0" w:num="2">
            <w:col w:w="3620" w:space="720"/>
            <w:col w:w="5060"/>
          </w:cols>
          <w:pgMar w:left="1060" w:top="556" w:right="1440" w:bottom="1440" w:gutter="0" w:footer="0" w:header="0"/>
          <w:type w:val="continuous"/>
        </w:sectPr>
      </w:pPr>
    </w:p>
    <w:p>
      <w:pPr>
        <w:spacing w:after="0"/>
        <w:tabs>
          <w:tab w:leader="none" w:pos="4360" w:val="left"/>
          <w:tab w:leader="none" w:pos="5160" w:val="left"/>
          <w:tab w:leader="none" w:pos="5520" w:val="left"/>
          <w:tab w:leader="none" w:pos="6100" w:val="left"/>
          <w:tab w:leader="none" w:pos="6840" w:val="left"/>
          <w:tab w:leader="none" w:pos="7200" w:val="left"/>
        </w:tabs>
        <w:rPr>
          <w:sz w:val="20"/>
          <w:szCs w:val="20"/>
          <w:color w:val="auto"/>
        </w:rPr>
      </w:pPr>
      <w:r>
        <w:rPr>
          <w:rFonts w:ascii="Times New Roman" w:cs="Times New Roman" w:eastAsia="Times New Roman" w:hAnsi="Times New Roman"/>
          <w:sz w:val="14"/>
          <w:szCs w:val="14"/>
          <w:color w:val="auto"/>
        </w:rPr>
        <w:t>Total</w:t>
      </w:r>
      <w:r>
        <w:rPr>
          <w:sz w:val="20"/>
          <w:szCs w:val="20"/>
          <w:color w:val="auto"/>
        </w:rPr>
        <w:tab/>
      </w:r>
      <w:r>
        <w:rPr>
          <w:rFonts w:ascii="Times New Roman" w:cs="Times New Roman" w:eastAsia="Times New Roman" w:hAnsi="Times New Roman"/>
          <w:sz w:val="14"/>
          <w:szCs w:val="14"/>
          <w:color w:val="auto"/>
        </w:rPr>
        <w:t>12,317,838</w:t>
        <w:tab/>
        <w:t>$</w:t>
      </w:r>
      <w:r>
        <w:rPr>
          <w:sz w:val="20"/>
          <w:szCs w:val="20"/>
          <w:color w:val="auto"/>
        </w:rPr>
        <w:tab/>
      </w:r>
      <w:r>
        <w:rPr>
          <w:rFonts w:ascii="Times New Roman" w:cs="Times New Roman" w:eastAsia="Times New Roman" w:hAnsi="Times New Roman"/>
          <w:sz w:val="14"/>
          <w:szCs w:val="14"/>
          <w:color w:val="auto"/>
        </w:rPr>
        <w:t>554.6</w:t>
      </w:r>
      <w:r>
        <w:rPr>
          <w:sz w:val="20"/>
          <w:szCs w:val="20"/>
          <w:color w:val="auto"/>
        </w:rPr>
        <w:tab/>
      </w:r>
      <w:r>
        <w:rPr>
          <w:rFonts w:ascii="Times New Roman" w:cs="Times New Roman" w:eastAsia="Times New Roman" w:hAnsi="Times New Roman"/>
          <w:sz w:val="14"/>
          <w:szCs w:val="14"/>
          <w:color w:val="auto"/>
        </w:rPr>
        <w:t>6,505,037</w:t>
        <w:tab/>
        <w:t>$</w:t>
      </w:r>
      <w:r>
        <w:rPr>
          <w:sz w:val="20"/>
          <w:szCs w:val="20"/>
          <w:color w:val="auto"/>
        </w:rPr>
        <w:tab/>
      </w:r>
      <w:r>
        <w:rPr>
          <w:rFonts w:ascii="Times New Roman" w:cs="Times New Roman" w:eastAsia="Times New Roman" w:hAnsi="Times New Roman"/>
          <w:sz w:val="14"/>
          <w:szCs w:val="14"/>
          <w:color w:val="auto"/>
        </w:rPr>
        <w:t>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4870450" cy="129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4870450" cy="1295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-101600</wp:posOffset>
            </wp:positionV>
            <wp:extent cx="211899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118995" cy="7620"/>
                    </a:xfrm>
                    <a:prstGeom prst="rect">
                      <a:avLst/>
                    </a:prstGeom>
                    <a:noFill/>
                  </pic:spPr>
                </pic:pic>
              </a:graphicData>
            </a:graphic>
          </wp:anchor>
        </w:drawing>
      </w:r>
    </w:p>
    <w:p>
      <w:pPr>
        <w:ind w:right="1960"/>
        <w:spacing w:after="0" w:line="210" w:lineRule="auto"/>
        <w:rPr>
          <w:sz w:val="20"/>
          <w:szCs w:val="20"/>
          <w:color w:val="auto"/>
        </w:rPr>
      </w:pPr>
      <w:r>
        <w:rPr>
          <w:rFonts w:ascii="Times New Roman" w:cs="Times New Roman" w:eastAsia="Times New Roman" w:hAnsi="Times New Roman"/>
          <w:sz w:val="16"/>
          <w:szCs w:val="16"/>
          <w:color w:val="auto"/>
        </w:rPr>
        <w:t>The table below presents information regarding the quarterly dividends on the common shares, which were made at the sole discretion of the Board of Directors of the Company.</w:t>
      </w:r>
    </w:p>
    <w:tbl>
      <w:tblPr>
        <w:tblLayout w:type="fixed"/>
        <w:tblInd w:w="0" w:type="dxa"/>
        <w:tblCellMar>
          <w:top w:w="0" w:type="dxa"/>
          <w:left w:w="0" w:type="dxa"/>
          <w:bottom w:w="0" w:type="dxa"/>
          <w:right w:w="0" w:type="dxa"/>
        </w:tblCellMar>
      </w:tblPr>
      <w:tr>
        <w:trPr>
          <w:trHeight w:val="129"/>
        </w:trPr>
        <w:tc>
          <w:tcPr>
            <w:tcW w:w="18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Dividend Record Date</w:t>
            </w:r>
          </w:p>
        </w:tc>
        <w:tc>
          <w:tcPr>
            <w:tcW w:w="100" w:type="dxa"/>
            <w:vAlign w:val="bottom"/>
          </w:tcPr>
          <w:p>
            <w:pPr>
              <w:spacing w:after="0"/>
              <w:rPr>
                <w:sz w:val="11"/>
                <w:szCs w:val="11"/>
                <w:color w:val="auto"/>
              </w:rPr>
            </w:pPr>
          </w:p>
        </w:tc>
        <w:tc>
          <w:tcPr>
            <w:tcW w:w="18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Dividend Payment Date</w:t>
            </w:r>
          </w:p>
        </w:tc>
        <w:tc>
          <w:tcPr>
            <w:tcW w:w="20" w:type="dxa"/>
            <w:vAlign w:val="bottom"/>
          </w:tcPr>
          <w:p>
            <w:pPr>
              <w:spacing w:after="0"/>
              <w:rPr>
                <w:sz w:val="11"/>
                <w:szCs w:val="11"/>
                <w:color w:val="auto"/>
              </w:rPr>
            </w:pPr>
          </w:p>
        </w:tc>
        <w:tc>
          <w:tcPr>
            <w:tcW w:w="14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Dividend per Common</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Dividend to Common</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16, 2023</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May 23, 2023</w:t>
            </w:r>
          </w:p>
        </w:tc>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1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August 15, 2023</w:t>
            </w:r>
          </w:p>
        </w:tc>
        <w:tc>
          <w:tcPr>
            <w:tcW w:w="10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23, 2023</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21, 2023</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November 29, 2023</w:t>
            </w:r>
          </w:p>
        </w:tc>
        <w:tc>
          <w:tcPr>
            <w:tcW w:w="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126.3</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February 23, 2024</w:t>
            </w:r>
          </w:p>
        </w:tc>
        <w:tc>
          <w:tcPr>
            <w:tcW w:w="10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2024</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52"/>
        </w:trPr>
        <w:tc>
          <w:tcPr>
            <w:tcW w:w="18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2023 Dividend Year</w:t>
            </w:r>
          </w:p>
        </w:tc>
        <w:tc>
          <w:tcPr>
            <w:tcW w:w="1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506.0</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May 14, 2024</w:t>
            </w:r>
          </w:p>
        </w:tc>
        <w:tc>
          <w:tcPr>
            <w:tcW w:w="10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64"/>
        </w:trPr>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August 16, 2024</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26, 2024</w:t>
            </w:r>
          </w:p>
        </w:tc>
        <w:tc>
          <w:tcPr>
            <w:tcW w:w="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November 18, 2024</w:t>
            </w:r>
          </w:p>
        </w:tc>
        <w:tc>
          <w:tcPr>
            <w:tcW w:w="10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25, 2024</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21, 2025</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February 28, 2025</w:t>
            </w:r>
          </w:p>
        </w:tc>
        <w:tc>
          <w:tcPr>
            <w:tcW w:w="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Total 2024 Dividend Year</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Pr>
          <w:p>
            <w:pPr>
              <w:spacing w:after="0"/>
              <w:rPr>
                <w:sz w:val="15"/>
                <w:szCs w:val="15"/>
                <w:color w:val="auto"/>
              </w:rPr>
            </w:pPr>
          </w:p>
        </w:tc>
        <w:tc>
          <w:tcPr>
            <w:tcW w:w="1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10160</wp:posOffset>
            </wp:positionV>
            <wp:extent cx="240093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ectPr>
          <w:pgSz w:w="11900" w:h="16840" w:orient="portrait"/>
          <w:cols w:equalWidth="0" w:num="1">
            <w:col w:w="9400"/>
          </w:cols>
          <w:pgMar w:left="1060" w:top="556" w:right="1440" w:bottom="1440" w:gutter="0" w:footer="0" w:header="0"/>
          <w:type w:val="continuous"/>
        </w:sectPr>
      </w:pPr>
    </w:p>
    <w:p>
      <w:pPr>
        <w:spacing w:after="0" w:line="39" w:lineRule="exact"/>
        <w:rPr>
          <w:sz w:val="20"/>
          <w:szCs w:val="20"/>
          <w:color w:val="auto"/>
        </w:rPr>
      </w:pPr>
    </w:p>
    <w:p>
      <w:pPr>
        <w:ind w:right="1920"/>
        <w:spacing w:after="0" w:line="263" w:lineRule="auto"/>
        <w:rPr>
          <w:sz w:val="20"/>
          <w:szCs w:val="20"/>
          <w:color w:val="auto"/>
        </w:rPr>
      </w:pPr>
      <w:r>
        <w:rPr>
          <w:rFonts w:ascii="Times New Roman" w:cs="Times New Roman" w:eastAsia="Times New Roman" w:hAnsi="Times New Roman"/>
          <w:sz w:val="14"/>
          <w:szCs w:val="14"/>
          <w:color w:val="auto"/>
        </w:rPr>
        <w:t>The Board of Directors will take into account general economic and business conditions, as well as the Company’s strategic plans and prospects, business and investment opportunities, financial condition and obligations, legal, tax and regulatory restrictions, other constraints on the payment of dividends by the Company to its common stockholders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-327025</wp:posOffset>
            </wp:positionV>
            <wp:extent cx="240093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400935" cy="7620"/>
                    </a:xfrm>
                    <a:prstGeom prst="rect">
                      <a:avLst/>
                    </a:prstGeom>
                    <a:noFill/>
                  </pic:spPr>
                </pic:pic>
              </a:graphicData>
            </a:graphic>
          </wp:anchor>
        </w:drawing>
      </w:r>
    </w:p>
    <w:p>
      <w:pPr>
        <w:sectPr>
          <w:pgSz w:w="11900" w:h="16840" w:orient="portrait"/>
          <w:cols w:equalWidth="0" w:num="1">
            <w:col w:w="9400"/>
          </w:cols>
          <w:pgMar w:left="1060" w:top="556" w:right="1440" w:bottom="144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540"/>
        <w:spacing w:after="0" w:line="203" w:lineRule="auto"/>
        <w:rPr>
          <w:sz w:val="20"/>
          <w:szCs w:val="20"/>
          <w:color w:val="auto"/>
        </w:rPr>
      </w:pPr>
      <w:r>
        <w:rPr>
          <w:rFonts w:ascii="Times New Roman" w:cs="Times New Roman" w:eastAsia="Times New Roman" w:hAnsi="Times New Roman"/>
          <w:sz w:val="16"/>
          <w:szCs w:val="16"/>
          <w:color w:val="auto"/>
        </w:rPr>
        <w:t>subsidiaries to the Company, and other such factors as the Board of Directors may deem relevant. In addition, the terms of the Company’s credit facility provide certain limits on the Company’s ability to pay dividends.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14. Equity-Based Compensation</w:t>
      </w:r>
    </w:p>
    <w:p>
      <w:pPr>
        <w:spacing w:after="0" w:line="1" w:lineRule="exact"/>
        <w:rPr>
          <w:sz w:val="20"/>
          <w:szCs w:val="20"/>
          <w:color w:val="auto"/>
        </w:rPr>
      </w:pPr>
    </w:p>
    <w:p>
      <w:pPr>
        <w:ind w:right="1520"/>
        <w:spacing w:after="0" w:line="203" w:lineRule="auto"/>
        <w:rPr>
          <w:sz w:val="20"/>
          <w:szCs w:val="20"/>
          <w:color w:val="auto"/>
        </w:rPr>
      </w:pPr>
      <w:r>
        <w:rPr>
          <w:rFonts w:ascii="Times New Roman" w:cs="Times New Roman" w:eastAsia="Times New Roman" w:hAnsi="Times New Roman"/>
          <w:sz w:val="16"/>
          <w:szCs w:val="16"/>
          <w:color w:val="auto"/>
        </w:rPr>
        <w:t>The Carlyle Group Inc. Amended and Restated 2012 Equity Incentive Plan (the “Equity Incentive Plan,” initially adopted in May 2012 and as most recently amended and restated on May 29, 2024) is a source of equity - based awards permitting the Company to grant to Carlyle employees, directors and consultants non- qualified options, share appreciation rights, common shares, restricted stock units and other awards based on the Company’s shares of common stock. A total of 58,800,000 shares of common stock are authorized for the grant of awards under the Equity Incentive Plan, of which a total of 30,091,970 shares of the Company’s common stock remain available for grant as of December 31, 2024.</w:t>
      </w:r>
    </w:p>
    <w:p>
      <w:pPr>
        <w:spacing w:after="0" w:line="206" w:lineRule="auto"/>
        <w:rPr>
          <w:sz w:val="20"/>
          <w:szCs w:val="20"/>
          <w:color w:val="auto"/>
        </w:rPr>
      </w:pPr>
      <w:r>
        <w:rPr>
          <w:rFonts w:ascii="Times New Roman" w:cs="Times New Roman" w:eastAsia="Times New Roman" w:hAnsi="Times New Roman"/>
          <w:sz w:val="16"/>
          <w:szCs w:val="16"/>
          <w:color w:val="auto"/>
        </w:rPr>
        <w:t>The Company recorded equity-based compensation expense, net of forfeitures of $467.9 million, $249.1 million and</w:t>
      </w:r>
    </w:p>
    <w:p>
      <w:pPr>
        <w:spacing w:after="0" w:line="1" w:lineRule="exact"/>
        <w:rPr>
          <w:sz w:val="20"/>
          <w:szCs w:val="20"/>
          <w:color w:val="auto"/>
        </w:rPr>
      </w:pPr>
    </w:p>
    <w:p>
      <w:pPr>
        <w:ind w:right="1520"/>
        <w:spacing w:after="0" w:line="232" w:lineRule="auto"/>
        <w:rPr>
          <w:sz w:val="20"/>
          <w:szCs w:val="20"/>
          <w:color w:val="auto"/>
        </w:rPr>
      </w:pPr>
      <w:r>
        <w:rPr>
          <w:rFonts w:ascii="Times New Roman" w:cs="Times New Roman" w:eastAsia="Times New Roman" w:hAnsi="Times New Roman"/>
          <w:sz w:val="14"/>
          <w:szCs w:val="14"/>
          <w:color w:val="auto"/>
        </w:rPr>
        <w:t>$154.0 million for the years ended December 31, 2024, 2023 and 2022, respectively. Equity- based compensation expense generates deferred tax assets, which are realized when the units vest. The Company recorded corresponding deferred tax benefits the years ended December 31, 2024, 2023 and 2022 of $88.1 million, $41.1 million and $ 28.7 million, respectively. A portion of the accumulated deferred tax asset associated with equity-based compensation expense was reclassified as a current tax benefit due to units vesting during the years ended December 31, 2024, 2023 and 2022. The net impact of the addition/ (reduction) in deferred tax assets due to the equity-based compensation expense recorded during the period less the tax deduction for units that vested was $39.7 million, $12.7 million and $(3.2) million for the years ended December 31, 2024,</w:t>
      </w:r>
    </w:p>
    <w:p>
      <w:pPr>
        <w:spacing w:after="0" w:line="3" w:lineRule="exact"/>
        <w:rPr>
          <w:sz w:val="20"/>
          <w:szCs w:val="20"/>
          <w:color w:val="auto"/>
        </w:rPr>
      </w:pPr>
    </w:p>
    <w:p>
      <w:pPr>
        <w:jc w:val="both"/>
        <w:ind w:right="1560"/>
        <w:spacing w:after="0" w:line="203" w:lineRule="auto"/>
        <w:rPr>
          <w:sz w:val="20"/>
          <w:szCs w:val="20"/>
          <w:color w:val="auto"/>
        </w:rPr>
      </w:pPr>
      <w:r>
        <w:rPr>
          <w:rFonts w:ascii="Times New Roman" w:cs="Times New Roman" w:eastAsia="Times New Roman" w:hAnsi="Times New Roman"/>
          <w:sz w:val="16"/>
          <w:szCs w:val="16"/>
          <w:color w:val="auto"/>
        </w:rPr>
        <w:t>2023 and 2022, respectively. As of December 31, 2024, the total unrecognized equity-based compensation expense related to unvested deferred restricted stock units was $496.0 million, which is expected to be recognized over a weighted-average term of 1.9 years.</w:t>
      </w:r>
    </w:p>
    <w:p>
      <w:pPr>
        <w:spacing w:after="0" w:line="1"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 xml:space="preserve">Equity-based awards issued to non-employees, including non- employee directors and consultants, are recognized as general, administrative and other expenses. The grant -date fair value of deferred restricted stock units granted to non-employees is charged to expense on a straight- line basis over the vesting period. Equity -based awards that require the satisfaction of future service criteria are recognized over the relevant service period. The expense for equity-based awards issued to non-employees was $11.6 million, $6.5 million and $5.0 million for the years ended December 31, 2024, 2023 and 2022, respectively. </w:t>
      </w:r>
      <w:r>
        <w:rPr>
          <w:rFonts w:ascii="Times New Roman" w:cs="Times New Roman" w:eastAsia="Times New Roman" w:hAnsi="Times New Roman"/>
          <w:sz w:val="16"/>
          <w:szCs w:val="16"/>
          <w:i w:val="1"/>
          <w:iCs w:val="1"/>
          <w:color w:val="auto"/>
        </w:rPr>
        <w:t>Restricted Stock Units</w:t>
      </w:r>
    </w:p>
    <w:p>
      <w:pPr>
        <w:spacing w:after="0" w:line="3" w:lineRule="exact"/>
        <w:rPr>
          <w:sz w:val="20"/>
          <w:szCs w:val="20"/>
          <w:color w:val="auto"/>
        </w:rPr>
      </w:pPr>
    </w:p>
    <w:p>
      <w:pPr>
        <w:ind w:right="1800"/>
        <w:spacing w:after="0" w:line="203" w:lineRule="auto"/>
        <w:rPr>
          <w:sz w:val="20"/>
          <w:szCs w:val="20"/>
          <w:color w:val="auto"/>
        </w:rPr>
      </w:pPr>
      <w:r>
        <w:rPr>
          <w:rFonts w:ascii="Times New Roman" w:cs="Times New Roman" w:eastAsia="Times New Roman" w:hAnsi="Times New Roman"/>
          <w:sz w:val="16"/>
          <w:szCs w:val="16"/>
          <w:color w:val="auto"/>
        </w:rPr>
        <w:t>The Company grants deferred restricted stock units that are unvested when granted and vest ratably over a service period, which generally ranges from one year to four years. The grant-date fair value of the deferred restricted stock units granted to Carlyle’s employees is charged to equity-based compensation expense on a straight-line basis over the required service period.</w:t>
      </w:r>
    </w:p>
    <w:p>
      <w:pPr>
        <w:spacing w:after="0" w:line="205" w:lineRule="auto"/>
        <w:rPr>
          <w:sz w:val="20"/>
          <w:szCs w:val="20"/>
          <w:color w:val="auto"/>
        </w:rPr>
      </w:pPr>
      <w:r>
        <w:rPr>
          <w:rFonts w:ascii="Times New Roman" w:cs="Times New Roman" w:eastAsia="Times New Roman" w:hAnsi="Times New Roman"/>
          <w:sz w:val="16"/>
          <w:szCs w:val="16"/>
          <w:color w:val="auto"/>
        </w:rPr>
        <w:t>During 2021, the Company granted 7.1 million shares long-term, strategic restricted stock units to certain senior</w:t>
      </w:r>
    </w:p>
    <w:p>
      <w:pPr>
        <w:spacing w:after="0" w:line="1" w:lineRule="exact"/>
        <w:rPr>
          <w:sz w:val="20"/>
          <w:szCs w:val="20"/>
          <w:color w:val="auto"/>
        </w:rPr>
      </w:pPr>
    </w:p>
    <w:p>
      <w:pPr>
        <w:ind w:right="1440"/>
        <w:spacing w:after="0" w:line="232" w:lineRule="auto"/>
        <w:rPr>
          <w:sz w:val="20"/>
          <w:szCs w:val="20"/>
          <w:color w:val="auto"/>
        </w:rPr>
      </w:pPr>
      <w:r>
        <w:rPr>
          <w:rFonts w:ascii="Times New Roman" w:cs="Times New Roman" w:eastAsia="Times New Roman" w:hAnsi="Times New Roman"/>
          <w:sz w:val="14"/>
          <w:szCs w:val="14"/>
          <w:color w:val="auto"/>
        </w:rPr>
        <w:t>professionals, the majority of which are eligible to vest based on the achievement of annual performance targets over four years across a number of the Company’s employees. Compensation cost is recognized over the requisite service period if it is probable that the performance condition will be satisfied. The final tranche of these strategic awards vested in February 2025. During 2023, the Company granted 6.8 million shares related to equity inducement awards granted in connection with</w:t>
      </w:r>
    </w:p>
    <w:p>
      <w:pPr>
        <w:spacing w:after="0" w:line="2" w:lineRule="exact"/>
        <w:rPr>
          <w:sz w:val="20"/>
          <w:szCs w:val="20"/>
          <w:color w:val="auto"/>
        </w:rPr>
      </w:pPr>
    </w:p>
    <w:p>
      <w:pPr>
        <w:ind w:right="1480"/>
        <w:spacing w:after="0" w:line="203" w:lineRule="auto"/>
        <w:rPr>
          <w:sz w:val="20"/>
          <w:szCs w:val="20"/>
          <w:color w:val="auto"/>
        </w:rPr>
      </w:pPr>
      <w:r>
        <w:rPr>
          <w:rFonts w:ascii="Times New Roman" w:cs="Times New Roman" w:eastAsia="Times New Roman" w:hAnsi="Times New Roman"/>
          <w:sz w:val="16"/>
          <w:szCs w:val="16"/>
          <w:color w:val="auto"/>
        </w:rPr>
        <w:t>the appointment of the Company’s Chief Executive Officer, which included 2.1 million time-based restricted stock units which are eligible to vest ratably in four equal installments. The first and second installments of the time-based award vested in December 2023 and 2024, respectively.</w:t>
      </w:r>
    </w:p>
    <w:p>
      <w:pPr>
        <w:spacing w:after="0" w:line="205" w:lineRule="auto"/>
        <w:rPr>
          <w:sz w:val="20"/>
          <w:szCs w:val="20"/>
          <w:color w:val="auto"/>
        </w:rPr>
      </w:pPr>
      <w:r>
        <w:rPr>
          <w:rFonts w:ascii="Times New Roman" w:cs="Times New Roman" w:eastAsia="Times New Roman" w:hAnsi="Times New Roman"/>
          <w:sz w:val="16"/>
          <w:szCs w:val="16"/>
          <w:i w:val="1"/>
          <w:iCs w:val="1"/>
          <w:color w:val="auto"/>
        </w:rPr>
        <w:t>Performance-Vesting Restricted Stock Units</w:t>
      </w:r>
    </w:p>
    <w:p>
      <w:pPr>
        <w:ind w:right="1420"/>
        <w:spacing w:after="0" w:line="203" w:lineRule="auto"/>
        <w:rPr>
          <w:sz w:val="20"/>
          <w:szCs w:val="20"/>
          <w:color w:val="auto"/>
        </w:rPr>
      </w:pPr>
      <w:r>
        <w:rPr>
          <w:rFonts w:ascii="Times New Roman" w:cs="Times New Roman" w:eastAsia="Times New Roman" w:hAnsi="Times New Roman"/>
          <w:sz w:val="16"/>
          <w:szCs w:val="16"/>
          <w:color w:val="auto"/>
        </w:rPr>
        <w:t>The Company has also granted awards which are subject to both a service-based vesting condition and a market price based vesting condition for certain awards. Compensation cost for the awards containing market conditions, including stock price performance conditions, is based on a grant-date fair value that factors in the probability that the market conditions will be achieved and is recognized over the requisite service period on a straight-line basis.</w:t>
      </w:r>
    </w:p>
    <w:p>
      <w:pPr>
        <w:spacing w:after="0" w:line="2" w:lineRule="exact"/>
        <w:rPr>
          <w:sz w:val="20"/>
          <w:szCs w:val="20"/>
          <w:color w:val="auto"/>
        </w:rPr>
      </w:pPr>
    </w:p>
    <w:p>
      <w:pPr>
        <w:ind w:right="1560"/>
        <w:spacing w:after="0" w:line="213" w:lineRule="auto"/>
        <w:rPr>
          <w:sz w:val="20"/>
          <w:szCs w:val="20"/>
          <w:color w:val="auto"/>
        </w:rPr>
      </w:pPr>
      <w:r>
        <w:rPr>
          <w:rFonts w:ascii="Times New Roman" w:cs="Times New Roman" w:eastAsia="Times New Roman" w:hAnsi="Times New Roman"/>
          <w:sz w:val="16"/>
          <w:szCs w:val="16"/>
          <w:color w:val="auto"/>
        </w:rPr>
        <w:t>The equity inducement awards granted in connection with the appointment of the Company’s Chief Executive Officer in 2023 included 4.7 million performance -based restricted stock units which contain stock price performance conditions. During the years ended December 31, 2024 and 2023, the Company recognized $30.0 million and $49.5 million, respectively, in equity-based compensation expense related to these performance- based restricted stock units.</w:t>
      </w:r>
    </w:p>
    <w:p>
      <w:pPr>
        <w:sectPr>
          <w:pgSz w:w="11900" w:h="16840" w:orient="portrait"/>
          <w:cols w:equalWidth="0" w:num="1">
            <w:col w:w="9400"/>
          </w:cols>
          <w:pgMar w:left="1060" w:top="1440" w:right="1440"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During 2024, the Company granted 13.2 million restricted stock units to certain senior Carlyle professionals that are</w:t>
      </w:r>
    </w:p>
    <w:p>
      <w:pPr>
        <w:spacing w:after="0"/>
        <w:rPr>
          <w:sz w:val="20"/>
          <w:szCs w:val="20"/>
          <w:color w:val="auto"/>
        </w:rPr>
      </w:pPr>
      <w:r>
        <w:rPr>
          <w:rFonts w:ascii="Times New Roman" w:cs="Times New Roman" w:eastAsia="Times New Roman" w:hAnsi="Times New Roman"/>
          <w:sz w:val="14"/>
          <w:szCs w:val="14"/>
          <w:color w:val="auto"/>
        </w:rPr>
        <w:t>eligible to vest in three tranches based on the achievement of stock price performance over service periods of one, two, or three</w:t>
      </w:r>
    </w:p>
    <w:p>
      <w:pPr>
        <w:sectPr>
          <w:pgSz w:w="11900" w:h="16840" w:orient="portrait"/>
          <w:cols w:equalWidth="0" w:num="1">
            <w:col w:w="9400"/>
          </w:cols>
          <w:pgMar w:left="1060" w:top="1440" w:right="1440" w:bottom="163" w:gutter="0" w:footer="0" w:header="0"/>
          <w:type w:val="continuous"/>
        </w:sectPr>
      </w:pPr>
    </w:p>
    <w:bookmarkStart w:id="172" w:name="page173"/>
    <w:bookmarkEnd w:id="172"/>
    <w:p>
      <w:pPr>
        <w:ind w:right="1420"/>
        <w:spacing w:after="0" w:line="208" w:lineRule="auto"/>
        <w:rPr>
          <w:sz w:val="20"/>
          <w:szCs w:val="20"/>
          <w:color w:val="auto"/>
        </w:rPr>
      </w:pPr>
      <w:r>
        <w:rPr>
          <w:rFonts w:ascii="Times New Roman" w:cs="Times New Roman" w:eastAsia="Times New Roman" w:hAnsi="Times New Roman"/>
          <w:sz w:val="16"/>
          <w:szCs w:val="16"/>
          <w:color w:val="auto"/>
        </w:rPr>
        <w:t>years. Equity- based compensation expense for each tranche is recognized on a straight- line basis over its respective service period. These awards had a grant date fair value of approximately $ 347 million, which was derived using the Monte Carlo Simulation model. The significant assumptions used to estimate the grant date fair value of these awards included a risk-free rate of 4.15% and a concluded equity volatility of 40%. The Company recognized $201.6 million in equity-based compensation expense related to these awards during the year ended December 31, 2024.</w:t>
      </w:r>
    </w:p>
    <w:p>
      <w:pPr>
        <w:spacing w:after="0" w:line="204" w:lineRule="auto"/>
        <w:rPr>
          <w:sz w:val="20"/>
          <w:szCs w:val="20"/>
          <w:color w:val="auto"/>
        </w:rPr>
      </w:pPr>
      <w:r>
        <w:rPr>
          <w:rFonts w:ascii="Times New Roman" w:cs="Times New Roman" w:eastAsia="Times New Roman" w:hAnsi="Times New Roman"/>
          <w:sz w:val="16"/>
          <w:szCs w:val="16"/>
          <w:i w:val="1"/>
          <w:iCs w:val="1"/>
          <w:color w:val="auto"/>
        </w:rPr>
        <w:t>Common Shares</w:t>
      </w:r>
    </w:p>
    <w:p>
      <w:pPr>
        <w:spacing w:after="0" w:line="204" w:lineRule="auto"/>
        <w:rPr>
          <w:sz w:val="20"/>
          <w:szCs w:val="20"/>
          <w:color w:val="auto"/>
        </w:rPr>
      </w:pPr>
      <w:r>
        <w:rPr>
          <w:rFonts w:ascii="Times New Roman" w:cs="Times New Roman" w:eastAsia="Times New Roman" w:hAnsi="Times New Roman"/>
          <w:sz w:val="16"/>
          <w:szCs w:val="16"/>
          <w:color w:val="auto"/>
        </w:rPr>
        <w:t>In connection with its strategic investment in NGP, the Company agreed to grant common shares on an annual basis</w:t>
      </w:r>
    </w:p>
    <w:p>
      <w:pPr>
        <w:ind w:right="1540"/>
        <w:spacing w:after="0" w:line="203" w:lineRule="auto"/>
        <w:rPr>
          <w:sz w:val="20"/>
          <w:szCs w:val="20"/>
          <w:color w:val="auto"/>
        </w:rPr>
      </w:pPr>
      <w:r>
        <w:rPr>
          <w:rFonts w:ascii="Times New Roman" w:cs="Times New Roman" w:eastAsia="Times New Roman" w:hAnsi="Times New Roman"/>
          <w:sz w:val="16"/>
          <w:szCs w:val="16"/>
          <w:color w:val="auto"/>
        </w:rPr>
        <w:t>with a value not to exceed $10.0 million based on a prescribed formula, which will vest over a 42-month period. Because the Company accounts for its investment in NGP under the equity method of accounting, the fair value of the shares is recognized as a reduction to principal investment income. During the years ended December 31, 2024, 2023 and 2022, the Company recognized $8.9 million, $ 8.8 million and $8.4 million, respectively, as a reduction to principal investment income related to these shares.</w:t>
      </w:r>
    </w:p>
    <w:p>
      <w:pPr>
        <w:spacing w:after="0" w:line="2" w:lineRule="exact"/>
        <w:rPr>
          <w:sz w:val="20"/>
          <w:szCs w:val="20"/>
          <w:color w:val="auto"/>
        </w:rPr>
      </w:pPr>
    </w:p>
    <w:p>
      <w:pPr>
        <w:ind w:right="2100"/>
        <w:spacing w:after="0" w:line="209" w:lineRule="auto"/>
        <w:rPr>
          <w:sz w:val="20"/>
          <w:szCs w:val="20"/>
          <w:color w:val="auto"/>
        </w:rPr>
      </w:pPr>
      <w:r>
        <w:rPr>
          <w:rFonts w:ascii="Times New Roman" w:cs="Times New Roman" w:eastAsia="Times New Roman" w:hAnsi="Times New Roman"/>
          <w:sz w:val="16"/>
          <w:szCs w:val="16"/>
          <w:color w:val="auto"/>
        </w:rPr>
        <w:t>A summary of the status of the Company’s non-vested equity-based awards as of December 31, 2024 and a summary of changes from December 31, 2021 through December 31, 2024, are presented below:</w:t>
      </w:r>
    </w:p>
    <w:tbl>
      <w:tblPr>
        <w:tblLayout w:type="fixed"/>
        <w:tblInd w:w="0" w:type="dxa"/>
        <w:tblCellMar>
          <w:top w:w="0" w:type="dxa"/>
          <w:left w:w="0" w:type="dxa"/>
          <w:bottom w:w="0" w:type="dxa"/>
          <w:right w:w="0" w:type="dxa"/>
        </w:tblCellMar>
      </w:tblPr>
      <w:tr>
        <w:trPr>
          <w:trHeight w:val="119"/>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Unvested Shares</w:t>
            </w:r>
          </w:p>
        </w:tc>
        <w:tc>
          <w:tcPr>
            <w:tcW w:w="98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Performance-</w:t>
            </w:r>
          </w:p>
        </w:tc>
        <w:tc>
          <w:tcPr>
            <w:tcW w:w="2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10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2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9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Unvested</w:t>
            </w:r>
          </w:p>
        </w:tc>
        <w:tc>
          <w:tcPr>
            <w:tcW w:w="4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Weighted-</w:t>
            </w:r>
          </w:p>
        </w:tc>
      </w:tr>
      <w:tr>
        <w:trPr>
          <w:trHeight w:val="120"/>
        </w:trPr>
        <w:tc>
          <w:tcPr>
            <w:tcW w:w="1740" w:type="dxa"/>
            <w:vAlign w:val="bottom"/>
          </w:tcPr>
          <w:p>
            <w:pPr>
              <w:spacing w:after="0"/>
              <w:rPr>
                <w:sz w:val="10"/>
                <w:szCs w:val="10"/>
                <w:color w:val="auto"/>
              </w:rPr>
            </w:pPr>
          </w:p>
        </w:tc>
        <w:tc>
          <w:tcPr>
            <w:tcW w:w="9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Vesting</w:t>
            </w:r>
          </w:p>
        </w:tc>
        <w:tc>
          <w:tcPr>
            <w:tcW w:w="20" w:type="dxa"/>
            <w:vAlign w:val="bottom"/>
          </w:tcPr>
          <w:p>
            <w:pPr>
              <w:spacing w:after="0"/>
              <w:rPr>
                <w:sz w:val="10"/>
                <w:szCs w:val="10"/>
                <w:color w:val="auto"/>
              </w:rPr>
            </w:pPr>
          </w:p>
        </w:tc>
        <w:tc>
          <w:tcPr>
            <w:tcW w:w="5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Average</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Stock</w:t>
            </w:r>
          </w:p>
        </w:tc>
        <w:tc>
          <w:tcPr>
            <w:tcW w:w="20" w:type="dxa"/>
            <w:vAlign w:val="bottom"/>
          </w:tcPr>
          <w:p>
            <w:pPr>
              <w:spacing w:after="0"/>
              <w:rPr>
                <w:sz w:val="10"/>
                <w:szCs w:val="10"/>
                <w:color w:val="auto"/>
              </w:rPr>
            </w:pPr>
          </w:p>
        </w:tc>
        <w:tc>
          <w:tcPr>
            <w:tcW w:w="52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Average</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Common</w:t>
            </w:r>
          </w:p>
        </w:tc>
        <w:tc>
          <w:tcPr>
            <w:tcW w:w="40" w:type="dxa"/>
            <w:vAlign w:val="bottom"/>
          </w:tcPr>
          <w:p>
            <w:pPr>
              <w:spacing w:after="0"/>
              <w:rPr>
                <w:sz w:val="10"/>
                <w:szCs w:val="10"/>
                <w:color w:val="auto"/>
              </w:rPr>
            </w:pPr>
          </w:p>
        </w:tc>
        <w:tc>
          <w:tcPr>
            <w:tcW w:w="54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Average</w:t>
            </w:r>
          </w:p>
        </w:tc>
        <w:tc>
          <w:tcPr>
            <w:tcW w:w="440" w:type="dxa"/>
            <w:vAlign w:val="bottom"/>
          </w:tcPr>
          <w:p>
            <w:pPr>
              <w:spacing w:after="0"/>
              <w:rPr>
                <w:sz w:val="10"/>
                <w:szCs w:val="10"/>
                <w:color w:val="auto"/>
              </w:rPr>
            </w:pPr>
          </w:p>
        </w:tc>
      </w:tr>
      <w:tr>
        <w:trPr>
          <w:trHeight w:val="120"/>
        </w:trPr>
        <w:tc>
          <w:tcPr>
            <w:tcW w:w="1740" w:type="dxa"/>
            <w:vAlign w:val="bottom"/>
          </w:tcPr>
          <w:p>
            <w:pPr>
              <w:spacing w:after="0"/>
              <w:rPr>
                <w:sz w:val="10"/>
                <w:szCs w:val="10"/>
                <w:color w:val="auto"/>
              </w:rPr>
            </w:pPr>
          </w:p>
        </w:tc>
        <w:tc>
          <w:tcPr>
            <w:tcW w:w="98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Restricted</w:t>
            </w:r>
          </w:p>
        </w:tc>
        <w:tc>
          <w:tcPr>
            <w:tcW w:w="2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20" w:type="dxa"/>
            <w:vAlign w:val="bottom"/>
          </w:tcPr>
          <w:p>
            <w:pPr>
              <w:spacing w:after="0"/>
              <w:rPr>
                <w:sz w:val="10"/>
                <w:szCs w:val="10"/>
                <w:color w:val="auto"/>
              </w:rPr>
            </w:pPr>
          </w:p>
        </w:tc>
        <w:tc>
          <w:tcPr>
            <w:tcW w:w="10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Units</w:t>
            </w:r>
          </w:p>
        </w:tc>
        <w:tc>
          <w:tcPr>
            <w:tcW w:w="20" w:type="dxa"/>
            <w:vAlign w:val="bottom"/>
          </w:tcPr>
          <w:p>
            <w:pPr>
              <w:spacing w:after="0"/>
              <w:rPr>
                <w:sz w:val="10"/>
                <w:szCs w:val="10"/>
                <w:color w:val="auto"/>
              </w:rPr>
            </w:pPr>
          </w:p>
        </w:tc>
        <w:tc>
          <w:tcPr>
            <w:tcW w:w="9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20" w:type="dxa"/>
            <w:vAlign w:val="bottom"/>
          </w:tcPr>
          <w:p>
            <w:pPr>
              <w:spacing w:after="0"/>
              <w:rPr>
                <w:sz w:val="10"/>
                <w:szCs w:val="10"/>
                <w:color w:val="auto"/>
              </w:rPr>
            </w:pPr>
          </w:p>
        </w:tc>
        <w:tc>
          <w:tcPr>
            <w:tcW w:w="9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Grant Date</w:t>
            </w:r>
          </w:p>
        </w:tc>
      </w:tr>
      <w:tr>
        <w:trPr>
          <w:trHeight w:val="174"/>
        </w:trPr>
        <w:tc>
          <w:tcPr>
            <w:tcW w:w="17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 Units</w:t>
            </w:r>
          </w:p>
        </w:tc>
        <w:tc>
          <w:tcPr>
            <w:tcW w:w="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54"/>
        </w:trPr>
        <w:tc>
          <w:tcPr>
            <w:tcW w:w="17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16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2021</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14,775,651</w:t>
            </w:r>
          </w:p>
        </w:tc>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30.70</w:t>
            </w:r>
          </w:p>
        </w:tc>
        <w:tc>
          <w:tcPr>
            <w:tcW w:w="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635,430</w:t>
            </w:r>
          </w:p>
        </w:tc>
        <w:tc>
          <w:tcPr>
            <w:tcW w:w="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29.27</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4,216,827</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40.35</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188,223</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49.06</w:t>
            </w:r>
          </w:p>
        </w:tc>
      </w:tr>
      <w:tr>
        <w:trPr>
          <w:trHeight w:val="32"/>
        </w:trPr>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5,805,437</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28.15</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370,773</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26.54</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2,321,793</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30.84</w:t>
            </w:r>
          </w:p>
        </w:tc>
        <w:tc>
          <w:tcPr>
            <w:tcW w:w="2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32"/>
        </w:trPr>
        <w:tc>
          <w:tcPr>
            <w:tcW w:w="1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16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2022</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10,865,248</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35.78</w:t>
            </w:r>
          </w:p>
        </w:tc>
        <w:tc>
          <w:tcPr>
            <w:tcW w:w="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452,880</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39.73</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8"/>
                <w:szCs w:val="8"/>
                <w:color w:val="auto"/>
              </w:rPr>
              <w:t>(1)</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4,941,317</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23.19</w:t>
            </w:r>
          </w:p>
        </w:tc>
        <w:tc>
          <w:tcPr>
            <w:tcW w:w="10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13,332,230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32.36</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258,579</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39.73</w:t>
            </w:r>
          </w:p>
        </w:tc>
      </w:tr>
      <w:tr>
        <w:trPr>
          <w:trHeight w:val="32"/>
        </w:trPr>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5,280,029</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31.86</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252,530</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34.85</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1,685,119</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32.24</w:t>
            </w:r>
          </w:p>
        </w:tc>
        <w:tc>
          <w:tcPr>
            <w:tcW w:w="2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37.91</w:t>
            </w:r>
          </w:p>
        </w:tc>
      </w:tr>
      <w:tr>
        <w:trPr>
          <w:trHeight w:val="32"/>
        </w:trPr>
        <w:tc>
          <w:tcPr>
            <w:tcW w:w="1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16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4,941,317</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23.19</w:t>
            </w:r>
          </w:p>
        </w:tc>
        <w:tc>
          <w:tcPr>
            <w:tcW w:w="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17,232,330</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34.68</w:t>
            </w:r>
          </w:p>
        </w:tc>
        <w:tc>
          <w:tcPr>
            <w:tcW w:w="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458,929</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37.87</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8"/>
                <w:szCs w:val="8"/>
                <w:color w:val="auto"/>
              </w:rPr>
              <w:t>(1)</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13,286,934</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26.55</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5,659,849</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40.92</w:t>
            </w: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247,293</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40.08</w:t>
            </w:r>
          </w:p>
        </w:tc>
      </w:tr>
      <w:tr>
        <w:trPr>
          <w:trHeight w:val="32"/>
        </w:trPr>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8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r>
              <w:rPr>
                <w:rFonts w:ascii="Times New Roman" w:cs="Times New Roman" w:eastAsia="Times New Roman" w:hAnsi="Times New Roman"/>
                <w:sz w:val="8"/>
                <w:szCs w:val="8"/>
                <w:color w:val="auto"/>
              </w:rPr>
              <w:t>(2)</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995,848</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29.86</w:t>
            </w:r>
          </w:p>
        </w:tc>
        <w:tc>
          <w:tcPr>
            <w:tcW w:w="10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6,932,134</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33.39</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247,316</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34.52</w:t>
            </w:r>
          </w:p>
        </w:tc>
      </w:tr>
      <w:tr>
        <w:trPr>
          <w:trHeight w:val="172"/>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292,253</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24.55</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1,993,557</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33.86</w:t>
            </w:r>
          </w:p>
        </w:tc>
        <w:tc>
          <w:tcPr>
            <w:tcW w:w="2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32"/>
        </w:trPr>
        <w:tc>
          <w:tcPr>
            <w:tcW w:w="1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164"/>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December 31, 2024</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16,940,150</w:t>
            </w: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25.41</w:t>
            </w:r>
          </w:p>
        </w:tc>
        <w:tc>
          <w:tcPr>
            <w:tcW w:w="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13,966,488</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37.97</w:t>
            </w:r>
          </w:p>
        </w:tc>
        <w:tc>
          <w:tcPr>
            <w:tcW w:w="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458,906</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39.35</w:t>
            </w:r>
          </w:p>
        </w:tc>
      </w:tr>
    </w:tbl>
    <w:p>
      <w:pPr>
        <w:jc w:val="both"/>
        <w:ind w:right="1620"/>
        <w:spacing w:after="0" w:line="203" w:lineRule="auto"/>
        <w:rPr>
          <w:sz w:val="20"/>
          <w:szCs w:val="20"/>
          <w:color w:val="auto"/>
        </w:rPr>
      </w:pPr>
      <w:r>
        <w:rPr>
          <w:rFonts w:ascii="Times New Roman" w:cs="Times New Roman" w:eastAsia="Times New Roman" w:hAnsi="Times New Roman"/>
          <w:sz w:val="13"/>
          <w:szCs w:val="13"/>
          <w:color w:val="auto"/>
        </w:rPr>
        <w:t>(1)Includes shares reserved for issuance upon settlement of dividend-equivalent rights carried by certain restricted stock units concurrently with the settlement of the restricted stock units for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-152400</wp:posOffset>
            </wp:positionV>
            <wp:extent cx="62484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24840" cy="76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-152400</wp:posOffset>
            </wp:positionV>
            <wp:extent cx="62484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24840" cy="7620"/>
                    </a:xfrm>
                    <a:prstGeom prst="rect">
                      <a:avLst/>
                    </a:prstGeom>
                    <a:noFill/>
                  </pic:spPr>
                </pic:pic>
              </a:graphicData>
            </a:graphic>
          </wp:anchor>
        </w:drawing>
        <w:drawing>
          <wp:anchor simplePos="0" relativeHeight="251657728" behindDoc="1" locked="0" layoutInCell="0" allowOverlap="1">
            <wp:simplePos x="0" y="0"/>
            <wp:positionH relativeFrom="column">
              <wp:posOffset>3660140</wp:posOffset>
            </wp:positionH>
            <wp:positionV relativeFrom="paragraph">
              <wp:posOffset>-152400</wp:posOffset>
            </wp:positionV>
            <wp:extent cx="62484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24840" cy="7620"/>
                    </a:xfrm>
                    <a:prstGeom prst="rect">
                      <a:avLst/>
                    </a:prstGeom>
                    <a:noFill/>
                  </pic:spPr>
                </pic:pic>
              </a:graphicData>
            </a:graphic>
          </wp:anchor>
        </w:drawing>
      </w:r>
    </w:p>
    <w:p>
      <w:pPr>
        <w:jc w:val="both"/>
        <w:ind w:right="1400"/>
        <w:spacing w:after="0" w:line="194" w:lineRule="auto"/>
        <w:rPr>
          <w:sz w:val="20"/>
          <w:szCs w:val="20"/>
          <w:color w:val="auto"/>
        </w:rPr>
      </w:pPr>
      <w:r>
        <w:rPr>
          <w:rFonts w:ascii="Times New Roman" w:cs="Times New Roman" w:eastAsia="Times New Roman" w:hAnsi="Times New Roman"/>
          <w:sz w:val="13"/>
          <w:szCs w:val="13"/>
          <w:color w:val="auto"/>
        </w:rPr>
        <w:t>(2)Includes 3,332,881 shares that were retired in connection with the net share settlement of equity-based awards. The Company paid $159.0 million of taxes related to the net share settlement of equity -based awards during the year ended December 31, 2024, which is included within Financing activities in the consolidated statements of cash flows.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15. Segment Reporting</w:t>
      </w:r>
    </w:p>
    <w:p>
      <w:pPr>
        <w:spacing w:after="0" w:line="204" w:lineRule="auto"/>
        <w:rPr>
          <w:sz w:val="20"/>
          <w:szCs w:val="20"/>
          <w:color w:val="auto"/>
        </w:rPr>
      </w:pPr>
      <w:r>
        <w:rPr>
          <w:rFonts w:ascii="Times New Roman" w:cs="Times New Roman" w:eastAsia="Times New Roman" w:hAnsi="Times New Roman"/>
          <w:sz w:val="16"/>
          <w:szCs w:val="16"/>
          <w:color w:val="auto"/>
        </w:rPr>
        <w:t>Carlyle conducts its operations through three reportable segments:</w:t>
      </w:r>
    </w:p>
    <w:p>
      <w:pPr>
        <w:ind w:right="206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Global Private Equity </w:t>
      </w:r>
      <w:r>
        <w:rPr>
          <w:rFonts w:ascii="Times New Roman" w:cs="Times New Roman" w:eastAsia="Times New Roman" w:hAnsi="Times New Roman"/>
          <w:sz w:val="16"/>
          <w:szCs w:val="16"/>
          <w:color w:val="auto"/>
        </w:rPr>
        <w:t>– The Global Private Equity segment advises the Company’s buyout, middle market,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growth capital funds, its U.S. and internationally focused real estate funds, and its infrastructure and natural resources funds. The segment also includes the NGP Carry Funds advised by NGP.</w:t>
      </w:r>
    </w:p>
    <w:p>
      <w:pPr>
        <w:spacing w:after="0" w:line="1" w:lineRule="exact"/>
        <w:rPr>
          <w:sz w:val="20"/>
          <w:szCs w:val="20"/>
          <w:color w:val="auto"/>
        </w:rPr>
      </w:pPr>
    </w:p>
    <w:p>
      <w:pPr>
        <w:ind w:right="2280"/>
        <w:spacing w:after="0" w:line="203" w:lineRule="auto"/>
        <w:rPr>
          <w:sz w:val="20"/>
          <w:szCs w:val="20"/>
          <w:color w:val="auto"/>
        </w:rPr>
      </w:pPr>
      <w:r>
        <w:rPr>
          <w:rFonts w:ascii="Times New Roman" w:cs="Times New Roman" w:eastAsia="Times New Roman" w:hAnsi="Times New Roman"/>
          <w:sz w:val="16"/>
          <w:szCs w:val="16"/>
          <w:i w:val="1"/>
          <w:iCs w:val="1"/>
          <w:color w:val="auto"/>
        </w:rPr>
        <w:t xml:space="preserve">Global Credit </w:t>
      </w:r>
      <w:r>
        <w:rPr>
          <w:rFonts w:ascii="Times New Roman" w:cs="Times New Roman" w:eastAsia="Times New Roman" w:hAnsi="Times New Roman"/>
          <w:sz w:val="16"/>
          <w:szCs w:val="16"/>
          <w:color w:val="auto"/>
        </w:rPr>
        <w:t>– The Global Credit segment advises funds and vehicles that pursue investment strategies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insurance solutions, liquid credit, opportunistic credit, direct lending, asset- backed finance, aviation finance, infrastructure credit, cross-platform credit products, and global capital markets.</w:t>
      </w:r>
    </w:p>
    <w:p>
      <w:pPr>
        <w:spacing w:after="0" w:line="1" w:lineRule="exact"/>
        <w:rPr>
          <w:sz w:val="20"/>
          <w:szCs w:val="20"/>
          <w:color w:val="auto"/>
        </w:rPr>
      </w:pPr>
    </w:p>
    <w:p>
      <w:pPr>
        <w:ind w:right="2140"/>
        <w:spacing w:after="0" w:line="222" w:lineRule="auto"/>
        <w:rPr>
          <w:sz w:val="20"/>
          <w:szCs w:val="20"/>
          <w:color w:val="auto"/>
        </w:rPr>
      </w:pPr>
      <w:r>
        <w:rPr>
          <w:rFonts w:ascii="Times New Roman" w:cs="Times New Roman" w:eastAsia="Times New Roman" w:hAnsi="Times New Roman"/>
          <w:sz w:val="16"/>
          <w:szCs w:val="16"/>
          <w:i w:val="1"/>
          <w:iCs w:val="1"/>
          <w:color w:val="auto"/>
        </w:rPr>
        <w:t xml:space="preserve">Global Investment Solutions </w:t>
      </w:r>
      <w:r>
        <w:rPr>
          <w:rFonts w:ascii="Times New Roman" w:cs="Times New Roman" w:eastAsia="Times New Roman" w:hAnsi="Times New Roman"/>
          <w:sz w:val="16"/>
          <w:szCs w:val="16"/>
          <w:color w:val="auto"/>
        </w:rPr>
        <w:t>– The Global Investment Solutions segment advises global private equity programs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co-investment and secondary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The Company’s reportable business segments are differentiated by their various investment focuses and strategies. Overhead costs are generally allocated based on cash -based compensation and benefits expense for each segment. The Company’s earnings from its investment in NGP are presented in the respective operating captions within the Global Private Equity segment.</w:t>
      </w:r>
    </w:p>
    <w:p>
      <w:pPr>
        <w:spacing w:after="0" w:line="2"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i w:val="1"/>
          <w:iCs w:val="1"/>
          <w:color w:val="auto"/>
        </w:rPr>
        <w:t>Distributable Earnings</w:t>
      </w:r>
      <w:r>
        <w:rPr>
          <w:rFonts w:ascii="Times New Roman" w:cs="Times New Roman" w:eastAsia="Times New Roman" w:hAnsi="Times New Roman"/>
          <w:sz w:val="16"/>
          <w:szCs w:val="16"/>
          <w:color w:val="auto"/>
        </w:rPr>
        <w:t>. Distributable Earnings, or “DE,” is a key performance benchmark used in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industry and is evaluated regularly by the chief operating decision maker (“CODM”), which is our Chief Executive Officer, in making resource deployment and compensation decisions and in assessing performance of the Company’s three reportable segments. The CODM also uses DE in budgeting, forecasting, and the overall management of the Company’s segments. The CODM believes that reporting DE is helpful to understanding the Company’s business and that investors should review the same supplemental financial measure that the CODM uses to analyze the Company’s segment performance. DE is intended to show the amount of net realized earnings without the effects of the consolidation of the Consolidated Funds. DE is derived from the Company’s segment reported results and is used to assess performance.</w:t>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Distributable Earnings differs from income (loss) before provision for income taxes computed in accordance with U.S.</w:t>
      </w:r>
    </w:p>
    <w:p>
      <w:pPr>
        <w:spacing w:after="0" w:line="7" w:lineRule="exact"/>
        <w:rPr>
          <w:sz w:val="20"/>
          <w:szCs w:val="20"/>
          <w:color w:val="auto"/>
        </w:rPr>
      </w:pPr>
    </w:p>
    <w:p>
      <w:pPr>
        <w:ind w:right="1480"/>
        <w:spacing w:after="0" w:line="238" w:lineRule="auto"/>
        <w:rPr>
          <w:sz w:val="20"/>
          <w:szCs w:val="20"/>
          <w:color w:val="auto"/>
        </w:rPr>
      </w:pPr>
      <w:r>
        <w:rPr>
          <w:rFonts w:ascii="Times New Roman" w:cs="Times New Roman" w:eastAsia="Times New Roman" w:hAnsi="Times New Roman"/>
          <w:sz w:val="14"/>
          <w:szCs w:val="14"/>
          <w:color w:val="auto"/>
        </w:rPr>
        <w:t>GAAP in that it includes certain tax expenses associated with certain foreign performance revenues (comprised performance allocations and incentive fees), and does not include unrealized performance allocations and related compensation expense, unrealized principal investment income, equity-based compensation expense, net income (loss) attributable to non -Carlyle interests in consolidated entities, or charges (credits) related to Carlyle corporate actions and non-recurring items that affect period-to-period comparability and are not reflective of the Company’s operational performance. Charges (credits) related to Carlyle corporate actions and non-recurring items include: charges associated with the Conversion, charges (credits) associated with acquisitions, dispositions or strategic investments, changes in the tax receivable agreement liability, amortization and any impairment charges associated with acquired intangible assets, transaction costs associated with acquisitions and dispositions,</w:t>
      </w:r>
    </w:p>
    <w:p>
      <w:pPr>
        <w:sectPr>
          <w:pgSz w:w="11900" w:h="16840" w:orient="portrait"/>
          <w:cols w:equalWidth="0" w:num="1">
            <w:col w:w="9400"/>
          </w:cols>
          <w:pgMar w:left="1060" w:top="557" w:right="1440" w:bottom="67" w:gutter="0" w:footer="0" w:header="0"/>
        </w:sectPr>
      </w:pPr>
    </w:p>
    <w:bookmarkStart w:id="173" w:name="page174"/>
    <w:bookmarkEnd w:id="173"/>
    <w:p>
      <w:pPr>
        <w:ind w:right="1640"/>
        <w:spacing w:after="0" w:line="206" w:lineRule="auto"/>
        <w:rPr>
          <w:sz w:val="20"/>
          <w:szCs w:val="20"/>
          <w:color w:val="auto"/>
        </w:rPr>
      </w:pPr>
      <w:r>
        <w:rPr>
          <w:rFonts w:ascii="Times New Roman" w:cs="Times New Roman" w:eastAsia="Times New Roman" w:hAnsi="Times New Roman"/>
          <w:sz w:val="16"/>
          <w:szCs w:val="16"/>
          <w:color w:val="auto"/>
        </w:rPr>
        <w:t>charges associated with earn-outs and contingent consideration including gains and losses associated with the estimated fair value of contingent considerations issued in conjunction with acquisitions or strategic investments, impairment charges associated with lease right- of-use assets, gains and losses from the retirement of debt, charges associated with contract terminations and employee severance, certain general, administrative and other expenses when the timing of any future payment is uncertain, and non-recurring items that affect period-to-period comparability and are not reflective of the Company’s operating performance. Management believes the inclusion or exclusion of these items provides investors with a meaningful indication of the Company’s core operating performance.</w:t>
      </w:r>
    </w:p>
    <w:p>
      <w:pPr>
        <w:spacing w:after="0" w:line="5" w:lineRule="exact"/>
        <w:rPr>
          <w:sz w:val="20"/>
          <w:szCs w:val="20"/>
          <w:color w:val="auto"/>
        </w:rPr>
      </w:pPr>
    </w:p>
    <w:p>
      <w:pPr>
        <w:ind w:right="1420"/>
        <w:spacing w:after="0" w:line="232" w:lineRule="auto"/>
        <w:rPr>
          <w:sz w:val="20"/>
          <w:szCs w:val="20"/>
          <w:color w:val="auto"/>
        </w:rPr>
      </w:pPr>
      <w:r>
        <w:rPr>
          <w:rFonts w:ascii="Times New Roman" w:cs="Times New Roman" w:eastAsia="Times New Roman" w:hAnsi="Times New Roman"/>
          <w:sz w:val="14"/>
          <w:szCs w:val="14"/>
          <w:i w:val="1"/>
          <w:iCs w:val="1"/>
          <w:color w:val="auto"/>
        </w:rPr>
        <w:t>Fee Related Earnings</w:t>
      </w:r>
      <w:r>
        <w:rPr>
          <w:rFonts w:ascii="Times New Roman" w:cs="Times New Roman" w:eastAsia="Times New Roman" w:hAnsi="Times New Roman"/>
          <w:sz w:val="14"/>
          <w:szCs w:val="14"/>
          <w:color w:val="auto"/>
        </w:rPr>
        <w:t>. Fee Related Earnings, or “FRE,” is a component of DE and is used to assess the ability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to cover base compensation and operating expenses from total fee revenues. FRE adjusts DE to exclude net realized performance revenues, realized principal investment income, and net interest (interest income less interest expense). Fee Related Earnings includes fee related performance revenues and related compensation expense, which is generally 45% of fee related performance revenues. Fee related performance revenues represent the realized portion of performance revenues that are measured and received on a recurring basis, are not dependent on realization events, and which have no risk of giveback.</w:t>
      </w:r>
    </w:p>
    <w:p>
      <w:pPr>
        <w:spacing w:after="0" w:line="3" w:lineRule="exact"/>
        <w:rPr>
          <w:sz w:val="20"/>
          <w:szCs w:val="20"/>
          <w:color w:val="auto"/>
        </w:rPr>
      </w:pPr>
    </w:p>
    <w:p>
      <w:pPr>
        <w:ind w:right="2220"/>
        <w:spacing w:after="0" w:line="222" w:lineRule="auto"/>
        <w:rPr>
          <w:sz w:val="20"/>
          <w:szCs w:val="20"/>
          <w:color w:val="auto"/>
        </w:rPr>
      </w:pPr>
      <w:r>
        <w:rPr>
          <w:rFonts w:ascii="Times New Roman" w:cs="Times New Roman" w:eastAsia="Times New Roman" w:hAnsi="Times New Roman"/>
          <w:sz w:val="16"/>
          <w:szCs w:val="16"/>
          <w:color w:val="auto"/>
        </w:rPr>
        <w:t>Asset information by segment is not disclosed because this information is not used by the CODM to make resource deployment decisions or evaluate the performance of the Company’s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tables present the financial data for the Company’s three reportable segments for the year ended</w:t>
      </w:r>
    </w:p>
    <w:p>
      <w:pPr>
        <w:spacing w:after="0"/>
        <w:rPr>
          <w:sz w:val="20"/>
          <w:szCs w:val="20"/>
          <w:color w:val="auto"/>
        </w:rPr>
      </w:pPr>
      <w:r>
        <w:rPr>
          <w:rFonts w:ascii="Times New Roman" w:cs="Times New Roman" w:eastAsia="Times New Roman" w:hAnsi="Times New Roman"/>
          <w:sz w:val="16"/>
          <w:szCs w:val="16"/>
          <w:color w:val="auto"/>
        </w:rPr>
        <w:t>December 31, 2024:</w:t>
      </w:r>
    </w:p>
    <w:p>
      <w:pPr>
        <w:sectPr>
          <w:pgSz w:w="11900" w:h="16840" w:orient="portrait"/>
          <w:cols w:equalWidth="0" w:num="1">
            <w:col w:w="9400"/>
          </w:cols>
          <w:pgMar w:left="1060" w:top="557"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Private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Credit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1,212.0</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558.3</w:t>
            </w: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337.2</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2,107.5</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138.8</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109.1</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132.7</w:t>
            </w: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1,243.5</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806.2</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354.1</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2,403.8</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927.2</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32.0</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1,075.9</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49.7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46.2</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28.1</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39.0</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2,248.5</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923.4</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483.5</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3,655.4</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422.8</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320.1</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118.8</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861.7</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590.1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19.4</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100.3</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709.8</w:t>
            </w:r>
          </w:p>
        </w:tc>
        <w:tc>
          <w:tcPr>
            <w:tcW w:w="0" w:type="dxa"/>
            <w:vAlign w:val="bottom"/>
          </w:tcPr>
          <w:p>
            <w:pPr>
              <w:spacing w:after="0"/>
              <w:rPr>
                <w:sz w:val="1"/>
                <w:szCs w:val="1"/>
                <w:color w:val="auto"/>
              </w:rPr>
            </w:pPr>
          </w:p>
        </w:tc>
      </w:tr>
      <w:tr>
        <w:trPr>
          <w:trHeight w:val="40"/>
        </w:trPr>
        <w:tc>
          <w:tcPr>
            <w:tcW w:w="1100" w:type="dxa"/>
            <w:vAlign w:val="bottom"/>
            <w:tcBorders>
              <w:bottom w:val="single" w:sz="8" w:color="CCEEFF"/>
            </w:tcBorders>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5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1,012.9</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339.5</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219.1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1,571.5</w:t>
            </w:r>
          </w:p>
        </w:tc>
        <w:tc>
          <w:tcPr>
            <w:tcW w:w="0" w:type="dxa"/>
            <w:vAlign w:val="bottom"/>
          </w:tcPr>
          <w:p>
            <w:pPr>
              <w:spacing w:after="0"/>
              <w:rPr>
                <w:sz w:val="1"/>
                <w:szCs w:val="1"/>
                <w:color w:val="auto"/>
              </w:rPr>
            </w:pPr>
          </w:p>
        </w:tc>
      </w:tr>
      <w:tr>
        <w:trPr>
          <w:trHeight w:val="34"/>
        </w:trPr>
        <w:tc>
          <w:tcPr>
            <w:tcW w:w="38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General, administrative, and other indirect expenses</w:t>
            </w:r>
          </w:p>
        </w:tc>
        <w:tc>
          <w:tcPr>
            <w:tcW w:w="500" w:type="dxa"/>
            <w:vAlign w:val="bottom"/>
          </w:tcPr>
          <w:p>
            <w:pPr>
              <w:spacing w:after="0"/>
              <w:rPr>
                <w:sz w:val="2"/>
                <w:szCs w:val="2"/>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195.2</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140.4</w:t>
            </w: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55.1</w:t>
            </w: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390.7</w:t>
            </w:r>
          </w:p>
        </w:tc>
        <w:tc>
          <w:tcPr>
            <w:tcW w:w="0" w:type="dxa"/>
            <w:vAlign w:val="bottom"/>
          </w:tcPr>
          <w:p>
            <w:pPr>
              <w:spacing w:after="0" w:line="20" w:lineRule="exact"/>
              <w:rPr>
                <w:sz w:val="1"/>
                <w:szCs w:val="1"/>
                <w:color w:val="auto"/>
              </w:rPr>
            </w:pPr>
          </w:p>
        </w:tc>
      </w:tr>
      <w:tr>
        <w:trPr>
          <w:trHeight w:val="124"/>
        </w:trPr>
        <w:tc>
          <w:tcPr>
            <w:tcW w:w="3840" w:type="dxa"/>
            <w:vAlign w:val="bottom"/>
            <w:gridSpan w:val="2"/>
          </w:tcPr>
          <w:p>
            <w:pPr>
              <w:ind w:left="3000"/>
              <w:spacing w:after="0"/>
              <w:rPr>
                <w:sz w:val="20"/>
                <w:szCs w:val="20"/>
                <w:color w:val="auto"/>
              </w:rPr>
            </w:pPr>
            <w:r>
              <w:rPr>
                <w:rFonts w:ascii="Times New Roman" w:cs="Times New Roman" w:eastAsia="Times New Roman" w:hAnsi="Times New Roman"/>
                <w:sz w:val="10"/>
                <w:szCs w:val="10"/>
                <w:color w:val="auto"/>
              </w:rPr>
              <w:t>(1)</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1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56.3</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53.0</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40"/>
        </w:trPr>
        <w:tc>
          <w:tcPr>
            <w:tcW w:w="1100" w:type="dxa"/>
            <w:vAlign w:val="bottom"/>
            <w:tcBorders>
              <w:bottom w:val="single" w:sz="8" w:color="CCEEFF"/>
            </w:tcBorders>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1,291.2</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546.1</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292.6</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2,129.9</w:t>
            </w:r>
          </w:p>
        </w:tc>
        <w:tc>
          <w:tcPr>
            <w:tcW w:w="0" w:type="dxa"/>
            <w:vAlign w:val="bottom"/>
          </w:tcPr>
          <w:p>
            <w:pPr>
              <w:spacing w:after="0"/>
              <w:rPr>
                <w:sz w:val="1"/>
                <w:szCs w:val="1"/>
                <w:color w:val="auto"/>
              </w:rPr>
            </w:pPr>
          </w:p>
        </w:tc>
      </w:tr>
      <w:tr>
        <w:trPr>
          <w:trHeight w:val="183"/>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957.3</w:t>
            </w:r>
          </w:p>
        </w:tc>
        <w:tc>
          <w:tcPr>
            <w:tcW w:w="6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377.3</w:t>
            </w: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190.9</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1,525.5</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337.1</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16.4</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366.1</w:t>
            </w: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214</w:t>
            </w:r>
          </w:p>
        </w:tc>
        <w:tc>
          <w:tcPr>
            <w:tcW w:w="2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40" w:type="dxa"/>
            <w:vAlign w:val="bottom"/>
            <w:gridSpan w:val="2"/>
          </w:tcPr>
          <w:p>
            <w:pPr>
              <w:spacing w:after="0" w:line="168"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The Carlyle Group Inc.</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84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gridSpan w:val="10"/>
          </w:tcPr>
          <w:p>
            <w:pPr>
              <w:spacing w:after="0" w:line="156" w:lineRule="exact"/>
              <w:rPr>
                <w:sz w:val="20"/>
                <w:szCs w:val="20"/>
                <w:color w:val="auto"/>
              </w:rPr>
            </w:pPr>
            <w:r>
              <w:rPr>
                <w:rFonts w:ascii="Times New Roman" w:cs="Times New Roman" w:eastAsia="Times New Roman" w:hAnsi="Times New Roman"/>
                <w:sz w:val="16"/>
                <w:szCs w:val="16"/>
                <w:color w:val="auto"/>
              </w:rPr>
              <w:t>The following tables present the financial data for the Company’s three reportable segments for the year ended</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2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Private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Credit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1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660" w:type="dxa"/>
            <w:vAlign w:val="bottom"/>
            <w:tcBorders>
              <w:bottom w:val="single" w:sz="8" w:color="auto"/>
            </w:tcBorders>
            <w:gridSpan w:val="4"/>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1,309.8</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512.2</w:t>
            </w: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242.4</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2,064.4</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18.4</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62.0</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68.3</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89.1</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1,396.5</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663.3</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246.0</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2,305.8</w:t>
            </w:r>
          </w:p>
        </w:tc>
        <w:tc>
          <w:tcPr>
            <w:tcW w:w="0" w:type="dxa"/>
            <w:vAlign w:val="bottom"/>
          </w:tcPr>
          <w:p>
            <w:pPr>
              <w:spacing w:after="0"/>
              <w:rPr>
                <w:sz w:val="1"/>
                <w:szCs w:val="1"/>
                <w:color w:val="auto"/>
              </w:rPr>
            </w:pPr>
          </w:p>
        </w:tc>
      </w:tr>
      <w:tr>
        <w:trPr>
          <w:trHeight w:val="28"/>
        </w:trPr>
        <w:tc>
          <w:tcPr>
            <w:tcW w:w="3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805.1</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43.5</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89.7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938.3</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31.6</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34.7</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2,278.5</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778.6</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348.0</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3,405.1</w:t>
            </w:r>
          </w:p>
        </w:tc>
        <w:tc>
          <w:tcPr>
            <w:tcW w:w="0" w:type="dxa"/>
            <w:vAlign w:val="bottom"/>
          </w:tcPr>
          <w:p>
            <w:pPr>
              <w:spacing w:after="0"/>
              <w:rPr>
                <w:sz w:val="1"/>
                <w:szCs w:val="1"/>
                <w:color w:val="auto"/>
              </w:rPr>
            </w:pPr>
          </w:p>
        </w:tc>
      </w:tr>
      <w:tr>
        <w:trPr>
          <w:trHeight w:val="28"/>
        </w:trPr>
        <w:tc>
          <w:tcPr>
            <w:tcW w:w="38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583.8</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324.5</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123.6</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1,031.9</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308.1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20.3</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78.9</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40"/>
        </w:trPr>
        <w:tc>
          <w:tcPr>
            <w:tcW w:w="3840" w:type="dxa"/>
            <w:vAlign w:val="bottom"/>
            <w:tcBorders>
              <w:bottom w:val="single" w:sz="8" w:color="CCEEFF"/>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5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891.9</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344.8</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1,439.2</w:t>
            </w:r>
          </w:p>
        </w:tc>
        <w:tc>
          <w:tcPr>
            <w:tcW w:w="0" w:type="dxa"/>
            <w:vAlign w:val="bottom"/>
          </w:tcPr>
          <w:p>
            <w:pPr>
              <w:spacing w:after="0"/>
              <w:rPr>
                <w:sz w:val="1"/>
                <w:szCs w:val="1"/>
                <w:color w:val="auto"/>
              </w:rPr>
            </w:pPr>
          </w:p>
        </w:tc>
      </w:tr>
      <w:tr>
        <w:trPr>
          <w:trHeight w:val="34"/>
        </w:trPr>
        <w:tc>
          <w:tcPr>
            <w:tcW w:w="3840" w:type="dxa"/>
            <w:vAlign w:val="bottom"/>
            <w:gridSpan w:val="2"/>
          </w:tcPr>
          <w:p>
            <w:pPr>
              <w:spacing w:after="0"/>
              <w:rPr>
                <w:sz w:val="20"/>
                <w:szCs w:val="20"/>
                <w:color w:val="auto"/>
              </w:rPr>
            </w:pPr>
            <w:r>
              <w:rPr>
                <w:rFonts w:ascii="Times New Roman" w:cs="Times New Roman" w:eastAsia="Times New Roman" w:hAnsi="Times New Roman"/>
                <w:sz w:val="3"/>
                <w:szCs w:val="3"/>
                <w:color w:val="auto"/>
              </w:rPr>
              <w:t>General, administrative, and other indirect expenses</w:t>
            </w:r>
          </w:p>
        </w:tc>
        <w:tc>
          <w:tcPr>
            <w:tcW w:w="500" w:type="dxa"/>
            <w:vAlign w:val="bottom"/>
          </w:tcPr>
          <w:p>
            <w:pPr>
              <w:spacing w:after="0"/>
              <w:rPr>
                <w:sz w:val="2"/>
                <w:szCs w:val="2"/>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221.9</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106.8</w:t>
            </w: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47.8</w:t>
            </w: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376.5</w:t>
            </w:r>
          </w:p>
        </w:tc>
        <w:tc>
          <w:tcPr>
            <w:tcW w:w="0" w:type="dxa"/>
            <w:vAlign w:val="bottom"/>
          </w:tcPr>
          <w:p>
            <w:pPr>
              <w:spacing w:after="0" w:line="20" w:lineRule="exact"/>
              <w:rPr>
                <w:sz w:val="1"/>
                <w:szCs w:val="1"/>
                <w:color w:val="auto"/>
              </w:rPr>
            </w:pPr>
          </w:p>
        </w:tc>
      </w:tr>
      <w:tr>
        <w:trPr>
          <w:trHeight w:val="124"/>
        </w:trPr>
        <w:tc>
          <w:tcPr>
            <w:tcW w:w="3840" w:type="dxa"/>
            <w:vAlign w:val="bottom"/>
            <w:gridSpan w:val="2"/>
          </w:tcPr>
          <w:p>
            <w:pPr>
              <w:ind w:left="3000"/>
              <w:spacing w:after="0"/>
              <w:rPr>
                <w:sz w:val="20"/>
                <w:szCs w:val="20"/>
                <w:color w:val="auto"/>
              </w:rPr>
            </w:pPr>
            <w:r>
              <w:rPr>
                <w:rFonts w:ascii="Times New Roman" w:cs="Times New Roman" w:eastAsia="Times New Roman" w:hAnsi="Times New Roman"/>
                <w:sz w:val="10"/>
                <w:szCs w:val="10"/>
                <w:color w:val="auto"/>
              </w:rPr>
              <w:t>(1)</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4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26.0</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66.9</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45.0</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40"/>
        </w:trPr>
        <w:tc>
          <w:tcPr>
            <w:tcW w:w="3840" w:type="dxa"/>
            <w:vAlign w:val="bottom"/>
            <w:tcBorders>
              <w:bottom w:val="single" w:sz="8" w:color="CCEEFF"/>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1,206.7</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504.2</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263.7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1,974.6</w:t>
            </w:r>
          </w:p>
        </w:tc>
        <w:tc>
          <w:tcPr>
            <w:tcW w:w="0" w:type="dxa"/>
            <w:vAlign w:val="bottom"/>
          </w:tcPr>
          <w:p>
            <w:pPr>
              <w:spacing w:after="0"/>
              <w:rPr>
                <w:sz w:val="1"/>
                <w:szCs w:val="1"/>
                <w:color w:val="auto"/>
              </w:rPr>
            </w:pPr>
          </w:p>
        </w:tc>
      </w:tr>
      <w:tr>
        <w:trPr>
          <w:trHeight w:val="183"/>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1,071.8</w:t>
            </w:r>
          </w:p>
        </w:tc>
        <w:tc>
          <w:tcPr>
            <w:tcW w:w="6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274.4</w:t>
            </w: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84.3</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1,430.5</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497.0</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23.2</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10.8</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40"/>
        </w:trPr>
        <w:tc>
          <w:tcPr>
            <w:tcW w:w="384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564.8</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224.4</w:t>
            </w:r>
          </w:p>
        </w:tc>
        <w:tc>
          <w:tcPr>
            <w:tcW w:w="60" w:type="dxa"/>
            <w:vAlign w:val="bottom"/>
          </w:tcPr>
          <w:p>
            <w:pPr>
              <w:spacing w:after="0"/>
              <w:rPr>
                <w:sz w:val="15"/>
                <w:szCs w:val="15"/>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70.2</w:t>
            </w:r>
          </w:p>
        </w:tc>
        <w:tc>
          <w:tcPr>
            <w:tcW w:w="6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859.4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1270</wp:posOffset>
            </wp:positionV>
            <wp:extent cx="28276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827655" cy="7620"/>
                    </a:xfrm>
                    <a:prstGeom prst="rect">
                      <a:avLst/>
                    </a:prstGeom>
                    <a:noFill/>
                  </pic:spPr>
                </pic:pic>
              </a:graphicData>
            </a:graphic>
          </wp:anchor>
        </w:drawing>
      </w:r>
    </w:p>
    <w:p>
      <w:pPr>
        <w:spacing w:after="0" w:line="6" w:lineRule="exact"/>
        <w:rPr>
          <w:sz w:val="20"/>
          <w:szCs w:val="20"/>
          <w:color w:val="auto"/>
        </w:rPr>
      </w:pPr>
    </w:p>
    <w:p>
      <w:pPr>
        <w:ind w:right="1540"/>
        <w:spacing w:after="0" w:line="234" w:lineRule="auto"/>
        <w:rPr>
          <w:sz w:val="20"/>
          <w:szCs w:val="20"/>
          <w:color w:val="auto"/>
        </w:rPr>
      </w:pPr>
      <w:r>
        <w:rPr>
          <w:rFonts w:ascii="Times New Roman" w:cs="Times New Roman" w:eastAsia="Times New Roman" w:hAnsi="Times New Roman"/>
          <w:sz w:val="13"/>
          <w:szCs w:val="13"/>
          <w:color w:val="auto"/>
        </w:rPr>
        <w:t>(1)General, administrative, and other indirect expenses primarily comprised professional fees, rent and other office expenses, IT expenses, travel and entertainment expenses, and fundraising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-177165</wp:posOffset>
            </wp:positionV>
            <wp:extent cx="28276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827655" cy="7620"/>
                    </a:xfrm>
                    <a:prstGeom prst="rect">
                      <a:avLst/>
                    </a:prstGeom>
                    <a:noFill/>
                  </pic:spPr>
                </pic:pic>
              </a:graphicData>
            </a:graphic>
          </wp:anchor>
        </w:drawing>
      </w:r>
    </w:p>
    <w:p>
      <w:pPr>
        <w:sectPr>
          <w:pgSz w:w="11900" w:h="16840" w:orient="portrait"/>
          <w:cols w:equalWidth="0" w:num="1">
            <w:col w:w="9400"/>
          </w:cols>
          <w:pgMar w:left="1060" w:top="555" w:right="1440"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color w:val="auto"/>
        </w:rPr>
        <w:t>The following tables present the financial data for the Company’s three reportable segments for the year ended</w:t>
      </w:r>
    </w:p>
    <w:p>
      <w:pPr>
        <w:spacing w:after="0" w:line="217" w:lineRule="auto"/>
        <w:rPr>
          <w:sz w:val="20"/>
          <w:szCs w:val="20"/>
          <w:color w:val="auto"/>
        </w:rPr>
      </w:pPr>
      <w:r>
        <w:rPr>
          <w:rFonts w:ascii="Times New Roman" w:cs="Times New Roman" w:eastAsia="Times New Roman" w:hAnsi="Times New Roman"/>
          <w:sz w:val="16"/>
          <w:szCs w:val="16"/>
          <w:color w:val="auto"/>
        </w:rPr>
        <w:t>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4"/>
        </w:trPr>
        <w:tc>
          <w:tcPr>
            <w:tcW w:w="38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24"/>
        </w:trPr>
        <w:tc>
          <w:tcPr>
            <w:tcW w:w="384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Global</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0"/>
                <w:szCs w:val="10"/>
                <w:color w:val="auto"/>
              </w:rPr>
            </w:pPr>
          </w:p>
        </w:tc>
      </w:tr>
      <w:tr>
        <w:trPr>
          <w:trHeight w:val="144"/>
        </w:trPr>
        <w:tc>
          <w:tcPr>
            <w:tcW w:w="3840" w:type="dxa"/>
            <w:vAlign w:val="bottom"/>
          </w:tcPr>
          <w:p>
            <w:pPr>
              <w:spacing w:after="0"/>
              <w:rPr>
                <w:sz w:val="12"/>
                <w:szCs w:val="12"/>
                <w:color w:val="auto"/>
              </w:rPr>
            </w:pPr>
          </w:p>
        </w:tc>
        <w:tc>
          <w:tcPr>
            <w:tcW w:w="5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Private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Credit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90"/>
        </w:trPr>
        <w:tc>
          <w:tcPr>
            <w:tcW w:w="384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
        </w:trPr>
        <w:tc>
          <w:tcPr>
            <w:tcW w:w="3840" w:type="dxa"/>
            <w:vAlign w:val="bottom"/>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2"/>
        </w:trPr>
        <w:tc>
          <w:tcPr>
            <w:tcW w:w="384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
        </w:trPr>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Fund level fee revenues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0"/>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1,300.9</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473.1</w:t>
            </w: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222.9</w:t>
            </w:r>
          </w:p>
        </w:tc>
        <w:tc>
          <w:tcPr>
            <w:tcW w:w="5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1,996.9</w:t>
            </w: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Portfolio advisory and transaction fees, net and other</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29.5</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81.6</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111.1</w:t>
            </w:r>
          </w:p>
        </w:tc>
      </w:tr>
      <w:tr>
        <w:trPr>
          <w:trHeight w:val="40"/>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Fee related performance revenues</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69.4</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59.9</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129.3</w:t>
            </w:r>
          </w:p>
        </w:tc>
      </w:tr>
      <w:tr>
        <w:trPr>
          <w:trHeight w:val="18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Total fund level fee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1,399.8</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614.6</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222.9</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2,237.3</w:t>
            </w:r>
          </w:p>
        </w:tc>
      </w:tr>
      <w:tr>
        <w:trPr>
          <w:trHeight w:val="28"/>
        </w:trPr>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performance revenues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1,656.6</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131.5</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192.6</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1,980.7</w:t>
            </w: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Realized principal investment income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108.7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150.6</w:t>
            </w:r>
          </w:p>
        </w:tc>
      </w:tr>
      <w:tr>
        <w:trPr>
          <w:trHeight w:val="40"/>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32.8</w:t>
            </w:r>
          </w:p>
        </w:tc>
      </w:tr>
      <w:tr>
        <w:trPr>
          <w:trHeight w:val="18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3,180.0</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799.5</w:t>
            </w:r>
          </w:p>
        </w:tc>
        <w:tc>
          <w:tcPr>
            <w:tcW w:w="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421.9</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4,401.4</w:t>
            </w:r>
          </w:p>
        </w:tc>
      </w:tr>
      <w:tr>
        <w:trPr>
          <w:trHeight w:val="28"/>
        </w:trPr>
        <w:tc>
          <w:tcPr>
            <w:tcW w:w="3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0"/>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598.3</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284.2</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111.7</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994.2</w:t>
            </w: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Realized performance revenues related compensation</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751.5</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169.4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982.2</w:t>
            </w:r>
          </w:p>
        </w:tc>
      </w:tr>
      <w:tr>
        <w:trPr>
          <w:trHeight w:val="40"/>
        </w:trPr>
        <w:tc>
          <w:tcPr>
            <w:tcW w:w="38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5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1,349.8</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345.5</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281.1</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1,976.4</w:t>
            </w:r>
          </w:p>
        </w:tc>
      </w:tr>
      <w:tr>
        <w:trPr>
          <w:trHeight w:val="34"/>
        </w:trPr>
        <w:tc>
          <w:tcPr>
            <w:tcW w:w="3840" w:type="dxa"/>
            <w:vAlign w:val="bottom"/>
          </w:tcPr>
          <w:p>
            <w:pPr>
              <w:spacing w:after="0"/>
              <w:rPr>
                <w:sz w:val="20"/>
                <w:szCs w:val="20"/>
                <w:color w:val="auto"/>
              </w:rPr>
            </w:pPr>
            <w:r>
              <w:rPr>
                <w:rFonts w:ascii="Times New Roman" w:cs="Times New Roman" w:eastAsia="Times New Roman" w:hAnsi="Times New Roman"/>
                <w:sz w:val="3"/>
                <w:szCs w:val="3"/>
                <w:color w:val="auto"/>
              </w:rPr>
              <w:t>General, administrative, and other indirect expenses</w:t>
            </w:r>
          </w:p>
        </w:tc>
        <w:tc>
          <w:tcPr>
            <w:tcW w:w="500" w:type="dxa"/>
            <w:vAlign w:val="bottom"/>
          </w:tcPr>
          <w:p>
            <w:pPr>
              <w:spacing w:after="0"/>
              <w:rPr>
                <w:sz w:val="2"/>
                <w:szCs w:val="2"/>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235.3</w:t>
            </w: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97.7</w:t>
            </w: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36.8</w:t>
            </w: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3"/>
                <w:szCs w:val="3"/>
                <w:color w:val="auto"/>
              </w:rPr>
              <w:t>369.8</w:t>
            </w:r>
          </w:p>
        </w:tc>
      </w:tr>
      <w:tr>
        <w:trPr>
          <w:trHeight w:val="124"/>
        </w:trPr>
        <w:tc>
          <w:tcPr>
            <w:tcW w:w="3840" w:type="dxa"/>
            <w:vAlign w:val="bottom"/>
          </w:tcPr>
          <w:p>
            <w:pPr>
              <w:ind w:left="3000"/>
              <w:spacing w:after="0"/>
              <w:rPr>
                <w:sz w:val="20"/>
                <w:szCs w:val="20"/>
                <w:color w:val="auto"/>
              </w:rPr>
            </w:pPr>
            <w:r>
              <w:rPr>
                <w:rFonts w:ascii="Times New Roman" w:cs="Times New Roman" w:eastAsia="Times New Roman" w:hAnsi="Times New Roman"/>
                <w:sz w:val="10"/>
                <w:szCs w:val="10"/>
                <w:color w:val="auto"/>
              </w:rPr>
              <w:t>(1)</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70"/>
        </w:trPr>
        <w:tc>
          <w:tcPr>
            <w:tcW w:w="3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25.6</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38.9</w:t>
            </w: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63.7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107.3</w:t>
            </w:r>
          </w:p>
        </w:tc>
      </w:tr>
      <w:tr>
        <w:trPr>
          <w:trHeight w:val="40"/>
        </w:trPr>
        <w:tc>
          <w:tcPr>
            <w:tcW w:w="38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5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1,674.4</w:t>
            </w: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484.0</w:t>
            </w: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334.0</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2,492.4</w:t>
            </w: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Distributable Earnings</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1,505.6</w:t>
            </w:r>
          </w:p>
        </w:tc>
        <w:tc>
          <w:tcPr>
            <w:tcW w:w="60" w:type="dxa"/>
            <w:vAlign w:val="bottom"/>
          </w:tcPr>
          <w:p>
            <w:pPr>
              <w:spacing w:after="0"/>
              <w:rPr>
                <w:sz w:val="15"/>
                <w:szCs w:val="15"/>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315.5</w:t>
            </w: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87.9</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1,909.0</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Realized Net Performance Revenues</w:t>
            </w: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905.1</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70.2</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23.2</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998.5</w:t>
            </w:r>
          </w:p>
        </w:tc>
      </w:tr>
      <w:tr>
        <w:trPr>
          <w:trHeight w:val="18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 Realized Principal Investment Income</w:t>
            </w:r>
          </w:p>
        </w:tc>
        <w:tc>
          <w:tcPr>
            <w:tcW w:w="5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108.7</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38.1</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150.6</w:t>
            </w:r>
          </w:p>
        </w:tc>
      </w:tr>
      <w:tr>
        <w:trPr>
          <w:trHeight w:val="40"/>
        </w:trPr>
        <w:tc>
          <w:tcPr>
            <w:tcW w:w="3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8"/>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Net Interest</w:t>
            </w:r>
          </w:p>
        </w:tc>
        <w:tc>
          <w:tcPr>
            <w:tcW w:w="5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48.8</w:t>
            </w:r>
          </w:p>
        </w:tc>
        <w:tc>
          <w:tcPr>
            <w:tcW w:w="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17.3</w:t>
            </w:r>
          </w:p>
        </w:tc>
        <w:tc>
          <w:tcPr>
            <w:tcW w:w="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74.5</w:t>
            </w:r>
          </w:p>
        </w:tc>
      </w:tr>
      <w:tr>
        <w:trPr>
          <w:trHeight w:val="182"/>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Fee Related Earnings</w:t>
            </w: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540.6</w:t>
            </w: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224.5</w:t>
            </w:r>
          </w:p>
        </w:tc>
        <w:tc>
          <w:tcPr>
            <w:tcW w:w="60" w:type="dxa"/>
            <w:vAlign w:val="bottom"/>
          </w:tcPr>
          <w:p>
            <w:pPr>
              <w:spacing w:after="0"/>
              <w:rPr>
                <w:sz w:val="15"/>
                <w:szCs w:val="15"/>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69.3</w:t>
            </w:r>
          </w:p>
        </w:tc>
        <w:tc>
          <w:tcPr>
            <w:tcW w:w="6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1270</wp:posOffset>
            </wp:positionV>
            <wp:extent cx="282765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827655" cy="7620"/>
                    </a:xfrm>
                    <a:prstGeom prst="rect">
                      <a:avLst/>
                    </a:prstGeom>
                    <a:noFill/>
                  </pic:spPr>
                </pic:pic>
              </a:graphicData>
            </a:graphic>
          </wp:anchor>
        </w:drawing>
      </w:r>
    </w:p>
    <w:p>
      <w:pPr>
        <w:spacing w:after="0" w:line="6" w:lineRule="exact"/>
        <w:rPr>
          <w:sz w:val="20"/>
          <w:szCs w:val="20"/>
          <w:color w:val="auto"/>
        </w:rPr>
      </w:pPr>
    </w:p>
    <w:p>
      <w:pPr>
        <w:ind w:right="1540"/>
        <w:spacing w:after="0" w:line="206" w:lineRule="auto"/>
        <w:rPr>
          <w:sz w:val="20"/>
          <w:szCs w:val="20"/>
          <w:color w:val="auto"/>
        </w:rPr>
      </w:pPr>
      <w:r>
        <w:rPr>
          <w:rFonts w:ascii="Times New Roman" w:cs="Times New Roman" w:eastAsia="Times New Roman" w:hAnsi="Times New Roman"/>
          <w:sz w:val="13"/>
          <w:szCs w:val="13"/>
          <w:color w:val="auto"/>
        </w:rPr>
        <w:t>(1)General, administrative, and other indirect expenses primarily comprised professional fees, rent and other office expenses, IT expenses, travel and entertainment expenses, and fundraising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-154940</wp:posOffset>
            </wp:positionV>
            <wp:extent cx="28276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827655" cy="7620"/>
                    </a:xfrm>
                    <a:prstGeom prst="rect">
                      <a:avLst/>
                    </a:prstGeom>
                    <a:noFill/>
                  </pic:spPr>
                </pic:pic>
              </a:graphicData>
            </a:graphic>
          </wp:anchor>
        </w:drawing>
      </w:r>
    </w:p>
    <w:p>
      <w:pPr>
        <w:ind w:right="2000"/>
        <w:spacing w:after="0" w:line="210" w:lineRule="auto"/>
        <w:rPr>
          <w:sz w:val="20"/>
          <w:szCs w:val="20"/>
          <w:color w:val="auto"/>
        </w:rPr>
      </w:pPr>
      <w:r>
        <w:rPr>
          <w:rFonts w:ascii="Times New Roman" w:cs="Times New Roman" w:eastAsia="Times New Roman" w:hAnsi="Times New Roman"/>
          <w:sz w:val="16"/>
          <w:szCs w:val="16"/>
          <w:color w:val="auto"/>
        </w:rPr>
        <w:t>The following tables reconcile the Total Segments to the Company’s Income (Loss) Before Provision for Taxes for the years ended December 31, 2024,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4"/>
        </w:trPr>
        <w:tc>
          <w:tcPr>
            <w:tcW w:w="3040" w:type="dxa"/>
            <w:vAlign w:val="bottom"/>
          </w:tcPr>
          <w:p>
            <w:pPr>
              <w:spacing w:after="0"/>
              <w:rPr>
                <w:sz w:val="10"/>
                <w:szCs w:val="10"/>
                <w:color w:val="auto"/>
              </w:rPr>
            </w:pPr>
          </w:p>
        </w:tc>
        <w:tc>
          <w:tcPr>
            <w:tcW w:w="12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1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6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Reconciling</w:t>
            </w:r>
          </w:p>
        </w:tc>
        <w:tc>
          <w:tcPr>
            <w:tcW w:w="36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Carlyle</w:t>
            </w:r>
          </w:p>
        </w:tc>
        <w:tc>
          <w:tcPr>
            <w:tcW w:w="620" w:type="dxa"/>
            <w:vAlign w:val="bottom"/>
          </w:tcPr>
          <w:p>
            <w:pPr>
              <w:spacing w:after="0"/>
              <w:rPr>
                <w:sz w:val="10"/>
                <w:szCs w:val="10"/>
                <w:color w:val="auto"/>
              </w:rPr>
            </w:pPr>
          </w:p>
        </w:tc>
      </w:tr>
      <w:tr>
        <w:trPr>
          <w:trHeight w:val="190"/>
        </w:trPr>
        <w:tc>
          <w:tcPr>
            <w:tcW w:w="30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4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4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8"/>
        </w:trPr>
        <w:tc>
          <w:tcPr>
            <w:tcW w:w="304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72"/>
        </w:trPr>
        <w:tc>
          <w:tcPr>
            <w:tcW w:w="30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3,655.4</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631.6</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1,138.8</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(a)</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5,425.8</w:t>
            </w:r>
          </w:p>
        </w:tc>
      </w:tr>
      <w:tr>
        <w:trPr>
          <w:trHeight w:val="62"/>
        </w:trPr>
        <w:tc>
          <w:tcPr>
            <w:tcW w:w="3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2,129.9</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610.3</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1,315.9</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4,056.1</w:t>
            </w:r>
          </w:p>
        </w:tc>
      </w:tr>
      <w:tr>
        <w:trPr>
          <w:trHeight w:val="62"/>
        </w:trPr>
        <w:tc>
          <w:tcPr>
            <w:tcW w:w="3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9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(loss)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w:t>
            </w:r>
          </w:p>
        </w:tc>
      </w:tr>
      <w:tr>
        <w:trPr>
          <w:trHeight w:val="62"/>
        </w:trPr>
        <w:tc>
          <w:tcPr>
            <w:tcW w:w="3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earnings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1,525.5</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45.3</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(177.1)</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1,393.7</w:t>
            </w:r>
          </w:p>
        </w:tc>
      </w:tr>
    </w:tbl>
    <w:p>
      <w:pPr>
        <w:sectPr>
          <w:pgSz w:w="11900" w:h="16840" w:orient="portrait"/>
          <w:cols w:equalWidth="0" w:num="1">
            <w:col w:w="9400"/>
          </w:cols>
          <w:pgMar w:left="1060" w:top="1440"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color w:val="auto"/>
        </w:rPr>
        <w:t>216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17"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bl>
      <w:tblPr>
        <w:tblLayout w:type="fixed"/>
        <w:tblInd w:w="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1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29"/>
        </w:trPr>
        <w:tc>
          <w:tcPr>
            <w:tcW w:w="3040" w:type="dxa"/>
            <w:vAlign w:val="bottom"/>
          </w:tcPr>
          <w:p>
            <w:pPr>
              <w:spacing w:after="0"/>
              <w:rPr>
                <w:sz w:val="11"/>
                <w:szCs w:val="11"/>
                <w:color w:val="auto"/>
              </w:rPr>
            </w:pPr>
          </w:p>
        </w:tc>
        <w:tc>
          <w:tcPr>
            <w:tcW w:w="12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1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Reconciling</w:t>
            </w:r>
          </w:p>
        </w:tc>
        <w:tc>
          <w:tcPr>
            <w:tcW w:w="36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Carlyle</w:t>
            </w:r>
          </w:p>
        </w:tc>
        <w:tc>
          <w:tcPr>
            <w:tcW w:w="620" w:type="dxa"/>
            <w:vAlign w:val="bottom"/>
          </w:tcPr>
          <w:p>
            <w:pPr>
              <w:spacing w:after="0"/>
              <w:rPr>
                <w:sz w:val="11"/>
                <w:szCs w:val="11"/>
                <w:color w:val="auto"/>
              </w:rPr>
            </w:pPr>
          </w:p>
        </w:tc>
      </w:tr>
      <w:tr>
        <w:trPr>
          <w:trHeight w:val="190"/>
        </w:trPr>
        <w:tc>
          <w:tcPr>
            <w:tcW w:w="30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4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46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34"/>
        </w:trPr>
        <w:tc>
          <w:tcPr>
            <w:tcW w:w="3040" w:type="dxa"/>
            <w:vAlign w:val="bottom"/>
          </w:tcPr>
          <w:p>
            <w:pPr>
              <w:spacing w:after="0"/>
              <w:rPr>
                <w:sz w:val="11"/>
                <w:szCs w:val="11"/>
                <w:color w:val="auto"/>
              </w:rPr>
            </w:pPr>
          </w:p>
        </w:tc>
        <w:tc>
          <w:tcPr>
            <w:tcW w:w="1240" w:type="dxa"/>
            <w:vAlign w:val="bottom"/>
            <w:tcBorders>
              <w:bottom w:val="single" w:sz="8" w:color="auto"/>
            </w:tcBorders>
            <w:gridSpan w:val="2"/>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r>
        <w:trPr>
          <w:trHeight w:val="183"/>
        </w:trPr>
        <w:tc>
          <w:tcPr>
            <w:tcW w:w="30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3,405.1</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2,963.9</w:t>
            </w:r>
          </w:p>
        </w:tc>
      </w:tr>
      <w:tr>
        <w:trPr>
          <w:trHeight w:val="76"/>
        </w:trPr>
        <w:tc>
          <w:tcPr>
            <w:tcW w:w="30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1,974.6</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460.3</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1,136.8</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3,571.7</w:t>
            </w:r>
          </w:p>
        </w:tc>
      </w:tr>
      <w:tr>
        <w:trPr>
          <w:trHeight w:val="76"/>
        </w:trPr>
        <w:tc>
          <w:tcPr>
            <w:tcW w:w="30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r>
      <w:tr>
        <w:trPr>
          <w:trHeight w:val="18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(loss)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r>
      <w:tr>
        <w:trPr>
          <w:trHeight w:val="76"/>
        </w:trPr>
        <w:tc>
          <w:tcPr>
            <w:tcW w:w="30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earnings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1,430.5</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(2,148.1)</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w:t>
            </w:r>
          </w:p>
        </w:tc>
      </w:tr>
      <w:tr>
        <w:trPr>
          <w:trHeight w:val="260"/>
        </w:trPr>
        <w:tc>
          <w:tcPr>
            <w:tcW w:w="3040" w:type="dxa"/>
            <w:vAlign w:val="bottom"/>
          </w:tcPr>
          <w:p>
            <w:pPr>
              <w:spacing w:after="0"/>
              <w:rPr>
                <w:sz w:val="22"/>
                <w:szCs w:val="22"/>
                <w:color w:val="auto"/>
              </w:rPr>
            </w:pPr>
          </w:p>
        </w:tc>
        <w:tc>
          <w:tcPr>
            <w:tcW w:w="1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132"/>
        </w:trPr>
        <w:tc>
          <w:tcPr>
            <w:tcW w:w="3040" w:type="dxa"/>
            <w:vAlign w:val="bottom"/>
          </w:tcPr>
          <w:p>
            <w:pPr>
              <w:spacing w:after="0"/>
              <w:rPr>
                <w:sz w:val="11"/>
                <w:szCs w:val="11"/>
                <w:color w:val="auto"/>
              </w:rPr>
            </w:pPr>
          </w:p>
        </w:tc>
        <w:tc>
          <w:tcPr>
            <w:tcW w:w="12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180" w:type="dxa"/>
            <w:vAlign w:val="bottom"/>
            <w:gridSpan w:val="2"/>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4"/>
                <w:szCs w:val="14"/>
                <w:b w:val="1"/>
                <w:bCs w:val="1"/>
                <w:color w:val="auto"/>
              </w:rPr>
              <w:t>Reconciling</w:t>
            </w:r>
          </w:p>
        </w:tc>
        <w:tc>
          <w:tcPr>
            <w:tcW w:w="36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Times New Roman" w:cs="Times New Roman" w:eastAsia="Times New Roman" w:hAnsi="Times New Roman"/>
                <w:sz w:val="14"/>
                <w:szCs w:val="14"/>
                <w:b w:val="1"/>
                <w:bCs w:val="1"/>
                <w:color w:val="auto"/>
              </w:rPr>
              <w:t>Carlyle</w:t>
            </w:r>
          </w:p>
        </w:tc>
        <w:tc>
          <w:tcPr>
            <w:tcW w:w="620" w:type="dxa"/>
            <w:vAlign w:val="bottom"/>
          </w:tcPr>
          <w:p>
            <w:pPr>
              <w:spacing w:after="0"/>
              <w:rPr>
                <w:sz w:val="11"/>
                <w:szCs w:val="11"/>
                <w:color w:val="auto"/>
              </w:rPr>
            </w:pPr>
          </w:p>
        </w:tc>
      </w:tr>
      <w:tr>
        <w:trPr>
          <w:trHeight w:val="190"/>
        </w:trPr>
        <w:tc>
          <w:tcPr>
            <w:tcW w:w="30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64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46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8"/>
        </w:trPr>
        <w:tc>
          <w:tcPr>
            <w:tcW w:w="304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72"/>
        </w:trPr>
        <w:tc>
          <w:tcPr>
            <w:tcW w:w="30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4,401.4</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311.0</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4,438.7</w:t>
            </w:r>
          </w:p>
        </w:tc>
      </w:tr>
      <w:tr>
        <w:trPr>
          <w:trHeight w:val="64"/>
        </w:trPr>
        <w:tc>
          <w:tcPr>
            <w:tcW w:w="3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Expenses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2,492.4</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255.3</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2,824.7</w:t>
            </w:r>
          </w:p>
        </w:tc>
      </w:tr>
      <w:tr>
        <w:trPr>
          <w:trHeight w:val="64"/>
        </w:trPr>
        <w:tc>
          <w:tcPr>
            <w:tcW w:w="3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8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(loss)</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64"/>
        </w:trPr>
        <w:tc>
          <w:tcPr>
            <w:tcW w:w="30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Distributable earnings</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1,909.0</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w:t>
            </w: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1,572.5</w:t>
            </w:r>
          </w:p>
        </w:tc>
      </w:tr>
    </w:tbl>
    <w:p>
      <w:pPr>
        <w:spacing w:after="0" w:line="39" w:lineRule="exact"/>
        <w:rPr>
          <w:sz w:val="20"/>
          <w:szCs w:val="20"/>
          <w:color w:val="auto"/>
        </w:rPr>
      </w:pPr>
    </w:p>
    <w:p>
      <w:pPr>
        <w:ind w:right="2000"/>
        <w:spacing w:after="0" w:line="208" w:lineRule="auto"/>
        <w:rPr>
          <w:sz w:val="20"/>
          <w:szCs w:val="20"/>
          <w:color w:val="auto"/>
        </w:rPr>
      </w:pPr>
      <w:r>
        <w:rPr>
          <w:rFonts w:ascii="Times New Roman" w:cs="Times New Roman" w:eastAsia="Times New Roman" w:hAnsi="Times New Roman"/>
          <w:sz w:val="16"/>
          <w:szCs w:val="16"/>
          <w:color w:val="auto"/>
        </w:rPr>
        <w:t>(a)The Revenues adjustment principally represents unrealized performance revenues, unrealized principal investment income (loss) (including Fortitude), revenues earned from the Consolidated Funds which were eliminated in consolidation to arrive at the Company’s total revenues, adjustments for amounts attributable to non -controlling interests in consolidated entities, adjustments related to expenses associated with the investments in NGP Management and its affiliates that are included in operating captions or are excluded from the segment results, adjustments to reflect the reimbursement of certain costs incurred on behalf of Carlyle funds on a net basis, and the inclusion of tax expenses associated with certain foreign performance revenues, as detailed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6"/>
        </w:trPr>
        <w:tc>
          <w:tcPr>
            <w:tcW w:w="486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182"/>
        </w:trPr>
        <w:tc>
          <w:tcPr>
            <w:tcW w:w="48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5"/>
                <w:szCs w:val="15"/>
                <w:color w:val="auto"/>
              </w:rPr>
            </w:pPr>
          </w:p>
        </w:tc>
      </w:tr>
      <w:tr>
        <w:trPr>
          <w:trHeight w:val="38"/>
        </w:trPr>
        <w:tc>
          <w:tcPr>
            <w:tcW w:w="4860" w:type="dxa"/>
            <w:vAlign w:val="bottom"/>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2"/>
        </w:trPr>
        <w:tc>
          <w:tcPr>
            <w:tcW w:w="486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8"/>
        </w:trPr>
        <w:tc>
          <w:tcPr>
            <w:tcW w:w="4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8"/>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performance and fee related performance revenues</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1,031.9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(1,046.6)</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(142.5)</w:t>
            </w: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Unrealized principal investment income (loss)</w:t>
            </w:r>
          </w:p>
        </w:tc>
        <w:tc>
          <w:tcPr>
            <w:tcW w:w="1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r>
      <w:tr>
        <w:trPr>
          <w:trHeight w:val="38"/>
        </w:trPr>
        <w:tc>
          <w:tcPr>
            <w:tcW w:w="4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08"/>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investment loss from dilution of indirect investment in Fortitude</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(176.9)</w:t>
            </w:r>
          </w:p>
        </w:tc>
      </w:tr>
      <w:tr>
        <w:trPr>
          <w:trHeight w:val="132"/>
        </w:trPr>
        <w:tc>
          <w:tcPr>
            <w:tcW w:w="48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Adjustments related to expenses associated with investments in NGP</w:t>
            </w:r>
          </w:p>
        </w:tc>
        <w:tc>
          <w:tcPr>
            <w:tcW w:w="180" w:type="dxa"/>
            <w:vAlign w:val="bottom"/>
          </w:tcPr>
          <w:p>
            <w:pPr>
              <w:spacing w:after="0"/>
              <w:rPr>
                <w:sz w:val="11"/>
                <w:szCs w:val="11"/>
                <w:color w:val="auto"/>
              </w:rPr>
            </w:pPr>
          </w:p>
        </w:tc>
        <w:tc>
          <w:tcPr>
            <w:tcW w:w="64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b w:val="1"/>
                <w:bCs w:val="1"/>
                <w:color w:val="auto"/>
              </w:rPr>
              <w:t>(13.1)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4"/>
                <w:szCs w:val="14"/>
                <w:color w:val="auto"/>
              </w:rPr>
              <w:t>(12.9)</w:t>
            </w: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Management and its affiliates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52"/>
        </w:trPr>
        <w:tc>
          <w:tcPr>
            <w:tcW w:w="4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8"/>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 associated with certain foreign performance revenues</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r>
      <w:tr>
        <w:trPr>
          <w:trHeight w:val="132"/>
        </w:trPr>
        <w:tc>
          <w:tcPr>
            <w:tcW w:w="486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Non-controlling interests and other adjustments to present certain costs on a net</w:t>
            </w:r>
          </w:p>
        </w:tc>
        <w:tc>
          <w:tcPr>
            <w:tcW w:w="180" w:type="dxa"/>
            <w:vAlign w:val="bottom"/>
          </w:tcPr>
          <w:p>
            <w:pPr>
              <w:spacing w:after="0"/>
              <w:rPr>
                <w:sz w:val="11"/>
                <w:szCs w:val="11"/>
                <w:color w:val="auto"/>
              </w:rPr>
            </w:pPr>
          </w:p>
        </w:tc>
        <w:tc>
          <w:tcPr>
            <w:tcW w:w="64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b w:val="1"/>
                <w:bCs w:val="1"/>
                <w:color w:val="auto"/>
              </w:rPr>
              <w:t>167.9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191.6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119.0</w:t>
            </w: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basis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52"/>
        </w:trPr>
        <w:tc>
          <w:tcPr>
            <w:tcW w:w="4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8"/>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 of revenues of Consolidated Funds</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r>
      <w:tr>
        <w:trPr>
          <w:trHeight w:val="182"/>
        </w:trPr>
        <w:tc>
          <w:tcPr>
            <w:tcW w:w="486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1,138.8</w:t>
            </w:r>
          </w:p>
        </w:tc>
        <w:tc>
          <w:tcPr>
            <w:tcW w:w="10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(1,011.3)</w:t>
            </w:r>
          </w:p>
        </w:tc>
        <w:tc>
          <w:tcPr>
            <w:tcW w:w="100" w:type="dxa"/>
            <w:vAlign w:val="bottom"/>
          </w:tcPr>
          <w:p>
            <w:pPr>
              <w:spacing w:after="0"/>
              <w:rPr>
                <w:sz w:val="15"/>
                <w:szCs w:val="15"/>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1270</wp:posOffset>
            </wp:positionV>
            <wp:extent cx="171513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p>
      <w:pPr>
        <w:spacing w:after="0" w:line="5" w:lineRule="exact"/>
        <w:rPr>
          <w:sz w:val="20"/>
          <w:szCs w:val="20"/>
          <w:color w:val="auto"/>
        </w:rPr>
      </w:pPr>
    </w:p>
    <w:p>
      <w:pPr>
        <w:ind w:right="2000"/>
        <w:spacing w:after="0" w:line="254" w:lineRule="auto"/>
        <w:rPr>
          <w:sz w:val="20"/>
          <w:szCs w:val="20"/>
          <w:color w:val="auto"/>
        </w:rPr>
      </w:pPr>
      <w:r>
        <w:rPr>
          <w:rFonts w:ascii="Times New Roman" w:cs="Times New Roman" w:eastAsia="Times New Roman" w:hAnsi="Times New Roman"/>
          <w:sz w:val="14"/>
          <w:szCs w:val="14"/>
          <w:color w:val="auto"/>
        </w:rPr>
        <w:t>The following table reconciles the total segments fund level fee revenue to the most directly comparable U.S. GAAP measure, the Company’s consolidated fund management fees,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-207645</wp:posOffset>
            </wp:positionV>
            <wp:extent cx="171513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71513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46"/>
        </w:trPr>
        <w:tc>
          <w:tcPr>
            <w:tcW w:w="378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r>
      <w:tr>
        <w:trPr>
          <w:trHeight w:val="182"/>
        </w:trPr>
        <w:tc>
          <w:tcPr>
            <w:tcW w:w="37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8"/>
        </w:trPr>
        <w:tc>
          <w:tcPr>
            <w:tcW w:w="3780" w:type="dxa"/>
            <w:vAlign w:val="bottom"/>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2"/>
        </w:trPr>
        <w:tc>
          <w:tcPr>
            <w:tcW w:w="3780" w:type="dxa"/>
            <w:vAlign w:val="bottom"/>
          </w:tcPr>
          <w:p>
            <w:pPr>
              <w:spacing w:after="0"/>
              <w:rPr>
                <w:sz w:val="15"/>
                <w:szCs w:val="15"/>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08"/>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Reportable Segments - Fund level fee revenues</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2,403.8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2,305.8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2,237.3</w:t>
            </w: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r>
              <w:rPr>
                <w:rFonts w:ascii="Times New Roman" w:cs="Times New Roman" w:eastAsia="Times New Roman" w:hAnsi="Times New Roman"/>
                <w:sz w:val="9"/>
                <w:szCs w:val="9"/>
                <w:color w:val="auto"/>
              </w:rPr>
              <w:t>(1)</w:t>
            </w:r>
          </w:p>
        </w:tc>
        <w:tc>
          <w:tcPr>
            <w:tcW w:w="14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r>
      <w:tr>
        <w:trPr>
          <w:trHeight w:val="38"/>
        </w:trPr>
        <w:tc>
          <w:tcPr>
            <w:tcW w:w="37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8"/>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Carlyle Consolidated - Fund management fees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2,188.1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2,043.2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2,030.1</w:t>
            </w:r>
          </w:p>
        </w:tc>
      </w:tr>
    </w:tbl>
    <w:p>
      <w:pPr>
        <w:ind w:right="1800"/>
        <w:spacing w:after="0" w:line="255" w:lineRule="auto"/>
        <w:rPr>
          <w:sz w:val="20"/>
          <w:szCs w:val="20"/>
          <w:color w:val="auto"/>
        </w:rPr>
      </w:pPr>
      <w:r>
        <w:rPr>
          <w:rFonts w:ascii="Times New Roman" w:cs="Times New Roman" w:eastAsia="Times New Roman" w:hAnsi="Times New Roman"/>
          <w:sz w:val="14"/>
          <w:szCs w:val="14"/>
          <w:color w:val="auto"/>
        </w:rPr>
        <w:t>(1)Adjustments represent the reclassification of NGP management fees from principal investment income, the reclassification of fee related performance revenues from business development companies and other products, management fees earned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-208915</wp:posOffset>
            </wp:positionV>
            <wp:extent cx="162369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1"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right="2160"/>
        <w:spacing w:after="0" w:line="215" w:lineRule="auto"/>
        <w:rPr>
          <w:sz w:val="20"/>
          <w:szCs w:val="20"/>
          <w:color w:val="auto"/>
        </w:rPr>
      </w:pPr>
      <w:r>
        <w:rPr>
          <w:rFonts w:ascii="Times New Roman" w:cs="Times New Roman" w:eastAsia="Times New Roman" w:hAnsi="Times New Roman"/>
          <w:sz w:val="14"/>
          <w:szCs w:val="14"/>
          <w:color w:val="auto"/>
        </w:rPr>
        <w:t>Consolidated Funds which were eliminated in consolidation to arrive at the Company’s fund management fees, and the reclassification of certain amounts included in portfolio advisory fees, net and other in the segment results that are included in interest and other income in the U.S. GAAP results.</w:t>
      </w:r>
    </w:p>
    <w:p>
      <w:pPr>
        <w:spacing w:after="0" w:line="1" w:lineRule="exact"/>
        <w:rPr>
          <w:sz w:val="20"/>
          <w:szCs w:val="20"/>
          <w:color w:val="auto"/>
        </w:rPr>
      </w:pPr>
    </w:p>
    <w:p>
      <w:pPr>
        <w:ind w:right="1720"/>
        <w:spacing w:after="0" w:line="208" w:lineRule="auto"/>
        <w:rPr>
          <w:sz w:val="20"/>
          <w:szCs w:val="20"/>
          <w:color w:val="auto"/>
        </w:rPr>
      </w:pPr>
      <w:r>
        <w:rPr>
          <w:rFonts w:ascii="Times New Roman" w:cs="Times New Roman" w:eastAsia="Times New Roman" w:hAnsi="Times New Roman"/>
          <w:sz w:val="16"/>
          <w:szCs w:val="16"/>
          <w:color w:val="auto"/>
        </w:rPr>
        <w:t>(b)The Expenses adjustment represents the elimination of intercompany expenses of the Consolidated Funds payable to the Company, the inclusion of equity-based compensation, certain tax expenses associated with realized performance revenues related compensation, and unrealized performance revenues related compensation, adjustments related to expenses associated with the investment in NGP Management that are included in operating captions, adjustments to reflect the reimbursement of certain costs incurred on behalf of Carlyle funds on a net basis, changes in the tax receivable agreement liability, and charges and credits associated with Carlyle corporate actions and non-recurring items, as detailed below:</w:t>
      </w:r>
    </w:p>
    <w:p>
      <w:pPr>
        <w:sectPr>
          <w:pgSz w:w="11900" w:h="16840" w:orient="portrait"/>
          <w:cols w:equalWidth="0" w:num="1">
            <w:col w:w="9400"/>
          </w:cols>
          <w:pgMar w:left="1060" w:top="547" w:right="1440" w:bottom="732" w:gutter="0" w:footer="0" w:header="0"/>
        </w:sectPr>
      </w:pPr>
    </w:p>
    <w:bookmarkStart w:id="177" w:name="page178"/>
    <w:bookmarkEnd w:id="177"/>
    <w:tbl>
      <w:tblPr>
        <w:tblLayout w:type="fixed"/>
        <w:tblInd w:w="1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8"/>
        </w:trPr>
        <w:tc>
          <w:tcPr>
            <w:tcW w:w="5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514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r>
      <w:tr>
        <w:trPr>
          <w:trHeight w:val="184"/>
        </w:trPr>
        <w:tc>
          <w:tcPr>
            <w:tcW w:w="514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performance and fee related performance revenue compensation expense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635.2</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612.6</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(326.2)</w:t>
            </w: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476.5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260.1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161.9</w:t>
            </w:r>
          </w:p>
        </w:tc>
      </w:tr>
      <w:tr>
        <w:trPr>
          <w:trHeight w:val="38"/>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32"/>
        </w:trPr>
        <w:tc>
          <w:tcPr>
            <w:tcW w:w="51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Acquisition or disposition-related charges and amortization of intangibles and</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b w:val="1"/>
                <w:bCs w:val="1"/>
                <w:color w:val="auto"/>
              </w:rPr>
              <w:t>136.6</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145.3</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187.4</w:t>
            </w:r>
          </w:p>
        </w:tc>
      </w:tr>
      <w:tr>
        <w:trPr>
          <w:trHeight w:val="196"/>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w:t>
            </w: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r>
      <w:tr>
        <w:trPr>
          <w:trHeight w:val="132"/>
        </w:trPr>
        <w:tc>
          <w:tcPr>
            <w:tcW w:w="514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Tax (expense) benefit associated with certain foreign performance revenues related</w:t>
            </w:r>
          </w:p>
        </w:tc>
        <w:tc>
          <w:tcPr>
            <w:tcW w:w="3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b w:val="1"/>
                <w:bCs w:val="1"/>
                <w:color w:val="auto"/>
              </w:rPr>
              <w:t>(1.0)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jc w:val="right"/>
              <w:ind w:right="48"/>
              <w:spacing w:after="0" w:line="132" w:lineRule="exact"/>
              <w:rPr>
                <w:sz w:val="20"/>
                <w:szCs w:val="20"/>
                <w:color w:val="auto"/>
              </w:rPr>
            </w:pPr>
            <w:r>
              <w:rPr>
                <w:rFonts w:ascii="Times New Roman" w:cs="Times New Roman" w:eastAsia="Times New Roman" w:hAnsi="Times New Roman"/>
                <w:sz w:val="14"/>
                <w:szCs w:val="14"/>
                <w:color w:val="auto"/>
              </w:rPr>
              <w:t>2.9</w:t>
            </w:r>
          </w:p>
        </w:tc>
      </w:tr>
      <w:tr>
        <w:trPr>
          <w:trHeight w:val="188"/>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8"/>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 and other adjustments to present certain costs on a net basis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92.8</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148.7</w:t>
            </w: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82.7</w:t>
            </w: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r>
      <w:tr>
        <w:trPr>
          <w:trHeight w:val="38"/>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2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Elimination of expenses of Consolidated Funds</w:t>
            </w: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w:t>
            </w: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(44.1)</w:t>
            </w:r>
          </w:p>
        </w:tc>
      </w:tr>
      <w:tr>
        <w:trPr>
          <w:trHeight w:val="183"/>
        </w:trPr>
        <w:tc>
          <w:tcPr>
            <w:tcW w:w="514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1,315.9</w:t>
            </w: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1,136.8</w:t>
            </w:r>
          </w:p>
        </w:tc>
        <w:tc>
          <w:tcPr>
            <w:tcW w:w="6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77.0</w:t>
            </w:r>
          </w:p>
        </w:tc>
      </w:tr>
      <w:tr>
        <w:trPr>
          <w:trHeight w:val="20"/>
        </w:trPr>
        <w:tc>
          <w:tcPr>
            <w:tcW w:w="5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0" w:right="2020" w:hanging="10"/>
        <w:spacing w:after="0" w:line="215" w:lineRule="auto"/>
        <w:tabs>
          <w:tab w:leader="none" w:pos="2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Income (Loss) adjustment results from the Consolidated Funds that were eliminated in consolidation to arrive at the Company’s total Other Income (Loss).</w:t>
      </w:r>
    </w:p>
    <w:p>
      <w:pPr>
        <w:ind w:left="10" w:right="1800" w:hanging="10"/>
        <w:spacing w:after="0" w:line="210" w:lineRule="auto"/>
        <w:tabs>
          <w:tab w:leader="none" w:pos="2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is a reconciliation of Income (Loss) Before Provision for Income Taxes to Distributable Earnings and to Fee Related Earnings: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0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4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provision for income taxes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1,393.7</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1,572.5</w:t>
            </w:r>
          </w:p>
        </w:tc>
        <w:tc>
          <w:tcPr>
            <w:tcW w:w="0" w:type="dxa"/>
            <w:vAlign w:val="bottom"/>
          </w:tcPr>
          <w:p>
            <w:pPr>
              <w:spacing w:after="0"/>
              <w:rPr>
                <w:sz w:val="1"/>
                <w:szCs w:val="1"/>
                <w:color w:val="auto"/>
              </w:rPr>
            </w:pPr>
          </w:p>
        </w:tc>
      </w:tr>
      <w:tr>
        <w:trPr>
          <w:trHeight w:val="188"/>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unrealized performance and fee related performance revenues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(396.7)</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1,659.2</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Unrealized principal investment (income) loss</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38"/>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investment loss from dilution of indirect investment in Fortitude</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104.0</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r>
              <w:rPr>
                <w:rFonts w:ascii="Times New Roman" w:cs="Times New Roman" w:eastAsia="Times New Roman" w:hAnsi="Times New Roman"/>
                <w:sz w:val="9"/>
                <w:szCs w:val="9"/>
                <w:color w:val="auto"/>
              </w:rPr>
              <w:t>(1)</w:t>
            </w: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476.5</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260.1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38"/>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51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Acquisition or disposition-related charges, including amortization of intangibles</w:t>
            </w: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2"/>
              <w:spacing w:after="0" w:line="132" w:lineRule="exact"/>
              <w:rPr>
                <w:sz w:val="20"/>
                <w:szCs w:val="20"/>
                <w:color w:val="auto"/>
              </w:rPr>
            </w:pPr>
            <w:r>
              <w:rPr>
                <w:rFonts w:ascii="Times New Roman" w:cs="Times New Roman" w:eastAsia="Times New Roman" w:hAnsi="Times New Roman"/>
                <w:sz w:val="14"/>
                <w:szCs w:val="14"/>
                <w:b w:val="1"/>
                <w:bCs w:val="1"/>
                <w:color w:val="auto"/>
              </w:rPr>
              <w:t>136.6</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2"/>
              <w:spacing w:after="0" w:line="132" w:lineRule="exact"/>
              <w:rPr>
                <w:sz w:val="20"/>
                <w:szCs w:val="20"/>
                <w:color w:val="auto"/>
              </w:rPr>
            </w:pPr>
            <w:r>
              <w:rPr>
                <w:rFonts w:ascii="Times New Roman" w:cs="Times New Roman" w:eastAsia="Times New Roman" w:hAnsi="Times New Roman"/>
                <w:sz w:val="14"/>
                <w:szCs w:val="14"/>
                <w:color w:val="auto"/>
              </w:rPr>
              <w:t>145.3</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2"/>
              <w:spacing w:after="0" w:line="132" w:lineRule="exact"/>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and impairment</w:t>
            </w: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entities</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38"/>
        </w:trPr>
        <w:tc>
          <w:tcPr>
            <w:tcW w:w="5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 benefit associated with certain foreign performance revenues</w:t>
            </w: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9"/>
                <w:szCs w:val="9"/>
                <w:color w:val="auto"/>
              </w:rPr>
              <w:t>(2)</w:t>
            </w: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21.2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8"/>
        </w:trPr>
        <w:tc>
          <w:tcPr>
            <w:tcW w:w="5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Distributable Earnings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1,525.5</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1,430.5</w:t>
            </w: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1,909.0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Realized performance revenues, net of related compensation</w:t>
            </w:r>
            <w:r>
              <w:rPr>
                <w:rFonts w:ascii="Times New Roman" w:cs="Times New Roman" w:eastAsia="Times New Roman" w:hAnsi="Times New Roman"/>
                <w:sz w:val="9"/>
                <w:szCs w:val="9"/>
                <w:color w:val="auto"/>
              </w:rPr>
              <w:t>(3)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1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366.1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531.0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998.5</w:t>
            </w:r>
          </w:p>
        </w:tc>
        <w:tc>
          <w:tcPr>
            <w:tcW w:w="0" w:type="dxa"/>
            <w:vAlign w:val="bottom"/>
          </w:tcPr>
          <w:p>
            <w:pPr>
              <w:spacing w:after="0"/>
              <w:rPr>
                <w:sz w:val="1"/>
                <w:szCs w:val="1"/>
                <w:color w:val="auto"/>
              </w:rPr>
            </w:pPr>
          </w:p>
        </w:tc>
      </w:tr>
      <w:tr>
        <w:trPr>
          <w:trHeight w:val="41"/>
        </w:trPr>
        <w:tc>
          <w:tcPr>
            <w:tcW w:w="5140" w:type="dxa"/>
            <w:vAlign w:val="bottom"/>
            <w:shd w:val="clear" w:color="auto" w:fill="CCEEFF"/>
          </w:tcPr>
          <w:p>
            <w:pPr>
              <w:spacing w:after="0" w:line="42" w:lineRule="exact"/>
              <w:rPr>
                <w:sz w:val="20"/>
                <w:szCs w:val="20"/>
                <w:color w:val="auto"/>
              </w:rPr>
            </w:pPr>
            <w:r>
              <w:rPr>
                <w:rFonts w:ascii="Times New Roman" w:cs="Times New Roman" w:eastAsia="Times New Roman" w:hAnsi="Times New Roman"/>
                <w:sz w:val="4"/>
                <w:szCs w:val="4"/>
                <w:color w:val="auto"/>
              </w:rPr>
              <w:t>Realized principal investment income</w:t>
            </w: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jc w:val="right"/>
              <w:ind w:right="52"/>
              <w:spacing w:after="0" w:line="42" w:lineRule="exact"/>
              <w:rPr>
                <w:sz w:val="20"/>
                <w:szCs w:val="20"/>
                <w:color w:val="auto"/>
              </w:rPr>
            </w:pPr>
            <w:r>
              <w:rPr>
                <w:rFonts w:ascii="Times New Roman" w:cs="Times New Roman" w:eastAsia="Times New Roman" w:hAnsi="Times New Roman"/>
                <w:sz w:val="4"/>
                <w:szCs w:val="4"/>
                <w:b w:val="1"/>
                <w:bCs w:val="1"/>
                <w:color w:val="auto"/>
              </w:rPr>
              <w:t>101.0</w:t>
            </w: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jc w:val="right"/>
              <w:ind w:right="52"/>
              <w:spacing w:after="0" w:line="42" w:lineRule="exact"/>
              <w:rPr>
                <w:sz w:val="20"/>
                <w:szCs w:val="20"/>
                <w:color w:val="auto"/>
              </w:rPr>
            </w:pPr>
            <w:r>
              <w:rPr>
                <w:rFonts w:ascii="Times New Roman" w:cs="Times New Roman" w:eastAsia="Times New Roman" w:hAnsi="Times New Roman"/>
                <w:sz w:val="4"/>
                <w:szCs w:val="4"/>
                <w:color w:val="auto"/>
              </w:rPr>
              <w:t>88.8</w:t>
            </w:r>
          </w:p>
        </w:tc>
        <w:tc>
          <w:tcPr>
            <w:tcW w:w="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20" w:type="dxa"/>
            <w:vAlign w:val="bottom"/>
            <w:shd w:val="clear" w:color="auto" w:fill="CCEEFF"/>
          </w:tcPr>
          <w:p>
            <w:pPr>
              <w:jc w:val="right"/>
              <w:ind w:right="52"/>
              <w:spacing w:after="0" w:line="42" w:lineRule="exact"/>
              <w:rPr>
                <w:sz w:val="20"/>
                <w:szCs w:val="20"/>
                <w:color w:val="auto"/>
              </w:rPr>
            </w:pPr>
            <w:r>
              <w:rPr>
                <w:rFonts w:ascii="Times New Roman" w:cs="Times New Roman" w:eastAsia="Times New Roman" w:hAnsi="Times New Roman"/>
                <w:sz w:val="4"/>
                <w:szCs w:val="4"/>
                <w:color w:val="auto"/>
              </w:rPr>
              <w:t>150.6</w:t>
            </w:r>
          </w:p>
        </w:tc>
        <w:tc>
          <w:tcPr>
            <w:tcW w:w="0" w:type="dxa"/>
            <w:vAlign w:val="bottom"/>
          </w:tcPr>
          <w:p>
            <w:pPr>
              <w:spacing w:after="0"/>
              <w:rPr>
                <w:sz w:val="1"/>
                <w:szCs w:val="1"/>
                <w:color w:val="auto"/>
              </w:rPr>
            </w:pPr>
          </w:p>
        </w:tc>
      </w:tr>
      <w:tr>
        <w:trPr>
          <w:trHeight w:val="124"/>
        </w:trPr>
        <w:tc>
          <w:tcPr>
            <w:tcW w:w="514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0"/>
                <w:szCs w:val="10"/>
                <w:color w:val="auto"/>
              </w:rPr>
              <w:t>(3)</w:t>
            </w: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1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interest</w:t>
            </w: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46.2</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48.7</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38"/>
        </w:trPr>
        <w:tc>
          <w:tcPr>
            <w:tcW w:w="5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Fee Related Earnings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1,104.6</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859.4</w:t>
            </w: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834.4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218</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01"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1" w:lineRule="exact"/>
        <w:rPr>
          <w:sz w:val="20"/>
          <w:szCs w:val="20"/>
          <w:color w:val="auto"/>
        </w:rPr>
      </w:pPr>
    </w:p>
    <w:p>
      <w:pPr>
        <w:ind w:left="10" w:right="2180"/>
        <w:spacing w:after="0" w:line="214" w:lineRule="auto"/>
        <w:rPr>
          <w:sz w:val="20"/>
          <w:szCs w:val="20"/>
          <w:color w:val="auto"/>
        </w:rPr>
      </w:pPr>
      <w:r>
        <w:rPr>
          <w:rFonts w:ascii="Times New Roman" w:cs="Times New Roman" w:eastAsia="Times New Roman" w:hAnsi="Times New Roman"/>
          <w:sz w:val="14"/>
          <w:szCs w:val="14"/>
          <w:color w:val="auto"/>
        </w:rPr>
        <w:t>(1)Equity-based compensation for the years ended December 31, 2024, 2023 and 2022 includes amounts that are presented in principal investment income and general, administrative and other expenses in the Company’s U.S. GAAP consolidated statements of operations.</w:t>
      </w:r>
    </w:p>
    <w:p>
      <w:pPr>
        <w:spacing w:after="0" w:line="1" w:lineRule="exact"/>
        <w:rPr>
          <w:sz w:val="20"/>
          <w:szCs w:val="20"/>
          <w:color w:val="auto"/>
        </w:rPr>
      </w:pPr>
    </w:p>
    <w:p>
      <w:pPr>
        <w:ind w:left="10" w:right="2700"/>
        <w:spacing w:after="0" w:line="214" w:lineRule="auto"/>
        <w:rPr>
          <w:sz w:val="20"/>
          <w:szCs w:val="20"/>
          <w:color w:val="auto"/>
        </w:rPr>
      </w:pPr>
      <w:r>
        <w:rPr>
          <w:rFonts w:ascii="Times New Roman" w:cs="Times New Roman" w:eastAsia="Times New Roman" w:hAnsi="Times New Roman"/>
          <w:sz w:val="14"/>
          <w:szCs w:val="14"/>
          <w:color w:val="auto"/>
        </w:rPr>
        <w:t>(2)Includes charges (credits) related to Carlyle corporate actions and non-recurring items that affect period-to-period comparability and are not reflective of the Company’s operating performance.</w:t>
      </w:r>
    </w:p>
    <w:p>
      <w:pPr>
        <w:ind w:left="10"/>
        <w:spacing w:after="0" w:line="234" w:lineRule="auto"/>
        <w:rPr>
          <w:sz w:val="20"/>
          <w:szCs w:val="20"/>
          <w:color w:val="auto"/>
        </w:rPr>
      </w:pPr>
      <w:r>
        <w:rPr>
          <w:rFonts w:ascii="Times New Roman" w:cs="Times New Roman" w:eastAsia="Times New Roman" w:hAnsi="Times New Roman"/>
          <w:sz w:val="14"/>
          <w:szCs w:val="14"/>
          <w:color w:val="auto"/>
        </w:rPr>
        <w:t>(3)See reconciliation to most directly comparable U.S. GAAP measure below:</w:t>
      </w:r>
    </w:p>
    <w:tbl>
      <w:tblPr>
        <w:tblLayout w:type="fixed"/>
        <w:tblInd w:w="1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3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560" w:type="dxa"/>
            <w:vAlign w:val="bottom"/>
          </w:tcPr>
          <w:p>
            <w:pPr>
              <w:spacing w:after="0" w:line="27" w:lineRule="exact"/>
              <w:rPr>
                <w:sz w:val="20"/>
                <w:szCs w:val="20"/>
                <w:color w:val="auto"/>
              </w:rPr>
            </w:pPr>
            <w:r>
              <w:rPr>
                <w:rFonts w:ascii="Times New Roman" w:cs="Times New Roman" w:eastAsia="Times New Roman" w:hAnsi="Times New Roman"/>
                <w:sz w:val="3"/>
                <w:szCs w:val="3"/>
                <w:b w:val="1"/>
                <w:bCs w:val="1"/>
                <w:color w:val="auto"/>
              </w:rPr>
              <w:t>Carlyle</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b w:val="1"/>
                <w:bCs w:val="1"/>
                <w:color w:val="auto"/>
              </w:rPr>
              <w:t>Adjustments</w:t>
            </w:r>
          </w:p>
        </w:tc>
        <w:tc>
          <w:tcPr>
            <w:tcW w:w="60" w:type="dxa"/>
            <w:vAlign w:val="bottom"/>
          </w:tcPr>
          <w:p>
            <w:pPr>
              <w:spacing w:after="0"/>
              <w:rPr>
                <w:sz w:val="2"/>
                <w:szCs w:val="2"/>
                <w:color w:val="auto"/>
              </w:rPr>
            </w:pPr>
          </w:p>
        </w:tc>
        <w:tc>
          <w:tcPr>
            <w:tcW w:w="720" w:type="dxa"/>
            <w:vAlign w:val="bottom"/>
          </w:tcPr>
          <w:p>
            <w:pPr>
              <w:ind w:left="20"/>
              <w:spacing w:after="0" w:line="27" w:lineRule="exact"/>
              <w:rPr>
                <w:sz w:val="20"/>
                <w:szCs w:val="20"/>
                <w:color w:val="auto"/>
              </w:rPr>
            </w:pPr>
            <w:r>
              <w:rPr>
                <w:rFonts w:ascii="Times New Roman" w:cs="Times New Roman" w:eastAsia="Times New Roman" w:hAnsi="Times New Roman"/>
                <w:sz w:val="3"/>
                <w:szCs w:val="3"/>
                <w:b w:val="1"/>
                <w:bCs w:val="1"/>
                <w:color w:val="auto"/>
              </w:rPr>
              <w:t>Total</w:t>
            </w: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38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3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3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2,015.7</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(939.8)</w:t>
            </w:r>
          </w:p>
        </w:tc>
        <w:tc>
          <w:tcPr>
            <w:tcW w:w="7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1,075.9</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Performance revenues related compensation expense</w:t>
            </w:r>
          </w:p>
        </w:tc>
        <w:tc>
          <w:tcPr>
            <w:tcW w:w="5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1,361.5</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(651.7)</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709.8</w:t>
            </w:r>
          </w:p>
        </w:tc>
        <w:tc>
          <w:tcPr>
            <w:tcW w:w="0" w:type="dxa"/>
            <w:vAlign w:val="bottom"/>
          </w:tcPr>
          <w:p>
            <w:pPr>
              <w:spacing w:after="0"/>
              <w:rPr>
                <w:sz w:val="1"/>
                <w:szCs w:val="1"/>
                <w:color w:val="auto"/>
              </w:rPr>
            </w:pPr>
          </w:p>
        </w:tc>
      </w:tr>
      <w:tr>
        <w:trPr>
          <w:trHeight w:val="38"/>
        </w:trPr>
        <w:tc>
          <w:tcPr>
            <w:tcW w:w="43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654.2</w:t>
            </w: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(288.1)</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366.1</w:t>
            </w:r>
          </w:p>
        </w:tc>
        <w:tc>
          <w:tcPr>
            <w:tcW w:w="0" w:type="dxa"/>
            <w:vAlign w:val="bottom"/>
          </w:tcPr>
          <w:p>
            <w:pPr>
              <w:spacing w:after="0"/>
              <w:rPr>
                <w:sz w:val="1"/>
                <w:szCs w:val="1"/>
                <w:color w:val="auto"/>
              </w:rPr>
            </w:pPr>
          </w:p>
        </w:tc>
      </w:tr>
      <w:tr>
        <w:trPr>
          <w:trHeight w:val="19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 (loss)</w:t>
            </w: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238.7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(137.7)</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101.0</w:t>
            </w:r>
          </w:p>
        </w:tc>
        <w:tc>
          <w:tcPr>
            <w:tcW w:w="0" w:type="dxa"/>
            <w:vAlign w:val="bottom"/>
          </w:tcPr>
          <w:p>
            <w:pPr>
              <w:spacing w:after="0"/>
              <w:rPr>
                <w:sz w:val="1"/>
                <w:szCs w:val="1"/>
                <w:color w:val="auto"/>
              </w:rPr>
            </w:pPr>
          </w:p>
        </w:tc>
      </w:tr>
      <w:tr>
        <w:trPr>
          <w:trHeight w:val="222"/>
        </w:trPr>
        <w:tc>
          <w:tcPr>
            <w:tcW w:w="4380" w:type="dxa"/>
            <w:vAlign w:val="bottom"/>
          </w:tcPr>
          <w:p>
            <w:pPr>
              <w:spacing w:after="0"/>
              <w:rPr>
                <w:sz w:val="19"/>
                <w:szCs w:val="19"/>
                <w:color w:val="auto"/>
              </w:rPr>
            </w:pPr>
          </w:p>
        </w:tc>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380" w:type="dxa"/>
            <w:vAlign w:val="bottom"/>
          </w:tcPr>
          <w:p>
            <w:pPr>
              <w:spacing w:after="0"/>
              <w:rPr>
                <w:sz w:val="2"/>
                <w:szCs w:val="2"/>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3"/>
                <w:szCs w:val="3"/>
                <w:b w:val="1"/>
                <w:bCs w:val="1"/>
                <w:color w:val="auto"/>
              </w:rPr>
              <w:t>Carlyle</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3"/>
                <w:szCs w:val="3"/>
                <w:b w:val="1"/>
                <w:bCs w:val="1"/>
                <w:color w:val="auto"/>
              </w:rPr>
              <w:t>Adjustments</w:t>
            </w:r>
          </w:p>
        </w:tc>
        <w:tc>
          <w:tcPr>
            <w:tcW w:w="60" w:type="dxa"/>
            <w:vAlign w:val="bottom"/>
          </w:tcPr>
          <w:p>
            <w:pPr>
              <w:spacing w:after="0"/>
              <w:rPr>
                <w:sz w:val="2"/>
                <w:szCs w:val="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3"/>
                <w:szCs w:val="3"/>
                <w:b w:val="1"/>
                <w:bCs w:val="1"/>
                <w:color w:val="auto"/>
              </w:rPr>
              <w:t>Total</w:t>
            </w: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38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3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380" w:type="dxa"/>
            <w:vAlign w:val="bottom"/>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revenues</w:t>
            </w:r>
          </w:p>
        </w:tc>
        <w:tc>
          <w:tcPr>
            <w:tcW w:w="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1,026.9</w:t>
            </w:r>
          </w:p>
        </w:tc>
        <w:tc>
          <w:tcPr>
            <w:tcW w:w="7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938.3</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Performance revenues related compensation expense</w:t>
            </w:r>
          </w:p>
        </w:tc>
        <w:tc>
          <w:tcPr>
            <w:tcW w:w="5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(696.4)</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407.3</w:t>
            </w:r>
          </w:p>
        </w:tc>
        <w:tc>
          <w:tcPr>
            <w:tcW w:w="0" w:type="dxa"/>
            <w:vAlign w:val="bottom"/>
          </w:tcPr>
          <w:p>
            <w:pPr>
              <w:spacing w:after="0"/>
              <w:rPr>
                <w:sz w:val="1"/>
                <w:szCs w:val="1"/>
                <w:color w:val="auto"/>
              </w:rPr>
            </w:pPr>
          </w:p>
        </w:tc>
      </w:tr>
      <w:tr>
        <w:trPr>
          <w:trHeight w:val="40"/>
        </w:trPr>
        <w:tc>
          <w:tcPr>
            <w:tcW w:w="4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performance revenues</w:t>
            </w:r>
          </w:p>
        </w:tc>
        <w:tc>
          <w:tcPr>
            <w:tcW w:w="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1,723.3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531.0</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 (loss)</w:t>
            </w: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bl>
    <w:p>
      <w:pPr>
        <w:sectPr>
          <w:pgSz w:w="11900" w:h="16840" w:orient="portrait"/>
          <w:cols w:equalWidth="0" w:num="1">
            <w:col w:w="9410"/>
          </w:cols>
          <w:pgMar w:left="1050" w:top="555" w:right="1440" w:bottom="645"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580" w:type="dxa"/>
            <w:vAlign w:val="bottom"/>
          </w:tcPr>
          <w:p>
            <w:pPr>
              <w:spacing w:after="0" w:line="27" w:lineRule="exact"/>
              <w:rPr>
                <w:sz w:val="20"/>
                <w:szCs w:val="20"/>
                <w:color w:val="auto"/>
              </w:rPr>
            </w:pPr>
            <w:r>
              <w:rPr>
                <w:rFonts w:ascii="Times New Roman" w:cs="Times New Roman" w:eastAsia="Times New Roman" w:hAnsi="Times New Roman"/>
                <w:sz w:val="3"/>
                <w:szCs w:val="3"/>
                <w:b w:val="1"/>
                <w:bCs w:val="1"/>
                <w:color w:val="auto"/>
              </w:rPr>
              <w:t>Carlyle</w:t>
            </w: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tcPr>
          <w:p>
            <w:pPr>
              <w:spacing w:after="0" w:line="27" w:lineRule="exact"/>
              <w:rPr>
                <w:sz w:val="20"/>
                <w:szCs w:val="20"/>
                <w:color w:val="auto"/>
              </w:rPr>
            </w:pPr>
            <w:r>
              <w:rPr>
                <w:rFonts w:ascii="Times New Roman" w:cs="Times New Roman" w:eastAsia="Times New Roman" w:hAnsi="Times New Roman"/>
                <w:sz w:val="3"/>
                <w:szCs w:val="3"/>
                <w:b w:val="1"/>
                <w:bCs w:val="1"/>
                <w:color w:val="auto"/>
              </w:rPr>
              <w:t>Adjustments</w:t>
            </w:r>
          </w:p>
        </w:tc>
        <w:tc>
          <w:tcPr>
            <w:tcW w:w="60" w:type="dxa"/>
            <w:vAlign w:val="bottom"/>
          </w:tcPr>
          <w:p>
            <w:pPr>
              <w:spacing w:after="0"/>
              <w:rPr>
                <w:sz w:val="2"/>
                <w:szCs w:val="2"/>
                <w:color w:val="auto"/>
              </w:rPr>
            </w:pPr>
          </w:p>
        </w:tc>
        <w:tc>
          <w:tcPr>
            <w:tcW w:w="720" w:type="dxa"/>
            <w:vAlign w:val="bottom"/>
          </w:tcPr>
          <w:p>
            <w:pPr>
              <w:ind w:left="20"/>
              <w:spacing w:after="0" w:line="27" w:lineRule="exact"/>
              <w:rPr>
                <w:sz w:val="20"/>
                <w:szCs w:val="20"/>
                <w:color w:val="auto"/>
              </w:rPr>
            </w:pPr>
            <w:r>
              <w:rPr>
                <w:rFonts w:ascii="Times New Roman" w:cs="Times New Roman" w:eastAsia="Times New Roman" w:hAnsi="Times New Roman"/>
                <w:sz w:val="3"/>
                <w:szCs w:val="3"/>
                <w:b w:val="1"/>
                <w:bCs w:val="1"/>
                <w:color w:val="auto"/>
              </w:rPr>
              <w:t>Total</w:t>
            </w: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38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jc w:val="right"/>
              <w:ind w:right="293"/>
              <w:spacing w:after="0"/>
              <w:rPr>
                <w:sz w:val="20"/>
                <w:szCs w:val="20"/>
                <w:color w:val="auto"/>
              </w:rPr>
            </w:pP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3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3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3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revenues</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1,327.5</w:t>
            </w:r>
          </w:p>
        </w:tc>
        <w:tc>
          <w:tcPr>
            <w:tcW w:w="7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653.2</w:t>
            </w:r>
          </w:p>
        </w:tc>
        <w:tc>
          <w:tcPr>
            <w:tcW w:w="7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1,980.7</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Performance revenues related compensation expense</w:t>
            </w:r>
          </w:p>
        </w:tc>
        <w:tc>
          <w:tcPr>
            <w:tcW w:w="5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719.9</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262.3</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982.2</w:t>
            </w:r>
          </w:p>
        </w:tc>
        <w:tc>
          <w:tcPr>
            <w:tcW w:w="0" w:type="dxa"/>
            <w:vAlign w:val="bottom"/>
          </w:tcPr>
          <w:p>
            <w:pPr>
              <w:spacing w:after="0"/>
              <w:rPr>
                <w:sz w:val="1"/>
                <w:szCs w:val="1"/>
                <w:color w:val="auto"/>
              </w:rPr>
            </w:pPr>
          </w:p>
        </w:tc>
      </w:tr>
      <w:tr>
        <w:trPr>
          <w:trHeight w:val="40"/>
        </w:trPr>
        <w:tc>
          <w:tcPr>
            <w:tcW w:w="43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performance revenues</w:t>
            </w: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607.6</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390.9</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998.5</w:t>
            </w:r>
          </w:p>
        </w:tc>
        <w:tc>
          <w:tcPr>
            <w:tcW w:w="0" w:type="dxa"/>
            <w:vAlign w:val="bottom"/>
          </w:tcPr>
          <w:p>
            <w:pPr>
              <w:spacing w:after="0"/>
              <w:rPr>
                <w:sz w:val="1"/>
                <w:szCs w:val="1"/>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 (loss)</w:t>
            </w:r>
          </w:p>
        </w:tc>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570.5</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10" w:right="2060"/>
        <w:spacing w:after="0" w:line="226" w:lineRule="auto"/>
        <w:rPr>
          <w:sz w:val="20"/>
          <w:szCs w:val="20"/>
          <w:color w:val="auto"/>
        </w:rPr>
      </w:pPr>
      <w:r>
        <w:rPr>
          <w:rFonts w:ascii="Times New Roman" w:cs="Times New Roman" w:eastAsia="Times New Roman" w:hAnsi="Times New Roman"/>
          <w:sz w:val="14"/>
          <w:szCs w:val="14"/>
          <w:color w:val="auto"/>
        </w:rPr>
        <w:t>(4)Adjustments to performance revenues and principal investment income (loss) relate to (i) unrealized performance allocations net of related compensation expense and unrealized principal investment income, which are excluded from the segment results,</w:t>
      </w:r>
    </w:p>
    <w:p>
      <w:pPr>
        <w:spacing w:after="0" w:line="1" w:lineRule="exact"/>
        <w:rPr>
          <w:sz w:val="20"/>
          <w:szCs w:val="20"/>
          <w:color w:val="auto"/>
        </w:rPr>
      </w:pPr>
    </w:p>
    <w:p>
      <w:pPr>
        <w:ind w:left="10" w:right="2080" w:hanging="10"/>
        <w:spacing w:after="0" w:line="214" w:lineRule="auto"/>
        <w:tabs>
          <w:tab w:leader="none" w:pos="22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earned from the Consolidated Funds, which were eliminated in the U.S. GAAP consolidation but were included in the segment results, (iii) amounts attributable to non-controlling interests in consolidated entities, which were excluded from the segment results, (iv) the reclassification of NGP performance revenues, which are included in principal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the exclusion of charges associated with the investment in NGP Management and its affiliates that are excluded from the segment results and the exclusion of the principal investment loss from dilution of the indirect investment in Fortitude.</w:t>
      </w:r>
    </w:p>
    <w:p>
      <w:pPr>
        <w:spacing w:after="0" w:line="5" w:lineRule="exact"/>
        <w:rPr>
          <w:rFonts w:ascii="Times New Roman" w:cs="Times New Roman" w:eastAsia="Times New Roman" w:hAnsi="Times New Roman"/>
          <w:sz w:val="14"/>
          <w:szCs w:val="14"/>
          <w:color w:val="auto"/>
        </w:rPr>
      </w:pPr>
    </w:p>
    <w:p>
      <w:pPr>
        <w:ind w:left="10"/>
        <w:spacing w:after="0" w:line="20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Information by Geographic Location</w:t>
      </w:r>
    </w:p>
    <w:p>
      <w:pPr>
        <w:ind w:left="10" w:right="1840"/>
        <w:spacing w:after="0" w:line="2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Carlyle primarily transacts business in the United States and a significant amount of its revenues are generated domestically. The Company has established investment vehicles whose primary focus is making investments in specified geographical locations. The tables below present consolidated revenues and assets based on the geographical focus of the associated investment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219</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ind w:left="10"/>
        <w:spacing w:after="0" w:line="217"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bl>
      <w:tblPr>
        <w:tblLayout w:type="fixed"/>
        <w:tblInd w:w="1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2"/>
        </w:trPr>
        <w:tc>
          <w:tcPr>
            <w:tcW w:w="3940" w:type="dxa"/>
            <w:vAlign w:val="bottom"/>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3940" w:type="dxa"/>
            <w:vAlign w:val="bottom"/>
          </w:tcPr>
          <w:p>
            <w:pPr>
              <w:spacing w:after="0"/>
              <w:rPr>
                <w:sz w:val="14"/>
                <w:szCs w:val="14"/>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0"/>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Americas</w:t>
            </w:r>
            <w:r>
              <w:rPr>
                <w:rFonts w:ascii="Times New Roman" w:cs="Times New Roman" w:eastAsia="Times New Roman" w:hAnsi="Times New Roman"/>
                <w:sz w:val="9"/>
                <w:szCs w:val="9"/>
                <w:color w:val="auto"/>
              </w:rPr>
              <w:t>(1)</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4,096.4</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76 %</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14,351.8</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62 %</w:t>
            </w:r>
          </w:p>
        </w:tc>
      </w:tr>
      <w:tr>
        <w:trPr>
          <w:trHeight w:val="38"/>
        </w:trPr>
        <w:tc>
          <w:tcPr>
            <w:tcW w:w="3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EMEA</w:t>
            </w:r>
            <w:r>
              <w:rPr>
                <w:rFonts w:ascii="Times New Roman" w:cs="Times New Roman" w:eastAsia="Times New Roman" w:hAnsi="Times New Roman"/>
                <w:sz w:val="9"/>
                <w:szCs w:val="9"/>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1,047.6</w:t>
            </w:r>
          </w:p>
        </w:tc>
        <w:tc>
          <w:tcPr>
            <w:tcW w:w="110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19 %</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7,820.7</w:t>
            </w:r>
          </w:p>
        </w:tc>
        <w:tc>
          <w:tcPr>
            <w:tcW w:w="1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34 %</w:t>
            </w:r>
          </w:p>
        </w:tc>
      </w:tr>
      <w:tr>
        <w:trPr>
          <w:trHeight w:val="34"/>
        </w:trPr>
        <w:tc>
          <w:tcPr>
            <w:tcW w:w="3940" w:type="dxa"/>
            <w:vAlign w:val="bottom"/>
          </w:tcPr>
          <w:p>
            <w:pPr>
              <w:spacing w:after="0"/>
              <w:rPr>
                <w:sz w:val="20"/>
                <w:szCs w:val="20"/>
                <w:color w:val="auto"/>
              </w:rPr>
            </w:pPr>
            <w:r>
              <w:rPr>
                <w:rFonts w:ascii="Times New Roman" w:cs="Times New Roman" w:eastAsia="Times New Roman" w:hAnsi="Times New Roman"/>
                <w:sz w:val="3"/>
                <w:szCs w:val="3"/>
                <w:color w:val="auto"/>
              </w:rPr>
              <w:t>Asia-Pacific</w:t>
            </w: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3"/>
                <w:szCs w:val="3"/>
                <w:b w:val="1"/>
                <w:bCs w:val="1"/>
                <w:color w:val="auto"/>
              </w:rPr>
              <w:t>281.8</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3"/>
                <w:szCs w:val="3"/>
                <w:b w:val="1"/>
                <w:bCs w:val="1"/>
                <w:color w:val="auto"/>
              </w:rPr>
              <w:t>5 %</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3"/>
                <w:szCs w:val="3"/>
                <w:b w:val="1"/>
                <w:bCs w:val="1"/>
                <w:color w:val="auto"/>
              </w:rPr>
              <w:t>931.0</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3"/>
                <w:szCs w:val="3"/>
                <w:b w:val="1"/>
                <w:bCs w:val="1"/>
                <w:color w:val="auto"/>
              </w:rPr>
              <w:t>4 %</w:t>
            </w:r>
          </w:p>
        </w:tc>
      </w:tr>
      <w:tr>
        <w:trPr>
          <w:trHeight w:val="124"/>
        </w:trPr>
        <w:tc>
          <w:tcPr>
            <w:tcW w:w="39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70"/>
        </w:trPr>
        <w:tc>
          <w:tcPr>
            <w:tcW w:w="394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5,425.8</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100 %</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23,103.5</w:t>
            </w: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100 %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0"/>
        </w:trPr>
        <w:tc>
          <w:tcPr>
            <w:tcW w:w="3940" w:type="dxa"/>
            <w:vAlign w:val="bottom"/>
          </w:tcPr>
          <w:p>
            <w:pPr>
              <w:spacing w:after="0"/>
              <w:rPr>
                <w:sz w:val="15"/>
                <w:szCs w:val="15"/>
                <w:color w:val="auto"/>
              </w:rPr>
            </w:pPr>
          </w:p>
        </w:tc>
        <w:tc>
          <w:tcPr>
            <w:tcW w:w="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3940" w:type="dxa"/>
            <w:vAlign w:val="bottom"/>
          </w:tcPr>
          <w:p>
            <w:pPr>
              <w:spacing w:after="0"/>
              <w:rPr>
                <w:sz w:val="14"/>
                <w:szCs w:val="14"/>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Americas</w:t>
            </w:r>
            <w:r>
              <w:rPr>
                <w:rFonts w:ascii="Times New Roman" w:cs="Times New Roman" w:eastAsia="Times New Roman" w:hAnsi="Times New Roman"/>
                <w:sz w:val="9"/>
                <w:szCs w:val="9"/>
                <w:color w:val="auto"/>
              </w:rPr>
              <w:t>(1)</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1,289.0</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44 %</w:t>
            </w: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11,129.2</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52 %</w:t>
            </w:r>
          </w:p>
        </w:tc>
      </w:tr>
      <w:tr>
        <w:trPr>
          <w:trHeight w:val="40"/>
        </w:trPr>
        <w:tc>
          <w:tcPr>
            <w:tcW w:w="3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EMEA</w:t>
            </w:r>
            <w:r>
              <w:rPr>
                <w:rFonts w:ascii="Times New Roman" w:cs="Times New Roman" w:eastAsia="Times New Roman" w:hAnsi="Times New Roman"/>
                <w:sz w:val="9"/>
                <w:szCs w:val="9"/>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1,318.9</w:t>
            </w:r>
          </w:p>
        </w:tc>
        <w:tc>
          <w:tcPr>
            <w:tcW w:w="110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44 %</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8,797.2</w:t>
            </w:r>
          </w:p>
        </w:tc>
        <w:tc>
          <w:tcPr>
            <w:tcW w:w="1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42 %</w:t>
            </w:r>
          </w:p>
        </w:tc>
      </w:tr>
      <w:tr>
        <w:trPr>
          <w:trHeight w:val="34"/>
        </w:trPr>
        <w:tc>
          <w:tcPr>
            <w:tcW w:w="3940" w:type="dxa"/>
            <w:vAlign w:val="bottom"/>
          </w:tcPr>
          <w:p>
            <w:pPr>
              <w:spacing w:after="0"/>
              <w:rPr>
                <w:sz w:val="20"/>
                <w:szCs w:val="20"/>
                <w:color w:val="auto"/>
              </w:rPr>
            </w:pPr>
            <w:r>
              <w:rPr>
                <w:rFonts w:ascii="Times New Roman" w:cs="Times New Roman" w:eastAsia="Times New Roman" w:hAnsi="Times New Roman"/>
                <w:sz w:val="3"/>
                <w:szCs w:val="3"/>
                <w:color w:val="auto"/>
              </w:rPr>
              <w:t>Asia-Pacific</w:t>
            </w: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jc w:val="right"/>
              <w:ind w:right="62"/>
              <w:spacing w:after="0"/>
              <w:rPr>
                <w:sz w:val="20"/>
                <w:szCs w:val="20"/>
                <w:color w:val="auto"/>
              </w:rPr>
            </w:pPr>
            <w:r>
              <w:rPr>
                <w:rFonts w:ascii="Times New Roman" w:cs="Times New Roman" w:eastAsia="Times New Roman" w:hAnsi="Times New Roman"/>
                <w:sz w:val="3"/>
                <w:szCs w:val="3"/>
                <w:color w:val="auto"/>
              </w:rPr>
              <w:t>356.0</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3"/>
                <w:szCs w:val="3"/>
                <w:color w:val="auto"/>
              </w:rPr>
              <w:t>12 %</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3"/>
                <w:szCs w:val="3"/>
                <w:color w:val="auto"/>
              </w:rPr>
              <w:t>1,249.6</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6 %</w:t>
            </w:r>
          </w:p>
        </w:tc>
      </w:tr>
      <w:tr>
        <w:trPr>
          <w:trHeight w:val="124"/>
        </w:trPr>
        <w:tc>
          <w:tcPr>
            <w:tcW w:w="39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70"/>
        </w:trPr>
        <w:tc>
          <w:tcPr>
            <w:tcW w:w="39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r>
      <w:tr>
        <w:trPr>
          <w:trHeight w:val="207"/>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2,963.9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21,176.0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46"/>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Americas</w:t>
            </w:r>
            <w:r>
              <w:rPr>
                <w:rFonts w:ascii="Times New Roman" w:cs="Times New Roman" w:eastAsia="Times New Roman" w:hAnsi="Times New Roman"/>
                <w:sz w:val="9"/>
                <w:szCs w:val="9"/>
                <w:color w:val="auto"/>
              </w:rPr>
              <w:t>(1)</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2,560.0</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58 %</w:t>
            </w:r>
          </w:p>
        </w:tc>
        <w:tc>
          <w:tcPr>
            <w:tcW w:w="4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11,662.8</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55 %</w:t>
            </w:r>
          </w:p>
        </w:tc>
      </w:tr>
      <w:tr>
        <w:trPr>
          <w:trHeight w:val="40"/>
        </w:trPr>
        <w:tc>
          <w:tcPr>
            <w:tcW w:w="3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0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EMEA</w:t>
            </w:r>
            <w:r>
              <w:rPr>
                <w:rFonts w:ascii="Times New Roman" w:cs="Times New Roman" w:eastAsia="Times New Roman" w:hAnsi="Times New Roman"/>
                <w:sz w:val="9"/>
                <w:szCs w:val="9"/>
                <w:color w:val="auto"/>
              </w:rPr>
              <w:t>(2)</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color w:val="auto"/>
              </w:rPr>
              <w:t>1,603.8</w:t>
            </w:r>
          </w:p>
        </w:tc>
        <w:tc>
          <w:tcPr>
            <w:tcW w:w="110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36 %</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8,632.9</w:t>
            </w:r>
          </w:p>
        </w:tc>
        <w:tc>
          <w:tcPr>
            <w:tcW w:w="11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40 %</w:t>
            </w:r>
          </w:p>
        </w:tc>
      </w:tr>
      <w:tr>
        <w:trPr>
          <w:trHeight w:val="34"/>
        </w:trPr>
        <w:tc>
          <w:tcPr>
            <w:tcW w:w="3940" w:type="dxa"/>
            <w:vAlign w:val="bottom"/>
          </w:tcPr>
          <w:p>
            <w:pPr>
              <w:spacing w:after="0"/>
              <w:rPr>
                <w:sz w:val="20"/>
                <w:szCs w:val="20"/>
                <w:color w:val="auto"/>
              </w:rPr>
            </w:pPr>
            <w:r>
              <w:rPr>
                <w:rFonts w:ascii="Times New Roman" w:cs="Times New Roman" w:eastAsia="Times New Roman" w:hAnsi="Times New Roman"/>
                <w:sz w:val="3"/>
                <w:szCs w:val="3"/>
                <w:color w:val="auto"/>
              </w:rPr>
              <w:t>Asia-Pacific</w:t>
            </w: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3"/>
                <w:szCs w:val="3"/>
                <w:color w:val="auto"/>
              </w:rPr>
              <w:t>274.9</w:t>
            </w: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3"/>
                <w:szCs w:val="3"/>
                <w:color w:val="auto"/>
              </w:rPr>
              <w:t>6 %</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jc w:val="right"/>
              <w:ind w:right="62"/>
              <w:spacing w:after="0"/>
              <w:rPr>
                <w:sz w:val="20"/>
                <w:szCs w:val="20"/>
                <w:color w:val="auto"/>
              </w:rPr>
            </w:pPr>
            <w:r>
              <w:rPr>
                <w:rFonts w:ascii="Times New Roman" w:cs="Times New Roman" w:eastAsia="Times New Roman" w:hAnsi="Times New Roman"/>
                <w:sz w:val="3"/>
                <w:szCs w:val="3"/>
                <w:color w:val="auto"/>
              </w:rPr>
              <w:t>1,107.3</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5 %</w:t>
            </w:r>
          </w:p>
        </w:tc>
      </w:tr>
      <w:tr>
        <w:trPr>
          <w:trHeight w:val="124"/>
        </w:trPr>
        <w:tc>
          <w:tcPr>
            <w:tcW w:w="394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70"/>
        </w:trPr>
        <w:tc>
          <w:tcPr>
            <w:tcW w:w="39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r>
      <w:tr>
        <w:trPr>
          <w:trHeight w:val="207"/>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color w:val="auto"/>
              </w:rPr>
              <w:t>4,438.7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21,403.0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(1)Relates to investment vehicles whose primary focus is the United States or South America.</w:t>
      </w:r>
    </w:p>
    <w:p>
      <w:pPr>
        <w:ind w:left="10"/>
        <w:spacing w:after="0" w:line="214" w:lineRule="auto"/>
        <w:rPr>
          <w:sz w:val="20"/>
          <w:szCs w:val="20"/>
          <w:color w:val="auto"/>
        </w:rPr>
      </w:pPr>
      <w:r>
        <w:rPr>
          <w:rFonts w:ascii="Times New Roman" w:cs="Times New Roman" w:eastAsia="Times New Roman" w:hAnsi="Times New Roman"/>
          <w:sz w:val="14"/>
          <w:szCs w:val="14"/>
          <w:color w:val="auto"/>
        </w:rPr>
        <w:t>(2)Relates to investment vehicles whose primary focus is Europe, the Middle East, and Africa.</w:t>
      </w:r>
    </w:p>
    <w:p>
      <w:pPr>
        <w:ind w:left="10"/>
        <w:spacing w:after="0"/>
        <w:rPr>
          <w:sz w:val="20"/>
          <w:szCs w:val="20"/>
          <w:color w:val="auto"/>
        </w:rPr>
      </w:pPr>
      <w:r>
        <w:rPr>
          <w:rFonts w:ascii="Times New Roman" w:cs="Times New Roman" w:eastAsia="Times New Roman" w:hAnsi="Times New Roman"/>
          <w:sz w:val="14"/>
          <w:szCs w:val="14"/>
          <w:color w:val="auto"/>
        </w:rPr>
        <w:t>(3)Relates to investment vehicles whose primary focus is Asia, including China, Japan, India, South Korea, and Australia.</w:t>
      </w:r>
    </w:p>
    <w:p>
      <w:pPr>
        <w:sectPr>
          <w:pgSz w:w="11900" w:h="16840" w:orient="portrait"/>
          <w:cols w:equalWidth="0" w:num="1">
            <w:col w:w="9410"/>
          </w:cols>
          <w:pgMar w:left="1050" w:top="555" w:right="1440" w:bottom="1440" w:gutter="0" w:footer="0" w:header="0"/>
        </w:sectPr>
      </w:pP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16. Subsequent Events</w:t>
      </w:r>
    </w:p>
    <w:p>
      <w:pPr>
        <w:ind w:left="10" w:right="2060"/>
        <w:spacing w:after="0" w:line="268" w:lineRule="auto"/>
        <w:rPr>
          <w:sz w:val="20"/>
          <w:szCs w:val="20"/>
          <w:color w:val="auto"/>
        </w:rPr>
      </w:pPr>
      <w:r>
        <w:rPr>
          <w:rFonts w:ascii="Times New Roman" w:cs="Times New Roman" w:eastAsia="Times New Roman" w:hAnsi="Times New Roman"/>
          <w:sz w:val="14"/>
          <w:szCs w:val="14"/>
          <w:color w:val="auto"/>
        </w:rPr>
        <w:t>In February 2025, the Company’s Board of Directors declared a quarterly dividend of $0.35 per share of common stock to common stockholders of record at the close of business on February 21, 2025, payable on February 28, 2025.</w:t>
      </w:r>
    </w:p>
    <w:p>
      <w:pPr>
        <w:sectPr>
          <w:pgSz w:w="11900" w:h="16840" w:orient="portrait"/>
          <w:cols w:equalWidth="0" w:num="1">
            <w:col w:w="9410"/>
          </w:cols>
          <w:pgMar w:left="1050" w:top="555" w:right="1440" w:bottom="1440" w:gutter="0" w:footer="0" w:header="0"/>
          <w:type w:val="continuous"/>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17. Supplemental Financial Information</w:t>
      </w:r>
    </w:p>
    <w:p>
      <w:pPr>
        <w:ind w:right="1640"/>
        <w:spacing w:after="0" w:line="237" w:lineRule="auto"/>
        <w:rPr>
          <w:sz w:val="20"/>
          <w:szCs w:val="20"/>
          <w:color w:val="auto"/>
        </w:rPr>
      </w:pPr>
      <w:r>
        <w:rPr>
          <w:rFonts w:ascii="Times New Roman" w:cs="Times New Roman" w:eastAsia="Times New Roman" w:hAnsi="Times New Roman"/>
          <w:sz w:val="14"/>
          <w:szCs w:val="14"/>
          <w:color w:val="auto"/>
        </w:rPr>
        <w:t>The following supplemental financial information illustrates the consolidating effects of the Consolidated Funds on the Company’s financial position as of December 31, 2024 and 2023 and results of operations for the years ended December 31, 2024, 2023 and 2022. The supplemental statement of cash flows is presented without effects of the Consolidated Funds.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
        </w:trPr>
        <w:tc>
          <w:tcPr>
            <w:tcW w:w="43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24"/>
        </w:trPr>
        <w:tc>
          <w:tcPr>
            <w:tcW w:w="43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4"/>
        </w:trPr>
        <w:tc>
          <w:tcPr>
            <w:tcW w:w="4380" w:type="dxa"/>
            <w:vAlign w:val="bottom"/>
          </w:tcPr>
          <w:p>
            <w:pPr>
              <w:spacing w:after="0"/>
              <w:rPr>
                <w:sz w:val="12"/>
                <w:szCs w:val="12"/>
                <w:color w:val="auto"/>
              </w:rPr>
            </w:pPr>
          </w:p>
        </w:tc>
        <w:tc>
          <w:tcPr>
            <w:tcW w:w="9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9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Funds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0"/>
        </w:trPr>
        <w:tc>
          <w:tcPr>
            <w:tcW w:w="43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
        </w:trPr>
        <w:tc>
          <w:tcPr>
            <w:tcW w:w="4380" w:type="dxa"/>
            <w:vAlign w:val="bottom"/>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2"/>
        </w:trPr>
        <w:tc>
          <w:tcPr>
            <w:tcW w:w="438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1,266.0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1,266.0</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held at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830.4</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830.4</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0.5</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including accrued performance allocations of $7,053.5</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11,324.1</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(387.4)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10,936.7</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7,782.4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7,782.4</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net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1,111.0</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(305.4)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805.6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of Consolidated Funds,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237.1</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185.3</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185.3</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341.4</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and other</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54.6</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634.1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634.1</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r>
      <w:tr>
        <w:trPr>
          <w:trHeight w:val="18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14,944.6</w:t>
            </w:r>
          </w:p>
        </w:tc>
        <w:tc>
          <w:tcPr>
            <w:tcW w:w="6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8,851.7</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(692.8)</w:t>
            </w: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23,103.5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4"/>
        </w:trPr>
        <w:tc>
          <w:tcPr>
            <w:tcW w:w="43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Debt obligations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2,143.5</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2,143.5</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7,161.6</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(297.4)</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6,864.2</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389.8</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5,446.6</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5,446.6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Due to affiliates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236.6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241.9</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138.7</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138.7</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137.0</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of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861.7</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861.6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488.6</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giveback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r>
      <w:tr>
        <w:trPr>
          <w:trHeight w:val="18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9,024.8</w:t>
            </w: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8,028.6</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(297.5)</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16,755.9</w:t>
            </w:r>
          </w:p>
        </w:tc>
      </w:tr>
      <w:tr>
        <w:trPr>
          <w:trHeight w:val="28"/>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3,892.3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423.5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3,892.3</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2,040.8</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2,040.8</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(350.5)</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 in consolidated entities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333.6</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740.7</w:t>
            </w:r>
          </w:p>
        </w:tc>
      </w:tr>
      <w:tr>
        <w:trPr>
          <w:trHeight w:val="18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5,919.8</w:t>
            </w: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823.1</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(395.3)</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6,347.6</w:t>
            </w:r>
          </w:p>
        </w:tc>
      </w:tr>
      <w:tr>
        <w:trPr>
          <w:trHeight w:val="28"/>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7"/>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14,944.6</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8,851.7</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(692.8)</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23,103.5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40" w:orient="portrait"/>
          <w:cols w:equalWidth="0" w:num="1">
            <w:col w:w="9400"/>
          </w:cols>
          <w:pgMar w:left="1060" w:top="1440" w:right="1440" w:bottom="1440" w:gutter="0" w:footer="0" w:header="0"/>
        </w:sectPr>
      </w:pPr>
    </w:p>
    <w:bookmarkStart w:id="180" w:name="page181"/>
    <w:bookmarkEnd w:id="180"/>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221</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17" w:lineRule="auto"/>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4"/>
        </w:trPr>
        <w:tc>
          <w:tcPr>
            <w:tcW w:w="43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24"/>
        </w:trPr>
        <w:tc>
          <w:tcPr>
            <w:tcW w:w="43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4"/>
        </w:trPr>
        <w:tc>
          <w:tcPr>
            <w:tcW w:w="4380" w:type="dxa"/>
            <w:vAlign w:val="bottom"/>
          </w:tcPr>
          <w:p>
            <w:pPr>
              <w:spacing w:after="0"/>
              <w:rPr>
                <w:sz w:val="12"/>
                <w:szCs w:val="12"/>
                <w:color w:val="auto"/>
              </w:rPr>
            </w:pPr>
          </w:p>
        </w:tc>
        <w:tc>
          <w:tcPr>
            <w:tcW w:w="9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9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Funds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0"/>
        </w:trPr>
        <w:tc>
          <w:tcPr>
            <w:tcW w:w="43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
        </w:trPr>
        <w:tc>
          <w:tcPr>
            <w:tcW w:w="4380" w:type="dxa"/>
            <w:vAlign w:val="bottom"/>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2"/>
        </w:trPr>
        <w:tc>
          <w:tcPr>
            <w:tcW w:w="438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1,440.3</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1,440.3</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held at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346.0</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including accrued performance allocations of $6,169.9</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10,104.5</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9,955.3</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7,313.9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7,253.1</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net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1,009.2</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691.6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Due from affiliates and other receivables of Consolidated Funds,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161.5</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161.5</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Lease right-of-use assets,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332.2</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and other</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66.0</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766.1</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r>
      <w:tr>
        <w:trPr>
          <w:trHeight w:val="182"/>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13,898.1</w:t>
            </w:r>
          </w:p>
        </w:tc>
        <w:tc>
          <w:tcPr>
            <w:tcW w:w="6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7,805.5</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(527.6)</w:t>
            </w: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21,176.0</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4"/>
        </w:trPr>
        <w:tc>
          <w:tcPr>
            <w:tcW w:w="43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Debt obligations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2,281.0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2,281.0</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6,796.4</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(309.9)</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6,486.5</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333.8</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4,922.2</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4,922.2</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Due to affiliates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275.9</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140.3</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 of Consolidated Funds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374.4</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374.4</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488.1</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giveback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44.0</w:t>
            </w:r>
          </w:p>
        </w:tc>
      </w:tr>
      <w:tr>
        <w:trPr>
          <w:trHeight w:val="18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8,524.3</w:t>
            </w: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7,177.1</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(309.9)</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15,391.5</w:t>
            </w:r>
          </w:p>
        </w:tc>
      </w:tr>
      <w:tr>
        <w:trPr>
          <w:trHeight w:val="28"/>
        </w:trPr>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3,403.0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3,403.0</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2,082.1</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2,082.1</w:t>
            </w:r>
          </w:p>
        </w:tc>
      </w:tr>
      <w:tr>
        <w:trPr>
          <w:trHeight w:val="188"/>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(292.7)</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w:t>
            </w:r>
          </w:p>
        </w:tc>
      </w:tr>
      <w:tr>
        <w:trPr>
          <w:trHeight w:val="40"/>
        </w:trPr>
        <w:tc>
          <w:tcPr>
            <w:tcW w:w="4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8"/>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 in consolidated entities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177.8</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415.3</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593.1</w:t>
            </w:r>
          </w:p>
        </w:tc>
      </w:tr>
      <w:tr>
        <w:trPr>
          <w:trHeight w:val="180"/>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5,373.8</w:t>
            </w: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628.4</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(217.7)</w:t>
            </w: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5,784.5</w:t>
            </w:r>
          </w:p>
        </w:tc>
      </w:tr>
      <w:tr>
        <w:trPr>
          <w:trHeight w:val="28"/>
        </w:trPr>
        <w:tc>
          <w:tcPr>
            <w:tcW w:w="4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7"/>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13,898.1</w:t>
            </w: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7,805.5</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(527.6)</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21,176.0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9400"/>
          </w:cols>
          <w:pgMar w:left="1060" w:top="1440" w:right="1440" w:bottom="10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222</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ectPr>
          <w:pgSz w:w="11900" w:h="16840" w:orient="portrait"/>
          <w:cols w:equalWidth="0" w:num="1">
            <w:col w:w="9400"/>
          </w:cols>
          <w:pgMar w:left="1060" w:top="1440" w:right="1440" w:bottom="1099" w:gutter="0" w:footer="0" w:header="0"/>
          <w:type w:val="continuous"/>
        </w:sectPr>
      </w:pPr>
    </w:p>
    <w:bookmarkStart w:id="181" w:name="page182"/>
    <w:bookmarkEnd w:id="181"/>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2"/>
        </w:trPr>
        <w:tc>
          <w:tcPr>
            <w:tcW w:w="4500" w:type="dxa"/>
            <w:vAlign w:val="bottom"/>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r>
      <w:tr>
        <w:trPr>
          <w:trHeight w:val="124"/>
        </w:trPr>
        <w:tc>
          <w:tcPr>
            <w:tcW w:w="4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4"/>
        </w:trPr>
        <w:tc>
          <w:tcPr>
            <w:tcW w:w="4500" w:type="dxa"/>
            <w:vAlign w:val="bottom"/>
          </w:tcPr>
          <w:p>
            <w:pPr>
              <w:spacing w:after="0"/>
              <w:rPr>
                <w:sz w:val="12"/>
                <w:szCs w:val="12"/>
                <w:color w:val="auto"/>
              </w:rPr>
            </w:pPr>
          </w:p>
        </w:tc>
        <w:tc>
          <w:tcPr>
            <w:tcW w:w="94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4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Funds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0"/>
        </w:trPr>
        <w:tc>
          <w:tcPr>
            <w:tcW w:w="45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8"/>
        </w:trPr>
        <w:tc>
          <w:tcPr>
            <w:tcW w:w="4500" w:type="dxa"/>
            <w:vAlign w:val="bottom"/>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2"/>
        </w:trPr>
        <w:tc>
          <w:tcPr>
            <w:tcW w:w="45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2,218.3</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2,188.1</w:t>
            </w: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134.2</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2,016.8</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2,015.7</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267.7</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238.7</w:t>
            </w:r>
          </w:p>
        </w:tc>
      </w:tr>
      <w:tr>
        <w:trPr>
          <w:trHeight w:val="40"/>
        </w:trPr>
        <w:tc>
          <w:tcPr>
            <w:tcW w:w="4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2,284.5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2,254.4</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239.2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218.2</w:t>
            </w: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of Consolidated Funds</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631.6</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631.6</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4,876.2</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631.6</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5,425.8</w:t>
            </w:r>
          </w:p>
        </w:tc>
      </w:tr>
      <w:tr>
        <w:trPr>
          <w:trHeight w:val="28"/>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875.5</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875.5</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467.9</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467.9</w:t>
            </w: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 and incentive fee related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1,361.5</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2,704.9</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2,704.9</w:t>
            </w:r>
          </w:p>
        </w:tc>
      </w:tr>
      <w:tr>
        <w:trPr>
          <w:trHeight w:val="28"/>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665.6</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665.6</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r>
      <w:tr>
        <w:trPr>
          <w:trHeight w:val="40"/>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expenses of Consolidated Funds</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610.3</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564.9</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(income) expenses</w:t>
            </w:r>
          </w:p>
        </w:tc>
        <w:tc>
          <w:tcPr>
            <w:tcW w:w="2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r>
      <w:tr>
        <w:trPr>
          <w:trHeight w:val="40"/>
        </w:trPr>
        <w:tc>
          <w:tcPr>
            <w:tcW w:w="45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3,491.2</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610.3</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4,056.1</w:t>
            </w:r>
          </w:p>
        </w:tc>
      </w:t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8"/>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 of Consolidated Funds</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1,385.0</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1,393.7</w:t>
            </w:r>
          </w:p>
        </w:tc>
      </w:tr>
      <w:tr>
        <w:trPr>
          <w:trHeight w:val="28"/>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302.6</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302.6</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1,082.4</w:t>
            </w:r>
          </w:p>
        </w:tc>
        <w:tc>
          <w:tcPr>
            <w:tcW w:w="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1,091.1</w:t>
            </w:r>
          </w:p>
        </w:tc>
      </w:tr>
      <w:tr>
        <w:trPr>
          <w:trHeight w:val="28"/>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entities</w:t>
            </w: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70.7</w:t>
            </w:r>
          </w:p>
        </w:tc>
      </w:tr>
      <w:tr>
        <w:trPr>
          <w:trHeight w:val="18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The Carlyle Group Inc.</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1,020.4</w:t>
            </w:r>
          </w:p>
        </w:tc>
        <w:tc>
          <w:tcPr>
            <w:tcW w:w="6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1,020.4</w:t>
            </w: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223</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ectPr>
          <w:pgSz w:w="11900" w:h="16840" w:orient="portrait"/>
          <w:cols w:equalWidth="0" w:num="1">
            <w:col w:w="9400"/>
          </w:cols>
          <w:pgMar w:left="1060" w:top="555"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2"/>
        </w:trPr>
        <w:tc>
          <w:tcPr>
            <w:tcW w:w="45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r>
      <w:tr>
        <w:trPr>
          <w:trHeight w:val="124"/>
        </w:trPr>
        <w:tc>
          <w:tcPr>
            <w:tcW w:w="4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4"/>
        </w:trPr>
        <w:tc>
          <w:tcPr>
            <w:tcW w:w="4500" w:type="dxa"/>
            <w:vAlign w:val="bottom"/>
          </w:tcPr>
          <w:p>
            <w:pPr>
              <w:spacing w:after="0"/>
              <w:rPr>
                <w:sz w:val="12"/>
                <w:szCs w:val="12"/>
                <w:color w:val="auto"/>
              </w:rPr>
            </w:pPr>
          </w:p>
        </w:tc>
        <w:tc>
          <w:tcPr>
            <w:tcW w:w="9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Funds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0"/>
        </w:trPr>
        <w:tc>
          <w:tcPr>
            <w:tcW w:w="45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4500" w:type="dxa"/>
            <w:vAlign w:val="bottom"/>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2"/>
        </w:trPr>
        <w:tc>
          <w:tcPr>
            <w:tcW w:w="45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2,074.3</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2,043.2</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96.2</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93.7</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(88.6)</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w:t>
            </w:r>
          </w:p>
        </w:tc>
      </w:tr>
      <w:tr>
        <w:trPr>
          <w:trHeight w:val="40"/>
        </w:trPr>
        <w:tc>
          <w:tcPr>
            <w:tcW w:w="4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(30.4)</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222.7</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212.1</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of Consolidated Funds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2,468.4</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570.1</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(74.6)</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2,963.9</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1,023.7</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1,023.7</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249.1</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249.1</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 and incentive fee related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1,103.7</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2,376.5</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2,376.5</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651.4</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652.1</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123.8</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123.8</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expenses of Consolidated Funds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460.3</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419.1</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expenses</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r>
      <w:tr>
        <w:trPr>
          <w:trHeight w:val="40"/>
        </w:trPr>
        <w:tc>
          <w:tcPr>
            <w:tcW w:w="4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3,151.9</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460.3</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3,571.7</w:t>
            </w:r>
          </w:p>
        </w:tc>
      </w:t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investment income of Consolidated Funds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(683.5)</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(600.9)</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for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(34.1)</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(496.7)</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entities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82.6</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111.7</w:t>
            </w:r>
          </w:p>
        </w:tc>
      </w:tr>
      <w:tr>
        <w:trPr>
          <w:trHeight w:val="18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The Carlyle Group Inc.</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60" w:type="dxa"/>
            <w:vAlign w:val="bottom"/>
          </w:tcPr>
          <w:p>
            <w:pPr>
              <w:spacing w:after="0"/>
              <w:rPr>
                <w:sz w:val="15"/>
                <w:szCs w:val="15"/>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(116.7)</w:t>
            </w:r>
          </w:p>
        </w:tc>
        <w:tc>
          <w:tcPr>
            <w:tcW w:w="60" w:type="dxa"/>
            <w:vAlign w:val="bottom"/>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(608.4)</w:t>
            </w: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224</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ectPr>
          <w:pgSz w:w="11900" w:h="16840" w:orient="portrait"/>
          <w:cols w:equalWidth="0" w:num="1">
            <w:col w:w="9400"/>
          </w:cols>
          <w:pgMar w:left="1060" w:top="555"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2"/>
        </w:trPr>
        <w:tc>
          <w:tcPr>
            <w:tcW w:w="45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r>
      <w:tr>
        <w:trPr>
          <w:trHeight w:val="124"/>
        </w:trPr>
        <w:tc>
          <w:tcPr>
            <w:tcW w:w="45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44"/>
        </w:trPr>
        <w:tc>
          <w:tcPr>
            <w:tcW w:w="4500" w:type="dxa"/>
            <w:vAlign w:val="bottom"/>
          </w:tcPr>
          <w:p>
            <w:pPr>
              <w:spacing w:after="0"/>
              <w:rPr>
                <w:sz w:val="12"/>
                <w:szCs w:val="12"/>
                <w:color w:val="auto"/>
              </w:rPr>
            </w:pPr>
          </w:p>
        </w:tc>
        <w:tc>
          <w:tcPr>
            <w:tcW w:w="92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0" w:type="dxa"/>
            <w:vAlign w:val="bottom"/>
          </w:tcPr>
          <w:p>
            <w:pPr>
              <w:spacing w:after="0"/>
              <w:rPr>
                <w:sz w:val="12"/>
                <w:szCs w:val="12"/>
                <w:color w:val="auto"/>
              </w:rPr>
            </w:pPr>
          </w:p>
        </w:tc>
        <w:tc>
          <w:tcPr>
            <w:tcW w:w="4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Funds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0"/>
        </w:trPr>
        <w:tc>
          <w:tcPr>
            <w:tcW w:w="45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4500" w:type="dxa"/>
            <w:vAlign w:val="bottom"/>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2"/>
        </w:trPr>
        <w:tc>
          <w:tcPr>
            <w:tcW w:w="450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Fund management fees</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2,056.7</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2,030.1</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63.8</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63.7</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1,332.8</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1,327.5</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Principal investment income</w:t>
            </w:r>
          </w:p>
        </w:tc>
        <w:tc>
          <w:tcPr>
            <w:tcW w:w="22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542.5</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570.5</w:t>
            </w:r>
          </w:p>
        </w:tc>
      </w:tr>
      <w:tr>
        <w:trPr>
          <w:trHeight w:val="40"/>
        </w:trPr>
        <w:tc>
          <w:tcPr>
            <w:tcW w:w="45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1,875.3</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1,898.0</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2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154.1</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135.9</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income of Consolidated Funds</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311.0</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311.0</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4,149.9</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311.0</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(22.2)</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4,438.7</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Cash-based compensation and benefits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1,052.0</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1,052.0</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Equity-based compensation</w:t>
            </w:r>
          </w:p>
        </w:tc>
        <w:tc>
          <w:tcPr>
            <w:tcW w:w="22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154.0</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154.0</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allocations and incentive fee related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719.9</w:t>
            </w:r>
          </w:p>
        </w:tc>
        <w:tc>
          <w:tcPr>
            <w:tcW w:w="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719.9</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1,925.9</w:t>
            </w:r>
          </w:p>
        </w:tc>
        <w:tc>
          <w:tcPr>
            <w:tcW w:w="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1,925.9</w:t>
            </w:r>
          </w:p>
        </w:tc>
      </w:tr>
      <w:tr>
        <w:trPr>
          <w:trHeight w:val="28"/>
        </w:trPr>
        <w:tc>
          <w:tcPr>
            <w:tcW w:w="4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administrative and other expenses</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576.2</w:t>
            </w: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575.8</w:t>
            </w:r>
          </w:p>
        </w:tc>
      </w:t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110.4</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110.4</w:t>
            </w:r>
          </w:p>
        </w:tc>
      </w:tr>
      <w:tr>
        <w:trPr>
          <w:trHeight w:val="40"/>
        </w:trPr>
        <w:tc>
          <w:tcPr>
            <w:tcW w:w="4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72"/>
        </w:trPr>
        <w:tc>
          <w:tcPr>
            <w:tcW w:w="4500" w:type="dxa"/>
            <w:vAlign w:val="bottom"/>
            <w:shd w:val="clear" w:color="auto" w:fill="CCEEFF"/>
          </w:tcPr>
          <w:p>
            <w:pPr>
              <w:spacing w:after="0" w:line="52" w:lineRule="exact"/>
              <w:rPr>
                <w:sz w:val="20"/>
                <w:szCs w:val="20"/>
                <w:color w:val="auto"/>
              </w:rPr>
            </w:pPr>
            <w:r>
              <w:rPr>
                <w:rFonts w:ascii="Times New Roman" w:cs="Times New Roman" w:eastAsia="Times New Roman" w:hAnsi="Times New Roman"/>
                <w:sz w:val="6"/>
                <w:szCs w:val="6"/>
                <w:color w:val="auto"/>
              </w:rPr>
              <w:t>Interest and other expenses of Consolidated Funds</w:t>
            </w:r>
          </w:p>
        </w:tc>
        <w:tc>
          <w:tcPr>
            <w:tcW w:w="220" w:type="dxa"/>
            <w:vAlign w:val="bottom"/>
            <w:shd w:val="clear" w:color="auto" w:fill="CCEEFF"/>
          </w:tcPr>
          <w:p>
            <w:pPr>
              <w:spacing w:after="0"/>
              <w:rPr>
                <w:sz w:val="6"/>
                <w:szCs w:val="6"/>
                <w:color w:val="auto"/>
              </w:rPr>
            </w:pPr>
          </w:p>
        </w:tc>
        <w:tc>
          <w:tcPr>
            <w:tcW w:w="700" w:type="dxa"/>
            <w:vAlign w:val="bottom"/>
            <w:shd w:val="clear" w:color="auto" w:fill="CCEEFF"/>
          </w:tcPr>
          <w:p>
            <w:pPr>
              <w:jc w:val="right"/>
              <w:ind w:right="51"/>
              <w:spacing w:after="0" w:line="52"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80" w:type="dxa"/>
            <w:vAlign w:val="bottom"/>
            <w:shd w:val="clear" w:color="auto" w:fill="CCEEFF"/>
          </w:tcPr>
          <w:p>
            <w:pPr>
              <w:jc w:val="right"/>
              <w:ind w:right="51"/>
              <w:spacing w:after="0" w:line="52" w:lineRule="exact"/>
              <w:rPr>
                <w:sz w:val="20"/>
                <w:szCs w:val="20"/>
                <w:color w:val="auto"/>
              </w:rPr>
            </w:pPr>
            <w:r>
              <w:rPr>
                <w:rFonts w:ascii="Times New Roman" w:cs="Times New Roman" w:eastAsia="Times New Roman" w:hAnsi="Times New Roman"/>
                <w:sz w:val="6"/>
                <w:szCs w:val="6"/>
                <w:color w:val="auto"/>
              </w:rPr>
              <w:t>255.3</w:t>
            </w: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jc w:val="right"/>
              <w:ind w:right="11"/>
              <w:spacing w:after="0" w:line="52" w:lineRule="exact"/>
              <w:rPr>
                <w:sz w:val="20"/>
                <w:szCs w:val="20"/>
                <w:color w:val="auto"/>
              </w:rPr>
            </w:pPr>
            <w:r>
              <w:rPr>
                <w:rFonts w:ascii="Times New Roman" w:cs="Times New Roman" w:eastAsia="Times New Roman" w:hAnsi="Times New Roman"/>
                <w:sz w:val="6"/>
                <w:szCs w:val="6"/>
                <w:color w:val="auto"/>
              </w:rPr>
              <w:t>(43.7)</w:t>
            </w:r>
          </w:p>
        </w:tc>
        <w:tc>
          <w:tcPr>
            <w:tcW w:w="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00" w:type="dxa"/>
            <w:vAlign w:val="bottom"/>
            <w:shd w:val="clear" w:color="auto" w:fill="CCEEFF"/>
          </w:tcPr>
          <w:p>
            <w:pPr>
              <w:jc w:val="right"/>
              <w:ind w:right="51"/>
              <w:spacing w:after="0" w:line="52" w:lineRule="exact"/>
              <w:rPr>
                <w:sz w:val="20"/>
                <w:szCs w:val="20"/>
                <w:color w:val="auto"/>
              </w:rPr>
            </w:pPr>
            <w:r>
              <w:rPr>
                <w:rFonts w:ascii="Times New Roman" w:cs="Times New Roman" w:eastAsia="Times New Roman" w:hAnsi="Times New Roman"/>
                <w:sz w:val="6"/>
                <w:szCs w:val="6"/>
                <w:color w:val="auto"/>
              </w:rPr>
              <w:t>211.6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225</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line="204" w:lineRule="auto"/>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ectPr>
          <w:pgSz w:w="11900" w:h="16840" w:orient="portrait"/>
          <w:cols w:equalWidth="0" w:num="1">
            <w:col w:w="9400"/>
          </w:cols>
          <w:pgMar w:left="1060" w:top="555" w:right="1440"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69"/>
        </w:trPr>
        <w:tc>
          <w:tcPr>
            <w:tcW w:w="47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63"/>
        </w:trPr>
        <w:tc>
          <w:tcPr>
            <w:tcW w:w="47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7"/>
        </w:trPr>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7"/>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1,082.4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(579.3)</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1,248.6</w:t>
            </w: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Adjustments to reconcile net income (loss) to net cash flows from operating activities:</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
        </w:trPr>
        <w:tc>
          <w:tcPr>
            <w:tcW w:w="4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184.1</w:t>
            </w:r>
          </w:p>
        </w:tc>
        <w:tc>
          <w:tcPr>
            <w:tcW w:w="5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180.6</w:t>
            </w:r>
          </w:p>
        </w:tc>
        <w:tc>
          <w:tcPr>
            <w:tcW w:w="5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147.4</w:t>
            </w: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Equity-based compensation</w:t>
            </w:r>
          </w:p>
        </w:tc>
        <w:tc>
          <w:tcPr>
            <w:tcW w:w="46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467.9</w:t>
            </w:r>
          </w:p>
        </w:tc>
        <w:tc>
          <w:tcPr>
            <w:tcW w:w="50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249.1</w:t>
            </w:r>
          </w:p>
        </w:tc>
        <w:tc>
          <w:tcPr>
            <w:tcW w:w="520" w:type="dxa"/>
            <w:vAlign w:val="bottom"/>
          </w:tcPr>
          <w:p>
            <w:pPr>
              <w:spacing w:after="0"/>
              <w:rPr>
                <w:sz w:val="14"/>
                <w:szCs w:val="14"/>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154.0</w:t>
            </w: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2"/>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Non-cash performance allocations and incentive fees</w:t>
            </w: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(360.6)</w:t>
            </w:r>
          </w:p>
        </w:tc>
        <w:tc>
          <w:tcPr>
            <w:tcW w:w="5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1,569.2</w:t>
            </w:r>
          </w:p>
        </w:tc>
        <w:tc>
          <w:tcPr>
            <w:tcW w:w="5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387.5</w:t>
            </w: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Non-cash principal investment income</w:t>
            </w:r>
          </w:p>
        </w:tc>
        <w:tc>
          <w:tcPr>
            <w:tcW w:w="4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(207.0)</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(501.5)</w:t>
            </w: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2"/>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non-cash amounts</w:t>
            </w: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1.8</w:t>
            </w:r>
          </w:p>
        </w:tc>
        <w:tc>
          <w:tcPr>
            <w:tcW w:w="5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23.8</w:t>
            </w:r>
          </w:p>
        </w:tc>
        <w:tc>
          <w:tcPr>
            <w:tcW w:w="5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(10.3)</w:t>
            </w:r>
          </w:p>
        </w:tc>
      </w:tr>
      <w:tr>
        <w:trPr>
          <w:trHeight w:val="17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investments</w:t>
            </w:r>
          </w:p>
        </w:tc>
        <w:tc>
          <w:tcPr>
            <w:tcW w:w="4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(886.7)</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(345.8)</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226</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right="2000"/>
        <w:spacing w:after="0" w:line="203" w:lineRule="auto"/>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23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203" w:lineRule="auto"/>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ind w:right="1440" w:firstLine="576"/>
        <w:spacing w:after="0" w:line="203" w:lineRule="auto"/>
        <w:rPr>
          <w:sz w:val="20"/>
          <w:szCs w:val="20"/>
          <w:color w:val="auto"/>
        </w:rPr>
      </w:pPr>
      <w:r>
        <w:rPr>
          <w:rFonts w:ascii="Times New Roman" w:cs="Times New Roman" w:eastAsia="Times New Roman" w:hAnsi="Times New Roman"/>
          <w:sz w:val="16"/>
          <w:szCs w:val="16"/>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not absolute, assurance of achieving the desired control objectives.</w:t>
      </w:r>
    </w:p>
    <w:p>
      <w:pPr>
        <w:spacing w:after="0" w:line="5" w:lineRule="exact"/>
        <w:rPr>
          <w:sz w:val="20"/>
          <w:szCs w:val="20"/>
          <w:color w:val="auto"/>
        </w:rPr>
      </w:pPr>
    </w:p>
    <w:p>
      <w:pPr>
        <w:ind w:right="1420" w:firstLine="576"/>
        <w:spacing w:after="0" w:line="203"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has evaluated the effectiveness of the design and operation of our disclosure controls and procedures as of the end of the period covered by this report. Based upon that evaluation and subject to the foregoing, our principal executive officer and principal financial officer concluded that, as of the end of the period covered by this report, the design and operation of our disclosure controls and procedures were effective to accomplish their objectives at the reasonable assurance level.</w:t>
      </w:r>
    </w:p>
    <w:p>
      <w:pPr>
        <w:spacing w:after="0" w:line="206" w:lineRule="auto"/>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ind w:right="1400" w:firstLine="576"/>
        <w:spacing w:after="0" w:line="203"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 13a-15(f) and 15d-15(f) under the Exchange Act) during the quarter ended December 31, 2024 that have materially affected, or that are reasonably likely to materially affect, our internal control over financial reporting.</w:t>
      </w:r>
    </w:p>
    <w:p>
      <w:pPr>
        <w:spacing w:after="0" w:line="205" w:lineRule="auto"/>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jc w:val="both"/>
        <w:ind w:right="1500" w:firstLine="576"/>
        <w:spacing w:after="0" w:line="232" w:lineRule="auto"/>
        <w:rPr>
          <w:sz w:val="20"/>
          <w:szCs w:val="20"/>
          <w:color w:val="auto"/>
        </w:rPr>
      </w:pPr>
      <w:r>
        <w:rPr>
          <w:rFonts w:ascii="Times New Roman" w:cs="Times New Roman" w:eastAsia="Times New Roman" w:hAnsi="Times New Roman"/>
          <w:sz w:val="14"/>
          <w:szCs w:val="14"/>
          <w:color w:val="auto"/>
        </w:rPr>
        <w:t>Management of the Company is responsible for establishing and maintaining adequate internal control over financial reporting. The Company’s internal control over financial reporting is a process designed under the supervision of its principal executive and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generally accepted accounting principles.</w:t>
      </w:r>
    </w:p>
    <w:p>
      <w:pPr>
        <w:spacing w:after="0" w:line="2" w:lineRule="exact"/>
        <w:rPr>
          <w:sz w:val="20"/>
          <w:szCs w:val="20"/>
          <w:color w:val="auto"/>
        </w:rPr>
      </w:pPr>
    </w:p>
    <w:p>
      <w:pPr>
        <w:ind w:right="1480" w:firstLine="576"/>
        <w:spacing w:after="0" w:line="203" w:lineRule="auto"/>
        <w:rPr>
          <w:sz w:val="20"/>
          <w:szCs w:val="20"/>
          <w:color w:val="auto"/>
        </w:rPr>
      </w:pPr>
      <w:r>
        <w:rPr>
          <w:rFonts w:ascii="Times New Roman" w:cs="Times New Roman" w:eastAsia="Times New Roman" w:hAnsi="Times New Roman"/>
          <w:sz w:val="16"/>
          <w:szCs w:val="16"/>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generally accepted accounting principles,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3" w:lineRule="exact"/>
        <w:rPr>
          <w:sz w:val="20"/>
          <w:szCs w:val="20"/>
          <w:color w:val="auto"/>
        </w:rPr>
      </w:pPr>
    </w:p>
    <w:p>
      <w:pPr>
        <w:ind w:right="1400" w:firstLine="576"/>
        <w:spacing w:after="0" w:line="23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jc w:val="both"/>
        <w:ind w:right="1480" w:firstLine="576"/>
        <w:spacing w:after="0" w:line="244" w:lineRule="auto"/>
        <w:rPr>
          <w:sz w:val="20"/>
          <w:szCs w:val="20"/>
          <w:color w:val="auto"/>
        </w:rPr>
      </w:pPr>
      <w:r>
        <w:rPr>
          <w:rFonts w:ascii="Times New Roman" w:cs="Times New Roman" w:eastAsia="Times New Roman" w:hAnsi="Times New Roman"/>
          <w:sz w:val="14"/>
          <w:szCs w:val="14"/>
          <w:color w:val="auto"/>
        </w:rPr>
        <w:t xml:space="preserve">Management conducted an assessment of the effectiveness of the Company’s internal control over financial reporting as of December 31, 2024 based on the framework established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assessment, management has determined that the Company’s internal control over financial reporting as of December 31, 2024 was effective.</w:t>
      </w:r>
    </w:p>
    <w:p>
      <w:pPr>
        <w:sectPr>
          <w:pgSz w:w="11900" w:h="16840" w:orient="portrait"/>
          <w:cols w:equalWidth="0" w:num="1">
            <w:col w:w="9400"/>
          </w:cols>
          <w:pgMar w:left="1060" w:top="556"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227</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560"/>
        <w:spacing w:after="0"/>
        <w:rPr>
          <w:sz w:val="20"/>
          <w:szCs w:val="20"/>
          <w:color w:val="auto"/>
        </w:rPr>
      </w:pPr>
      <w:r>
        <w:rPr>
          <w:rFonts w:ascii="Times New Roman" w:cs="Times New Roman" w:eastAsia="Times New Roman" w:hAnsi="Times New Roman"/>
          <w:sz w:val="14"/>
          <w:szCs w:val="14"/>
          <w:color w:val="auto"/>
        </w:rPr>
        <w:t>Ernst &amp; Young LLP, an independent registered public accounting firm, has audited the Company’s consolidated</w:t>
      </w:r>
    </w:p>
    <w:p>
      <w:pPr>
        <w:sectPr>
          <w:pgSz w:w="11900" w:h="16840" w:orient="portrait"/>
          <w:cols w:equalWidth="0" w:num="1">
            <w:col w:w="9400"/>
          </w:cols>
          <w:pgMar w:left="1060" w:top="556" w:right="1440" w:bottom="79" w:gutter="0" w:footer="0" w:header="0"/>
          <w:type w:val="continuous"/>
        </w:sectPr>
      </w:pPr>
    </w:p>
    <w:bookmarkStart w:id="185" w:name="page186"/>
    <w:bookmarkEnd w:id="185"/>
    <w:p>
      <w:pPr>
        <w:ind w:right="1540"/>
        <w:spacing w:after="0" w:line="234" w:lineRule="auto"/>
        <w:rPr>
          <w:sz w:val="20"/>
          <w:szCs w:val="20"/>
          <w:color w:val="auto"/>
        </w:rPr>
      </w:pPr>
      <w:r>
        <w:rPr>
          <w:rFonts w:ascii="Times New Roman" w:cs="Times New Roman" w:eastAsia="Times New Roman" w:hAnsi="Times New Roman"/>
          <w:sz w:val="16"/>
          <w:szCs w:val="16"/>
          <w:color w:val="auto"/>
        </w:rPr>
        <w:t>financial statements included in this Annual Report on Form 10-K and issued its report on the effectiveness of the Company’s internal control over financial reporting as of December 31, 2024, which is included herein.</w:t>
      </w:r>
    </w:p>
    <w:p>
      <w:pPr>
        <w:spacing w:after="0" w:line="2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203" w:lineRule="auto"/>
        <w:rPr>
          <w:sz w:val="20"/>
          <w:szCs w:val="20"/>
          <w:color w:val="auto"/>
        </w:rPr>
      </w:pPr>
      <w:r>
        <w:rPr>
          <w:rFonts w:ascii="Times New Roman" w:cs="Times New Roman" w:eastAsia="Times New Roman" w:hAnsi="Times New Roman"/>
          <w:sz w:val="16"/>
          <w:szCs w:val="16"/>
          <w:color w:val="auto"/>
        </w:rPr>
        <w:t>On February 26, 2025, Christopher Finn, the former Chief Operating Officer of the Company and current Senior</w:t>
      </w:r>
    </w:p>
    <w:p>
      <w:pPr>
        <w:ind w:right="1480"/>
        <w:spacing w:after="0" w:line="203" w:lineRule="auto"/>
        <w:rPr>
          <w:sz w:val="20"/>
          <w:szCs w:val="20"/>
          <w:color w:val="auto"/>
        </w:rPr>
      </w:pPr>
      <w:r>
        <w:rPr>
          <w:rFonts w:ascii="Times New Roman" w:cs="Times New Roman" w:eastAsia="Times New Roman" w:hAnsi="Times New Roman"/>
          <w:sz w:val="16"/>
          <w:szCs w:val="16"/>
          <w:color w:val="auto"/>
        </w:rPr>
        <w:t>Advisor, voluntarily forfeited 334,002 outstanding and unvested performance-based restricted stock units previously granted to him pursuant to the Global Performance-Based Restricted Stock Unit Agreement between the Company and Mr. Finn dated February 6, 2024.</w:t>
      </w:r>
    </w:p>
    <w:p>
      <w:pPr>
        <w:spacing w:after="0" w:line="1" w:lineRule="exact"/>
        <w:rPr>
          <w:sz w:val="20"/>
          <w:szCs w:val="20"/>
          <w:color w:val="auto"/>
        </w:rPr>
      </w:pPr>
    </w:p>
    <w:p>
      <w:pPr>
        <w:ind w:right="1880"/>
        <w:spacing w:after="0" w:line="222" w:lineRule="auto"/>
        <w:rPr>
          <w:sz w:val="20"/>
          <w:szCs w:val="20"/>
          <w:color w:val="auto"/>
        </w:rPr>
      </w:pPr>
      <w:r>
        <w:rPr>
          <w:rFonts w:ascii="Times New Roman" w:cs="Times New Roman" w:eastAsia="Times New Roman" w:hAnsi="Times New Roman"/>
          <w:sz w:val="16"/>
          <w:szCs w:val="16"/>
          <w:b w:val="1"/>
          <w:bCs w:val="1"/>
          <w:color w:val="auto"/>
        </w:rPr>
        <w:t xml:space="preserve">ITEM 9C. DISCLOSURE REGARDING FOREIGN JURISDICTIONS THAT PREVENT INSPECTIONS </w:t>
      </w: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228</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4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203" w:lineRule="auto"/>
        <w:rPr>
          <w:sz w:val="20"/>
          <w:szCs w:val="20"/>
          <w:color w:val="auto"/>
        </w:rPr>
      </w:pPr>
      <w:r>
        <w:rPr>
          <w:rFonts w:ascii="Times New Roman" w:cs="Times New Roman" w:eastAsia="Times New Roman" w:hAnsi="Times New Roman"/>
          <w:sz w:val="16"/>
          <w:szCs w:val="16"/>
          <w:color w:val="auto"/>
        </w:rPr>
        <w:t>Information about our directors, including our Audit Committee, executive officers, and corporate governance will be</w:t>
      </w:r>
    </w:p>
    <w:p>
      <w:pPr>
        <w:ind w:right="1480"/>
        <w:spacing w:after="0" w:line="203" w:lineRule="auto"/>
        <w:rPr>
          <w:sz w:val="20"/>
          <w:szCs w:val="20"/>
          <w:color w:val="auto"/>
        </w:rPr>
      </w:pPr>
      <w:r>
        <w:rPr>
          <w:rFonts w:ascii="Times New Roman" w:cs="Times New Roman" w:eastAsia="Times New Roman" w:hAnsi="Times New Roman"/>
          <w:sz w:val="16"/>
          <w:szCs w:val="16"/>
          <w:color w:val="auto"/>
        </w:rPr>
        <w:t>in our definitive Proxy Statement for our 2025 Annual Meeting of Shareholders, which is expected to be filed no later than 120 days after the end of our fiscal year ended December 31, 2024 (the “2025 Proxy Statement”) under the captions “Corporate Governance,” “Item 1. Election of Directors,” “Executive Officers,” and “Insider Trading Policies and Procedures” and is incorporated in this Annual Report on Form 10-K by reference.</w:t>
      </w:r>
    </w:p>
    <w:p>
      <w:pPr>
        <w:spacing w:after="0" w:line="205" w:lineRule="auto"/>
        <w:rPr>
          <w:sz w:val="20"/>
          <w:szCs w:val="20"/>
          <w:color w:val="auto"/>
        </w:rPr>
      </w:pPr>
      <w:r>
        <w:rPr>
          <w:rFonts w:ascii="Times New Roman" w:cs="Times New Roman" w:eastAsia="Times New Roman" w:hAnsi="Times New Roman"/>
          <w:sz w:val="16"/>
          <w:szCs w:val="16"/>
          <w:color w:val="auto"/>
        </w:rPr>
        <w:t>Information relating to our compliance with Section 16(a) of the Exchange Act, if any, will be in the 2025 Proxy</w:t>
      </w:r>
    </w:p>
    <w:p>
      <w:pPr>
        <w:spacing w:after="0" w:line="1" w:lineRule="exact"/>
        <w:rPr>
          <w:sz w:val="20"/>
          <w:szCs w:val="20"/>
          <w:color w:val="auto"/>
        </w:rPr>
      </w:pPr>
    </w:p>
    <w:p>
      <w:pPr>
        <w:ind w:right="1640"/>
        <w:spacing w:after="0" w:line="203" w:lineRule="auto"/>
        <w:rPr>
          <w:sz w:val="20"/>
          <w:szCs w:val="20"/>
          <w:color w:val="auto"/>
        </w:rPr>
      </w:pPr>
      <w:r>
        <w:rPr>
          <w:rFonts w:ascii="Times New Roman" w:cs="Times New Roman" w:eastAsia="Times New Roman" w:hAnsi="Times New Roman"/>
          <w:sz w:val="16"/>
          <w:szCs w:val="16"/>
          <w:color w:val="auto"/>
        </w:rPr>
        <w:t>Statement under the caption “Delinquent Section 16(a) Reports” and is incorporated in this Annual Report on Form 10-K by reference.</w:t>
      </w:r>
    </w:p>
    <w:p>
      <w:pPr>
        <w:spacing w:after="0" w:line="204" w:lineRule="auto"/>
        <w:rPr>
          <w:sz w:val="20"/>
          <w:szCs w:val="20"/>
          <w:color w:val="auto"/>
        </w:rPr>
      </w:pPr>
      <w:r>
        <w:rPr>
          <w:rFonts w:ascii="Times New Roman" w:cs="Times New Roman" w:eastAsia="Times New Roman" w:hAnsi="Times New Roman"/>
          <w:sz w:val="16"/>
          <w:szCs w:val="16"/>
          <w:b w:val="1"/>
          <w:bCs w:val="1"/>
          <w:color w:val="auto"/>
        </w:rPr>
        <w:t>Code of Conduct and Code of Ethics for Financial Professionals</w:t>
      </w:r>
    </w:p>
    <w:p>
      <w:pPr>
        <w:spacing w:after="0" w:line="1" w:lineRule="exact"/>
        <w:rPr>
          <w:sz w:val="20"/>
          <w:szCs w:val="20"/>
          <w:color w:val="auto"/>
        </w:rPr>
      </w:pPr>
    </w:p>
    <w:p>
      <w:pPr>
        <w:ind w:right="1480"/>
        <w:spacing w:after="0" w:line="232" w:lineRule="auto"/>
        <w:rPr>
          <w:sz w:val="20"/>
          <w:szCs w:val="20"/>
          <w:color w:val="auto"/>
        </w:rPr>
      </w:pPr>
      <w:r>
        <w:rPr>
          <w:rFonts w:ascii="Times New Roman" w:cs="Times New Roman" w:eastAsia="Times New Roman" w:hAnsi="Times New Roman"/>
          <w:sz w:val="14"/>
          <w:szCs w:val="14"/>
          <w:color w:val="auto"/>
        </w:rPr>
        <w:t>We have a Code of Conduct and a Code of Ethics for Financial Professionals, which apply to our principal executive officer, principal financial officer, and principal accounting officer. Each of these codes is available on our website at http://ir.carlyle.com. We intend to disclose any amendment to or waiver of the Code of Conduct and any waiver of our Code of Ethics for Financial Professionals on behalf of an executive officer or director either on our website or in a Form 8-K filing.</w:t>
      </w:r>
    </w:p>
    <w:p>
      <w:pPr>
        <w:spacing w:after="0" w:line="235" w:lineRule="auto"/>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203" w:lineRule="auto"/>
        <w:rPr>
          <w:sz w:val="20"/>
          <w:szCs w:val="20"/>
          <w:color w:val="auto"/>
        </w:rPr>
      </w:pPr>
      <w:r>
        <w:rPr>
          <w:rFonts w:ascii="Times New Roman" w:cs="Times New Roman" w:eastAsia="Times New Roman" w:hAnsi="Times New Roman"/>
          <w:sz w:val="16"/>
          <w:szCs w:val="16"/>
          <w:color w:val="auto"/>
        </w:rPr>
        <w:t>Information relating to our executive officer and director compensation and the Compensation Committee will be in</w:t>
      </w:r>
    </w:p>
    <w:p>
      <w:pPr>
        <w:spacing w:after="0" w:line="1" w:lineRule="exact"/>
        <w:rPr>
          <w:sz w:val="20"/>
          <w:szCs w:val="20"/>
          <w:color w:val="auto"/>
        </w:rPr>
      </w:pPr>
    </w:p>
    <w:p>
      <w:pPr>
        <w:ind w:right="1620"/>
        <w:spacing w:after="0" w:line="222" w:lineRule="auto"/>
        <w:rPr>
          <w:sz w:val="20"/>
          <w:szCs w:val="20"/>
          <w:color w:val="auto"/>
        </w:rPr>
      </w:pPr>
      <w:r>
        <w:rPr>
          <w:rFonts w:ascii="Times New Roman" w:cs="Times New Roman" w:eastAsia="Times New Roman" w:hAnsi="Times New Roman"/>
          <w:sz w:val="16"/>
          <w:szCs w:val="16"/>
          <w:color w:val="auto"/>
        </w:rPr>
        <w:t>the 2025 Proxy Statement under the captions “Compensation Matters” and “Compensation Committee Interlocks and Insider Participation” and is incorporated in this Annual Report on Form 10-K by reference.</w:t>
      </w:r>
    </w:p>
    <w:p>
      <w:pPr>
        <w:sectPr>
          <w:pgSz w:w="11900" w:h="16840" w:orient="portrait"/>
          <w:cols w:equalWidth="0" w:num="1">
            <w:col w:w="9400"/>
          </w:cols>
          <w:pgMar w:left="1060" w:top="557" w:right="1440" w:bottom="56" w:gutter="0" w:footer="0" w:header="0"/>
        </w:sectPr>
      </w:pPr>
    </w:p>
    <w:bookmarkStart w:id="186" w:name="page187"/>
    <w:bookmarkEnd w:id="186"/>
    <w:p>
      <w:pPr>
        <w:ind w:right="1740"/>
        <w:spacing w:after="0" w:line="216" w:lineRule="auto"/>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04" w:lineRule="auto"/>
        <w:rPr>
          <w:sz w:val="20"/>
          <w:szCs w:val="20"/>
          <w:color w:val="auto"/>
        </w:rPr>
      </w:pPr>
      <w:r>
        <w:rPr>
          <w:rFonts w:ascii="Times New Roman" w:cs="Times New Roman" w:eastAsia="Times New Roman" w:hAnsi="Times New Roman"/>
          <w:sz w:val="16"/>
          <w:szCs w:val="16"/>
          <w:color w:val="auto"/>
        </w:rPr>
        <w:t>Information relating to securities authorized for issuance under equity compensation plans, security ownership of</w:t>
      </w:r>
    </w:p>
    <w:p>
      <w:pPr>
        <w:spacing w:after="0" w:line="1" w:lineRule="exact"/>
        <w:rPr>
          <w:sz w:val="20"/>
          <w:szCs w:val="20"/>
          <w:color w:val="auto"/>
        </w:rPr>
      </w:pPr>
    </w:p>
    <w:p>
      <w:pPr>
        <w:jc w:val="both"/>
        <w:ind w:right="1540"/>
        <w:spacing w:after="0" w:line="203" w:lineRule="auto"/>
        <w:rPr>
          <w:sz w:val="20"/>
          <w:szCs w:val="20"/>
          <w:color w:val="auto"/>
        </w:rPr>
      </w:pPr>
      <w:r>
        <w:rPr>
          <w:rFonts w:ascii="Times New Roman" w:cs="Times New Roman" w:eastAsia="Times New Roman" w:hAnsi="Times New Roman"/>
          <w:sz w:val="16"/>
          <w:szCs w:val="16"/>
          <w:color w:val="auto"/>
        </w:rPr>
        <w:t>certain beneficial owners of our common stock, and information relating to the security ownership of our management will be in the 2025 Proxy Statement under the captions “Beneficial Ownership” and “Securities Authorized for Issuance under Equity Compensation Plans” and is incorporated in this Annual Report on Form 10- K by reference.</w:t>
      </w:r>
    </w:p>
    <w:p>
      <w:pPr>
        <w:spacing w:after="0" w:line="1" w:lineRule="exact"/>
        <w:rPr>
          <w:sz w:val="20"/>
          <w:szCs w:val="20"/>
          <w:color w:val="auto"/>
        </w:rPr>
      </w:pPr>
    </w:p>
    <w:p>
      <w:pPr>
        <w:ind w:right="2500"/>
        <w:spacing w:after="0" w:line="203" w:lineRule="auto"/>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04" w:lineRule="auto"/>
        <w:rPr>
          <w:sz w:val="20"/>
          <w:szCs w:val="20"/>
          <w:color w:val="auto"/>
        </w:rPr>
      </w:pPr>
      <w:r>
        <w:rPr>
          <w:rFonts w:ascii="Times New Roman" w:cs="Times New Roman" w:eastAsia="Times New Roman" w:hAnsi="Times New Roman"/>
          <w:sz w:val="16"/>
          <w:szCs w:val="16"/>
          <w:color w:val="auto"/>
        </w:rPr>
        <w:t>Information regarding certain relationships and related transactions and director independence will be in the 2025</w:t>
      </w:r>
    </w:p>
    <w:p>
      <w:pPr>
        <w:ind w:right="1780"/>
        <w:spacing w:after="0" w:line="203" w:lineRule="auto"/>
        <w:rPr>
          <w:sz w:val="20"/>
          <w:szCs w:val="20"/>
          <w:color w:val="auto"/>
        </w:rPr>
      </w:pPr>
      <w:r>
        <w:rPr>
          <w:rFonts w:ascii="Times New Roman" w:cs="Times New Roman" w:eastAsia="Times New Roman" w:hAnsi="Times New Roman"/>
          <w:sz w:val="16"/>
          <w:szCs w:val="16"/>
          <w:color w:val="auto"/>
        </w:rPr>
        <w:t>Proxy Statement under the captions “Certain Relationships and Related Transactions” and “Director Independence” and is incorporated in this Annual Report on Form 10-K by reference.</w:t>
      </w:r>
    </w:p>
    <w:p>
      <w:pPr>
        <w:spacing w:after="0" w:line="233" w:lineRule="auto"/>
        <w:tabs>
          <w:tab w:leader="none" w:pos="110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 w:lineRule="exact"/>
        <w:rPr>
          <w:sz w:val="20"/>
          <w:szCs w:val="20"/>
          <w:color w:val="auto"/>
        </w:rPr>
      </w:pPr>
    </w:p>
    <w:p>
      <w:pPr>
        <w:ind w:right="2120"/>
        <w:spacing w:after="0" w:line="216" w:lineRule="auto"/>
        <w:rPr>
          <w:sz w:val="20"/>
          <w:szCs w:val="20"/>
          <w:color w:val="auto"/>
        </w:rPr>
      </w:pPr>
      <w:r>
        <w:rPr>
          <w:rFonts w:ascii="Times New Roman" w:cs="Times New Roman" w:eastAsia="Times New Roman" w:hAnsi="Times New Roman"/>
          <w:sz w:val="16"/>
          <w:szCs w:val="16"/>
          <w:color w:val="auto"/>
        </w:rPr>
        <w:t>Information regarding principal accounting fees and services will be in the 2025 Proxy Statement under the caption “Item 2. Ratification of Ernst &amp; Young LLP as our Independent Registered Public Accounting Firm for 2025” and is incorporated in this Annual Report on Form 10 -K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229</w:t>
      </w:r>
    </w:p>
    <w:p>
      <w:pPr>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15.</w:t>
            </w:r>
          </w:p>
        </w:tc>
        <w:tc>
          <w:tcPr>
            <w:tcW w:w="63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EXHIBITS AND FINANCIAL STATEMENT SCHEDULES</w:t>
            </w:r>
          </w:p>
        </w:tc>
        <w:tc>
          <w:tcPr>
            <w:tcW w:w="240" w:type="dxa"/>
            <w:vAlign w:val="bottom"/>
          </w:tcPr>
          <w:p>
            <w:pPr>
              <w:spacing w:after="0"/>
              <w:rPr>
                <w:sz w:val="16"/>
                <w:szCs w:val="16"/>
                <w:color w:val="auto"/>
              </w:rPr>
            </w:pPr>
          </w:p>
        </w:tc>
      </w:tr>
      <w:tr>
        <w:trPr>
          <w:trHeight w:val="156"/>
        </w:trPr>
        <w:tc>
          <w:tcPr>
            <w:tcW w:w="726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(a) Documents filed as part of this report</w:t>
            </w:r>
          </w:p>
        </w:tc>
        <w:tc>
          <w:tcPr>
            <w:tcW w:w="240" w:type="dxa"/>
            <w:vAlign w:val="bottom"/>
          </w:tcPr>
          <w:p>
            <w:pPr>
              <w:spacing w:after="0"/>
              <w:rPr>
                <w:sz w:val="13"/>
                <w:szCs w:val="13"/>
                <w:color w:val="auto"/>
              </w:rPr>
            </w:pPr>
          </w:p>
        </w:tc>
      </w:tr>
      <w:tr>
        <w:trPr>
          <w:trHeight w:val="205"/>
        </w:trPr>
        <w:tc>
          <w:tcPr>
            <w:tcW w:w="7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1. Financial Statements</w:t>
            </w:r>
          </w:p>
        </w:tc>
        <w:tc>
          <w:tcPr>
            <w:tcW w:w="240" w:type="dxa"/>
            <w:vAlign w:val="bottom"/>
          </w:tcPr>
          <w:p>
            <w:pPr>
              <w:spacing w:after="0"/>
              <w:rPr>
                <w:sz w:val="17"/>
                <w:szCs w:val="17"/>
                <w:color w:val="auto"/>
              </w:rPr>
            </w:pPr>
          </w:p>
        </w:tc>
      </w:tr>
      <w:tr>
        <w:trPr>
          <w:trHeight w:val="239"/>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42)</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28">
              <w:r>
                <w:rPr>
                  <w:rFonts w:ascii="Times New Roman" w:cs="Times New Roman" w:eastAsia="Times New Roman" w:hAnsi="Times New Roman"/>
                  <w:sz w:val="16"/>
                  <w:szCs w:val="16"/>
                  <w:color w:val="0000FF"/>
                  <w:w w:val="91"/>
                </w:rPr>
                <w:t>156</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Balance Sheets as of December 31, 2024 and 2023</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0">
              <w:r>
                <w:rPr>
                  <w:rFonts w:ascii="Times New Roman" w:cs="Times New Roman" w:eastAsia="Times New Roman" w:hAnsi="Times New Roman"/>
                  <w:sz w:val="16"/>
                  <w:szCs w:val="16"/>
                  <w:color w:val="0000FF"/>
                  <w:w w:val="91"/>
                </w:rPr>
                <w:t>159</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Operations for the Years Ended December 31, 2024, 2023 and 2022</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1">
              <w:r>
                <w:rPr>
                  <w:rFonts w:ascii="Times New Roman" w:cs="Times New Roman" w:eastAsia="Times New Roman" w:hAnsi="Times New Roman"/>
                  <w:sz w:val="16"/>
                  <w:szCs w:val="16"/>
                  <w:color w:val="0000FF"/>
                  <w:w w:val="91"/>
                </w:rPr>
                <w:t>160</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for the Years Ended December 31, 2024, 2023 and 2022</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2">
              <w:r>
                <w:rPr>
                  <w:rFonts w:ascii="Times New Roman" w:cs="Times New Roman" w:eastAsia="Times New Roman" w:hAnsi="Times New Roman"/>
                  <w:sz w:val="16"/>
                  <w:szCs w:val="16"/>
                  <w:color w:val="0000FF"/>
                  <w:w w:val="91"/>
                </w:rPr>
                <w:t>161</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Changes in Equity for the Years Ended December 31, 2024, 2023 and 2022</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3">
              <w:r>
                <w:rPr>
                  <w:rFonts w:ascii="Times New Roman" w:cs="Times New Roman" w:eastAsia="Times New Roman" w:hAnsi="Times New Roman"/>
                  <w:sz w:val="16"/>
                  <w:szCs w:val="16"/>
                  <w:color w:val="0000FF"/>
                  <w:w w:val="91"/>
                </w:rPr>
                <w:t>162</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2024, 2023 and 2022</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3">
              <w:r>
                <w:rPr>
                  <w:rFonts w:ascii="Times New Roman" w:cs="Times New Roman" w:eastAsia="Times New Roman" w:hAnsi="Times New Roman"/>
                  <w:sz w:val="16"/>
                  <w:szCs w:val="16"/>
                  <w:color w:val="0000FF"/>
                  <w:w w:val="91"/>
                </w:rPr>
                <w:t>163</w:t>
              </w:r>
            </w:hyperlink>
          </w:p>
        </w:tc>
      </w:tr>
      <w:tr>
        <w:trPr>
          <w:trHeight w:val="220"/>
        </w:trPr>
        <w:tc>
          <w:tcPr>
            <w:tcW w:w="7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24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91"/>
              </w:rPr>
            </w:pPr>
            <w:hyperlink w:anchor="page135">
              <w:r>
                <w:rPr>
                  <w:rFonts w:ascii="Times New Roman" w:cs="Times New Roman" w:eastAsia="Times New Roman" w:hAnsi="Times New Roman"/>
                  <w:sz w:val="16"/>
                  <w:szCs w:val="16"/>
                  <w:color w:val="0000FF"/>
                  <w:w w:val="91"/>
                </w:rPr>
                <w:t>165</w:t>
              </w:r>
            </w:hyperlink>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Financial Statement Schedules</w:t>
      </w:r>
    </w:p>
    <w:p>
      <w:pPr>
        <w:ind w:right="1840"/>
        <w:spacing w:after="0" w:line="232" w:lineRule="auto"/>
        <w:rPr>
          <w:sz w:val="20"/>
          <w:szCs w:val="20"/>
          <w:color w:val="auto"/>
        </w:rPr>
      </w:pPr>
      <w:r>
        <w:rPr>
          <w:rFonts w:ascii="Times New Roman" w:cs="Times New Roman" w:eastAsia="Times New Roman" w:hAnsi="Times New Roman"/>
          <w:sz w:val="14"/>
          <w:szCs w:val="14"/>
          <w:color w:val="auto"/>
        </w:rPr>
        <w:t>All financial schedules have been omitted because the required information is either presented in the consolidated financial statements filed as part of this Annual Report on Form 10-K or the notes thereto or is not applicable or required.</w:t>
      </w:r>
    </w:p>
    <w:p>
      <w:pPr>
        <w:ind w:left="280"/>
        <w:spacing w:after="0" w:line="204" w:lineRule="auto"/>
        <w:rPr>
          <w:sz w:val="20"/>
          <w:szCs w:val="20"/>
          <w:color w:val="auto"/>
        </w:rPr>
      </w:pPr>
      <w:r>
        <w:rPr>
          <w:rFonts w:ascii="Times New Roman" w:cs="Times New Roman" w:eastAsia="Times New Roman" w:hAnsi="Times New Roman"/>
          <w:sz w:val="16"/>
          <w:szCs w:val="16"/>
          <w:b w:val="1"/>
          <w:bCs w:val="1"/>
          <w:color w:val="auto"/>
        </w:rPr>
        <w:t>3. Exhibits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list of exhibits required to be filed or furnished as part of this report is set forth in the Exhibit Index below.</w:t>
      </w:r>
    </w:p>
    <w:p>
      <w:pPr>
        <w:sectPr>
          <w:pgSz w:w="11900" w:h="16840" w:orient="portrait"/>
          <w:cols w:equalWidth="0" w:num="1">
            <w:col w:w="9400"/>
          </w:cols>
          <w:pgMar w:left="1060" w:top="555"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36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3.1</w:t>
            </w: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360" w:type="dxa"/>
            <w:vAlign w:val="bottom"/>
            <w:gridSpan w:val="20"/>
          </w:tcPr>
          <w:p>
            <w:pPr>
              <w:spacing w:after="0" w:line="148"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Amended and Restated Certificate of Incorporation of The Carlyle Group Inc. (incorporated by reference to</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20" w:type="dxa"/>
            <w:vAlign w:val="bottom"/>
            <w:tcBorders>
              <w:top w:val="single" w:sz="8" w:color="0000FF"/>
              <w:bottom w:val="single" w:sz="8" w:color="0000FF"/>
            </w:tcBorders>
            <w:gridSpan w:val="7"/>
          </w:tcPr>
          <w:p>
            <w:pPr>
              <w:spacing w:after="0" w:line="136"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Exhibit 3.1 to the Registrant’s Current Report on Form 8-K filed with the SEC on June 2, 2023)</w:t>
              </w:r>
            </w:hyperlink>
            <w:r>
              <w:rPr>
                <w:rFonts w:ascii="Times New Roman" w:cs="Times New Roman" w:eastAsia="Times New Roman" w:hAnsi="Times New Roman"/>
                <w:sz w:val="14"/>
                <w:szCs w:val="14"/>
                <w:color w:val="0000FF"/>
              </w:rPr>
              <w:t>.</w:t>
            </w:r>
          </w:p>
        </w:tc>
        <w:tc>
          <w:tcPr>
            <w:tcW w:w="74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360" w:type="dxa"/>
            <w:vAlign w:val="bottom"/>
            <w:gridSpan w:val="20"/>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Bylaws of The Carlyle Group Inc. (incorporated by reference to Exhibit 3.3 to the Registrant’s Current Report on</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120" w:type="dxa"/>
            <w:vAlign w:val="bottom"/>
            <w:tcBorders>
              <w:top w:val="single" w:sz="8" w:color="0000FF"/>
            </w:tcBorders>
            <w:gridSpan w:val="19"/>
          </w:tcPr>
          <w:p>
            <w:pPr>
              <w:spacing w:after="0" w:line="136"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Form 8-K filed with the SEC on January 2, 2020)</w:t>
              </w:r>
            </w:hyperlink>
            <w:r>
              <w:rPr>
                <w:rFonts w:ascii="Times New Roman" w:cs="Times New Roman" w:eastAsia="Times New Roman" w:hAnsi="Times New Roman"/>
                <w:sz w:val="14"/>
                <w:szCs w:val="14"/>
                <w:color w:val="0000FF"/>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7"/>
              </w:rPr>
            </w:pPr>
            <w:hyperlink r:id="rId232">
              <w:r>
                <w:rPr>
                  <w:rFonts w:ascii="Times New Roman" w:cs="Times New Roman" w:eastAsia="Times New Roman" w:hAnsi="Times New Roman"/>
                  <w:sz w:val="16"/>
                  <w:szCs w:val="16"/>
                  <w:color w:val="0000FF"/>
                  <w:w w:val="97"/>
                </w:rPr>
                <w:t>Indenture dated as of March 28, 2013 among Carlyle Holdings II Finance L.L.C., The Carlyle Group L.P.,</w:t>
              </w:r>
            </w:hyperlink>
          </w:p>
        </w:tc>
        <w:tc>
          <w:tcPr>
            <w:tcW w:w="7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gridSpan w:val="20"/>
          </w:tcPr>
          <w:p>
            <w:pPr>
              <w:spacing w:after="0" w:line="136"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Carlyle Holdings I L.P., Carlyle Holdings III L.P. and The Bank of New York Mellon Trust Company, N.A., as</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0" w:type="dxa"/>
            <w:vAlign w:val="bottom"/>
            <w:tcBorders>
              <w:top w:val="single" w:sz="8" w:color="0000FF"/>
            </w:tcBorders>
            <w:gridSpan w:val="16"/>
          </w:tcPr>
          <w:p>
            <w:pPr>
              <w:spacing w:after="0" w:line="136"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trustee (incorporated by reference to Exhibit 4.1 to the Registrant’s Current Report on Form 8-K filed with the</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SEC on March 28, 2013).</w:t>
              </w:r>
            </w:hyperlink>
          </w:p>
        </w:tc>
        <w:tc>
          <w:tcPr>
            <w:tcW w:w="5320" w:type="dxa"/>
            <w:vAlign w:val="bottom"/>
            <w:tcBorders>
              <w:top w:val="single" w:sz="8" w:color="0000FF"/>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0"/>
          </w:tcPr>
          <w:p>
            <w:pPr>
              <w:spacing w:after="0"/>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First Supplemental Indenture dated as of March 28, 2013 among Carlyle Holdings II Finance L.L.C., The Carlyle</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120" w:type="dxa"/>
            <w:vAlign w:val="bottom"/>
            <w:tcBorders>
              <w:top w:val="single" w:sz="8" w:color="0000FF"/>
            </w:tcBorders>
            <w:gridSpan w:val="19"/>
          </w:tcPr>
          <w:p>
            <w:pPr>
              <w:spacing w:after="0" w:line="136"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Group L.P., Carlyle Holdings I L.P., Carlyle Holdings II L.P., Carlyle Holdings III L.P. and The Bank of New</w:t>
              </w:r>
            </w:hyperlink>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920" w:type="dxa"/>
            <w:vAlign w:val="bottom"/>
            <w:tcBorders>
              <w:top w:val="single" w:sz="8" w:color="0000FF"/>
            </w:tcBorders>
            <w:gridSpan w:val="14"/>
          </w:tcPr>
          <w:p>
            <w:pPr>
              <w:spacing w:after="0" w:line="136"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York Mellon Trust Company, N.A., as trustee (incorporated by reference to Exhibit 4.2 to the Registrant’s</w:t>
              </w:r>
            </w:hyperlink>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0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Current Report on Form 8-K filed with the SEC on March 28, 2013).</w:t>
              </w:r>
            </w:hyperlink>
          </w:p>
        </w:tc>
        <w:tc>
          <w:tcPr>
            <w:tcW w:w="23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0"/>
          </w:tcPr>
          <w:p>
            <w:pPr>
              <w:spacing w:after="0"/>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Form of 5.625% Senior Note due 2043 (included in Exhibit 4.2 to the Registrant’s Current Report on Form 8-K</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0" w:type="dxa"/>
            <w:vAlign w:val="bottom"/>
            <w:tcBorders>
              <w:top w:val="single" w:sz="8" w:color="0000FF"/>
            </w:tcBorders>
            <w:gridSpan w:val="16"/>
          </w:tcPr>
          <w:p>
            <w:pPr>
              <w:spacing w:after="0" w:line="136"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filed with the SEC on March 28, 2013)</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r:id="rId234">
              <w:r>
                <w:rPr>
                  <w:rFonts w:ascii="Times New Roman" w:cs="Times New Roman" w:eastAsia="Times New Roman" w:hAnsi="Times New Roman"/>
                  <w:sz w:val="16"/>
                  <w:szCs w:val="16"/>
                  <w:color w:val="0000FF"/>
                  <w:w w:val="97"/>
                </w:rPr>
                <w:t>Second Supplemental Indenture dated as of March 10, 2014 among Carlyle Holdings II Finance L.L.C., The</w:t>
              </w:r>
            </w:hyperlink>
          </w:p>
        </w:tc>
        <w:tc>
          <w:tcPr>
            <w:tcW w:w="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gridSpan w:val="20"/>
          </w:tcPr>
          <w:p>
            <w:pPr>
              <w:spacing w:after="0" w:line="136"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Carlyle Group L.P., Carlyle Holdings I L.P., Carlyle Holdings II L.P., Carlyle Holdings III L.P. and The Bank of</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80" w:type="dxa"/>
            <w:vAlign w:val="bottom"/>
            <w:tcBorders>
              <w:top w:val="single" w:sz="8" w:color="0000FF"/>
            </w:tcBorders>
            <w:gridSpan w:val="18"/>
          </w:tcPr>
          <w:p>
            <w:pPr>
              <w:spacing w:after="0" w:line="136"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New York Mellon Trust Company, N.A., as trustee (incorporated by reference to Exhibit 4.1 to the Registrant’s</w:t>
              </w:r>
            </w:hyperlink>
          </w:p>
        </w:tc>
        <w:tc>
          <w:tcPr>
            <w:tcW w:w="2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0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Current Report on Form 8-K filed with the SEC on March 10, 2014).</w:t>
              </w:r>
            </w:hyperlink>
          </w:p>
        </w:tc>
        <w:tc>
          <w:tcPr>
            <w:tcW w:w="270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gridSpan w:val="20"/>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Third Supplemental Indenture dated as of January 1, 2020 among Carlyle Holdings II Finance L.L.C., The</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Carlyle Group Inc., Carlyle Holdings I L.P., Carlyle Holdings II L.P., Carlyle Holdings II L.L.C., Carlyle</w:t>
              </w:r>
            </w:hyperlink>
          </w:p>
        </w:tc>
        <w:tc>
          <w:tcPr>
            <w:tcW w:w="80" w:type="dxa"/>
            <w:vAlign w:val="bottom"/>
            <w:tcBorders>
              <w:top w:val="single" w:sz="8" w:color="0000FF"/>
            </w:tcBorders>
            <w:gridSpan w:val="2"/>
          </w:tcPr>
          <w:p>
            <w:pPr>
              <w:spacing w:after="0"/>
              <w:rPr>
                <w:sz w:val="11"/>
                <w:szCs w:val="11"/>
                <w:color w:val="auto"/>
              </w:rPr>
            </w:pPr>
          </w:p>
        </w:tc>
        <w:tc>
          <w:tcPr>
            <w:tcW w:w="18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gridSpan w:val="20"/>
          </w:tcPr>
          <w:p>
            <w:pPr>
              <w:spacing w:after="0" w:line="136"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Holdings III L.P., CG Subsidiary Holdings L.L.C. and The Bank of New York Mellon Trust Company, N.A., as</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20" w:type="dxa"/>
            <w:vAlign w:val="bottom"/>
            <w:tcBorders>
              <w:top w:val="single" w:sz="8" w:color="0000FF"/>
            </w:tcBorders>
            <w:gridSpan w:val="17"/>
          </w:tcPr>
          <w:p>
            <w:pPr>
              <w:spacing w:after="0" w:line="136"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trustee (incorporated by reference to Exhibit 4.9 to the Registrant’s Annual Report on Form 10-K filed with the</w:t>
              </w:r>
            </w:hyperlink>
          </w:p>
        </w:tc>
        <w:tc>
          <w:tcPr>
            <w:tcW w:w="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SEC on February 12, 2020).</w:t>
              </w:r>
            </w:hyperlink>
          </w:p>
        </w:tc>
        <w:tc>
          <w:tcPr>
            <w:tcW w:w="5220" w:type="dxa"/>
            <w:vAlign w:val="bottom"/>
            <w:tcBorders>
              <w:top w:val="single" w:sz="8" w:color="0000FF"/>
            </w:tcBorders>
            <w:gridSpan w:val="13"/>
          </w:tcPr>
          <w:p>
            <w:pPr>
              <w:spacing w:after="0"/>
              <w:rPr>
                <w:sz w:val="11"/>
                <w:szCs w:val="11"/>
                <w:color w:val="auto"/>
              </w:rPr>
            </w:pPr>
          </w:p>
        </w:tc>
        <w:tc>
          <w:tcPr>
            <w:tcW w:w="38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Indenture dated as of September 14, 2018 among Carlyle Finance L.L.C., The Carlyle Group L.P., Carlyle</w:t>
              </w:r>
            </w:hyperlink>
          </w:p>
        </w:tc>
        <w:tc>
          <w:tcPr>
            <w:tcW w:w="7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60" w:type="dxa"/>
            <w:vAlign w:val="bottom"/>
            <w:tcBorders>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Holdings I L.P., Carlyle Holdings II L.P., Carlyle Holdings III L.P. and The Bank of New York Mellon Trust</w:t>
              </w:r>
            </w:hyperlink>
          </w:p>
        </w:tc>
        <w:tc>
          <w:tcPr>
            <w:tcW w:w="50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360" w:type="dxa"/>
            <w:vAlign w:val="bottom"/>
            <w:gridSpan w:val="20"/>
          </w:tcPr>
          <w:p>
            <w:pPr>
              <w:spacing w:after="0" w:line="136"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Company, N.A., as trustee (incorporated by reference to Exhibit 4.1 to the Registrant’s Current Report on Form</w:t>
              </w:r>
            </w:hyperlink>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0" w:type="dxa"/>
            <w:vAlign w:val="bottom"/>
            <w:tcBorders>
              <w:top w:val="single" w:sz="8" w:color="0000FF"/>
            </w:tcBorders>
            <w:gridSpan w:val="16"/>
          </w:tcPr>
          <w:p>
            <w:pPr>
              <w:spacing w:after="0" w:line="136"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8-K filed with the SEC on September 14, 2018)</w:t>
              </w:r>
            </w:hyperlink>
            <w:r>
              <w:rPr>
                <w:rFonts w:ascii="Times New Roman" w:cs="Times New Roman" w:eastAsia="Times New Roman" w:hAnsi="Times New Roman"/>
                <w:sz w:val="14"/>
                <w:szCs w:val="14"/>
                <w:color w:val="0000FF"/>
              </w:rPr>
              <w:t>.</w:t>
            </w:r>
          </w:p>
        </w:tc>
        <w:tc>
          <w:tcPr>
            <w:tcW w:w="36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230</w:t>
      </w:r>
    </w:p>
    <w:p>
      <w:pPr>
        <w:spacing w:after="0" w:line="197"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920" w:type="dxa"/>
            <w:vAlign w:val="bottom"/>
          </w:tcPr>
          <w:p>
            <w:pPr>
              <w:spacing w:after="0" w:line="128" w:lineRule="exact"/>
              <w:rPr>
                <w:sz w:val="20"/>
                <w:szCs w:val="20"/>
                <w:color w:val="auto"/>
              </w:rPr>
            </w:pPr>
            <w:r>
              <w:rPr>
                <w:rFonts w:ascii="Times New Roman" w:cs="Times New Roman" w:eastAsia="Times New Roman" w:hAnsi="Times New Roman"/>
                <w:sz w:val="14"/>
                <w:szCs w:val="14"/>
                <w:color w:val="auto"/>
              </w:rPr>
              <w:t>4.7</w:t>
            </w:r>
          </w:p>
        </w:tc>
        <w:tc>
          <w:tcPr>
            <w:tcW w:w="7060" w:type="dxa"/>
            <w:vAlign w:val="bottom"/>
            <w:tcBorders>
              <w:bottom w:val="single" w:sz="8" w:color="0000FF"/>
            </w:tcBorders>
            <w:gridSpan w:val="25"/>
          </w:tcPr>
          <w:p>
            <w:pPr>
              <w:spacing w:after="0" w:line="128"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First Supplemental Indenture dated as of September 14, 2018 among Carlyle Finance L.L.C., The Carlyle Group</w:t>
              </w:r>
            </w:hyperlink>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60" w:type="dxa"/>
            <w:vAlign w:val="bottom"/>
            <w:gridSpan w:val="25"/>
          </w:tcPr>
          <w:p>
            <w:pPr>
              <w:spacing w:after="0" w:line="136"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L.P., Carlyle Holdings I L.P., Carlyle Holdings II L.P., Carlyle Holdings III L.P. and The Bank of New York</w:t>
              </w:r>
            </w:hyperlink>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6840" w:type="dxa"/>
            <w:vAlign w:val="bottom"/>
            <w:tcBorders>
              <w:top w:val="single" w:sz="8" w:color="0000FF"/>
            </w:tcBorders>
            <w:gridSpan w:val="18"/>
          </w:tcPr>
          <w:p>
            <w:pPr>
              <w:spacing w:after="0" w:line="136"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Mellon Trust Company, N.A., as trustee (incorporated by reference to Exhibit 4.2 to the Registrant’s Current</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6820" w:type="dxa"/>
            <w:vAlign w:val="bottom"/>
            <w:tcBorders>
              <w:top w:val="single" w:sz="8" w:color="0000FF"/>
            </w:tcBorders>
            <w:gridSpan w:val="17"/>
          </w:tcPr>
          <w:p>
            <w:pPr>
              <w:spacing w:after="0" w:line="136"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Report on Form 8-K filed with the SEC on September 14, 2018)</w:t>
              </w:r>
            </w:hyperlink>
            <w:r>
              <w:rPr>
                <w:rFonts w:ascii="Times New Roman" w:cs="Times New Roman" w:eastAsia="Times New Roman" w:hAnsi="Times New Roman"/>
                <w:sz w:val="14"/>
                <w:szCs w:val="14"/>
                <w:color w:val="0000FF"/>
              </w:rPr>
              <w:t>.</w:t>
            </w: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7060" w:type="dxa"/>
            <w:vAlign w:val="bottom"/>
            <w:gridSpan w:val="25"/>
          </w:tcPr>
          <w:p>
            <w:pPr>
              <w:spacing w:after="0"/>
              <w:rPr>
                <w:rFonts w:ascii="Times New Roman" w:cs="Times New Roman" w:eastAsia="Times New Roman" w:hAnsi="Times New Roman"/>
                <w:sz w:val="16"/>
                <w:szCs w:val="16"/>
                <w:color w:val="0000FF"/>
                <w:w w:val="98"/>
              </w:rPr>
            </w:pPr>
            <w:hyperlink r:id="rId237">
              <w:r>
                <w:rPr>
                  <w:rFonts w:ascii="Times New Roman" w:cs="Times New Roman" w:eastAsia="Times New Roman" w:hAnsi="Times New Roman"/>
                  <w:sz w:val="16"/>
                  <w:szCs w:val="16"/>
                  <w:color w:val="0000FF"/>
                  <w:w w:val="98"/>
                </w:rPr>
                <w:t>Form of 5.650% Senior Note due 2048 (included in Exhibit 4.2 to the Registrant’s Current Report on Form 8-K</w:t>
              </w:r>
            </w:hyperlink>
          </w:p>
        </w:tc>
        <w:tc>
          <w:tcPr>
            <w:tcW w:w="20" w:type="dxa"/>
            <w:vAlign w:val="bottom"/>
          </w:tcPr>
          <w:p>
            <w:pPr>
              <w:spacing w:after="0"/>
              <w:rPr>
                <w:sz w:val="24"/>
                <w:szCs w:val="24"/>
                <w:color w:val="auto"/>
              </w:rPr>
            </w:pPr>
          </w:p>
        </w:tc>
      </w:tr>
      <w:tr>
        <w:trPr>
          <w:trHeight w:val="136"/>
        </w:trPr>
        <w:tc>
          <w:tcPr>
            <w:tcW w:w="920" w:type="dxa"/>
            <w:vAlign w:val="bottom"/>
          </w:tcPr>
          <w:p>
            <w:pPr>
              <w:spacing w:after="0"/>
              <w:rPr>
                <w:sz w:val="11"/>
                <w:szCs w:val="11"/>
                <w:color w:val="auto"/>
              </w:rPr>
            </w:pPr>
          </w:p>
        </w:tc>
        <w:tc>
          <w:tcPr>
            <w:tcW w:w="274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filed with the SEC on September 14, 2018).</w:t>
              </w:r>
            </w:hyperlink>
          </w:p>
        </w:tc>
        <w:tc>
          <w:tcPr>
            <w:tcW w:w="428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696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r:id="rId238">
              <w:r>
                <w:rPr>
                  <w:rFonts w:ascii="Times New Roman" w:cs="Times New Roman" w:eastAsia="Times New Roman" w:hAnsi="Times New Roman"/>
                  <w:sz w:val="16"/>
                  <w:szCs w:val="16"/>
                  <w:color w:val="0000FF"/>
                  <w:w w:val="97"/>
                </w:rPr>
                <w:t>Second Supplemental Indenture dated as of January 1, 2020 among Carlyle Finance L.L.C., The Carlyle Group</w:t>
              </w:r>
            </w:hyperlink>
          </w:p>
        </w:tc>
        <w:tc>
          <w:tcPr>
            <w:tcW w:w="10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r>
      <w:tr>
        <w:trPr>
          <w:trHeight w:val="136"/>
        </w:trPr>
        <w:tc>
          <w:tcPr>
            <w:tcW w:w="920" w:type="dxa"/>
            <w:vAlign w:val="bottom"/>
          </w:tcPr>
          <w:p>
            <w:pPr>
              <w:spacing w:after="0"/>
              <w:rPr>
                <w:sz w:val="11"/>
                <w:szCs w:val="11"/>
                <w:color w:val="auto"/>
              </w:rPr>
            </w:pPr>
          </w:p>
        </w:tc>
        <w:tc>
          <w:tcPr>
            <w:tcW w:w="7060" w:type="dxa"/>
            <w:vAlign w:val="bottom"/>
            <w:tcBorders>
              <w:bottom w:val="single" w:sz="8" w:color="0000FF"/>
            </w:tcBorders>
            <w:gridSpan w:val="25"/>
          </w:tcPr>
          <w:p>
            <w:pPr>
              <w:spacing w:after="0" w:line="136"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Inc., Carlyle Holdings I L.P., Carlyle Holdings II L.P., Carlyle Holdings II L.L.C., Carlyle Holdings III L.P., CG</w:t>
              </w:r>
            </w:hyperlink>
          </w:p>
        </w:tc>
        <w:tc>
          <w:tcPr>
            <w:tcW w:w="20" w:type="dxa"/>
            <w:vAlign w:val="bottom"/>
            <w:tcBorders>
              <w:bottom w:val="single" w:sz="8" w:color="0000FF"/>
            </w:tcBorders>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6960" w:type="dxa"/>
            <w:vAlign w:val="bottom"/>
            <w:tcBorders>
              <w:bottom w:val="single" w:sz="8" w:color="0000FF"/>
            </w:tcBorders>
            <w:gridSpan w:val="21"/>
          </w:tcPr>
          <w:p>
            <w:pPr>
              <w:spacing w:after="0" w:line="136"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Subsidiary Holdings L.L.C. and The Bank of New York Mellon Trust Company, N.A., as trustee (incorporated</w:t>
              </w:r>
            </w:hyperlink>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60" w:type="dxa"/>
            <w:vAlign w:val="bottom"/>
            <w:tcBorders>
              <w:bottom w:val="single" w:sz="8" w:color="0000FF"/>
            </w:tcBorders>
            <w:gridSpan w:val="25"/>
          </w:tcPr>
          <w:p>
            <w:pPr>
              <w:spacing w:after="0" w:line="136"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by reference to Exhibit 4.12 to the Registrant’s Annual Report on Form 10-K filed with the SEC on February 12,</w:t>
              </w:r>
            </w:hyperlink>
          </w:p>
        </w:tc>
        <w:tc>
          <w:tcPr>
            <w:tcW w:w="20" w:type="dxa"/>
            <w:vAlign w:val="bottom"/>
            <w:tcBorders>
              <w:bottom w:val="single" w:sz="8" w:color="0000FF"/>
            </w:tcBorders>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400" w:type="dxa"/>
            <w:vAlign w:val="bottom"/>
            <w:tcBorders>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2020).</w:t>
              </w:r>
            </w:hyperlink>
          </w:p>
        </w:tc>
        <w:tc>
          <w:tcPr>
            <w:tcW w:w="1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7060" w:type="dxa"/>
            <w:vAlign w:val="bottom"/>
            <w:gridSpan w:val="25"/>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Indenture dated as of September 19, 2019 among Carlyle Finance Subsidiary L.L.C., The Carlyle Group L.P.,</w:t>
              </w:r>
            </w:hyperlink>
          </w:p>
        </w:tc>
        <w:tc>
          <w:tcPr>
            <w:tcW w:w="20" w:type="dxa"/>
            <w:vAlign w:val="bottom"/>
          </w:tcPr>
          <w:p>
            <w:pPr>
              <w:spacing w:after="0"/>
              <w:rPr>
                <w:sz w:val="23"/>
                <w:szCs w:val="23"/>
                <w:color w:val="auto"/>
              </w:rPr>
            </w:pPr>
          </w:p>
        </w:tc>
      </w:tr>
      <w:tr>
        <w:trPr>
          <w:trHeight w:val="136"/>
        </w:trPr>
        <w:tc>
          <w:tcPr>
            <w:tcW w:w="920" w:type="dxa"/>
            <w:vAlign w:val="bottom"/>
          </w:tcPr>
          <w:p>
            <w:pPr>
              <w:spacing w:after="0"/>
              <w:rPr>
                <w:sz w:val="11"/>
                <w:szCs w:val="11"/>
                <w:color w:val="auto"/>
              </w:rPr>
            </w:pPr>
          </w:p>
        </w:tc>
        <w:tc>
          <w:tcPr>
            <w:tcW w:w="6900" w:type="dxa"/>
            <w:vAlign w:val="bottom"/>
            <w:tcBorders>
              <w:top w:val="single" w:sz="8" w:color="0000FF"/>
              <w:bottom w:val="single" w:sz="8" w:color="0000FF"/>
            </w:tcBorders>
            <w:gridSpan w:val="20"/>
          </w:tcPr>
          <w:p>
            <w:pPr>
              <w:spacing w:after="0" w:line="136"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Carlyle Holdings I L.P., Carlyle Holdings II L.P., Carlyle Holdings III L.P. and The Bank of New York Mellon</w:t>
              </w:r>
            </w:hyperlink>
          </w:p>
        </w:tc>
        <w:tc>
          <w:tcPr>
            <w:tcW w:w="100" w:type="dxa"/>
            <w:vAlign w:val="bottom"/>
            <w:tcBorders>
              <w:bottom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00" w:type="dxa"/>
            <w:vAlign w:val="bottom"/>
            <w:tcBorders>
              <w:bottom w:val="single" w:sz="8" w:color="0000FF"/>
            </w:tcBorders>
            <w:gridSpan w:val="22"/>
          </w:tcPr>
          <w:p>
            <w:pPr>
              <w:spacing w:after="0" w:line="136"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Trust Company, N.A., as trustee (incorporated by reference to Exhibit 4.1 to the Registrant’s Current Report 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3400" w:type="dxa"/>
            <w:vAlign w:val="bottom"/>
            <w:tcBorders>
              <w:bottom w:val="single" w:sz="8" w:color="0000FF"/>
            </w:tcBorders>
            <w:gridSpan w:val="7"/>
          </w:tcPr>
          <w:p>
            <w:pPr>
              <w:spacing w:after="0" w:line="136"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Form 8-K filed with the SEC on September 19, 2019).</w:t>
              </w:r>
            </w:hyperlink>
          </w:p>
        </w:tc>
        <w:tc>
          <w:tcPr>
            <w:tcW w:w="3600" w:type="dxa"/>
            <w:vAlign w:val="bottom"/>
            <w:gridSpan w:val="1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7060" w:type="dxa"/>
            <w:vAlign w:val="bottom"/>
            <w:gridSpan w:val="25"/>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First Supplemental Indenture dated as of September 19, 2019 among Carlyle Finance Subsidiary L.L.C., The</w:t>
              </w:r>
            </w:hyperlink>
          </w:p>
        </w:tc>
        <w:tc>
          <w:tcPr>
            <w:tcW w:w="20" w:type="dxa"/>
            <w:vAlign w:val="bottom"/>
          </w:tcPr>
          <w:p>
            <w:pPr>
              <w:spacing w:after="0"/>
              <w:rPr>
                <w:sz w:val="24"/>
                <w:szCs w:val="24"/>
                <w:color w:val="auto"/>
              </w:rPr>
            </w:pPr>
          </w:p>
        </w:tc>
      </w:tr>
      <w:tr>
        <w:trPr>
          <w:trHeight w:val="136"/>
        </w:trPr>
        <w:tc>
          <w:tcPr>
            <w:tcW w:w="92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17"/>
          </w:tcPr>
          <w:p>
            <w:pPr>
              <w:spacing w:after="0" w:line="136"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Carlyle Group L.P., Carlyle Holdings I L.P., Carlyle Holdings II L.P., Carlyle Holdings III L.P. and The Bank</w:t>
              </w:r>
            </w:hyperlink>
          </w:p>
        </w:tc>
        <w:tc>
          <w:tcPr>
            <w:tcW w:w="60" w:type="dxa"/>
            <w:vAlign w:val="bottom"/>
            <w:tcBorders>
              <w:bottom w:val="single" w:sz="8" w:color="0000FF"/>
            </w:tcBorders>
            <w:gridSpan w:val="2"/>
          </w:tcPr>
          <w:p>
            <w:pPr>
              <w:spacing w:after="0"/>
              <w:rPr>
                <w:sz w:val="11"/>
                <w:szCs w:val="11"/>
                <w:color w:val="auto"/>
              </w:rPr>
            </w:pPr>
          </w:p>
        </w:tc>
        <w:tc>
          <w:tcPr>
            <w:tcW w:w="180" w:type="dxa"/>
            <w:vAlign w:val="bottom"/>
            <w:tcBorders>
              <w:bottom w:val="single" w:sz="8" w:color="0000FF"/>
            </w:tcBorders>
            <w:gridSpan w:val="6"/>
          </w:tcPr>
          <w:p>
            <w:pPr>
              <w:ind w:left="40"/>
              <w:spacing w:after="0" w:line="136"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of</w:t>
              </w:r>
            </w:hyperlink>
          </w:p>
        </w:tc>
        <w:tc>
          <w:tcPr>
            <w:tcW w:w="20" w:type="dxa"/>
            <w:vAlign w:val="bottom"/>
            <w:tcBorders>
              <w:bottom w:val="single" w:sz="8" w:color="0000FF"/>
            </w:tcBorders>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60" w:type="dxa"/>
            <w:vAlign w:val="bottom"/>
            <w:gridSpan w:val="25"/>
          </w:tcPr>
          <w:p>
            <w:pPr>
              <w:spacing w:after="0" w:line="136"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New York Mellon Trust Company, N.A., as trustee (incorporated by reference to Exhibit 4.2 to the Registrant’s</w:t>
              </w:r>
            </w:hyperlink>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4560" w:type="dxa"/>
            <w:vAlign w:val="bottom"/>
            <w:tcBorders>
              <w:top w:val="single" w:sz="8" w:color="0000FF"/>
              <w:bottom w:val="single" w:sz="8" w:color="0000FF"/>
            </w:tcBorders>
            <w:gridSpan w:val="9"/>
          </w:tcPr>
          <w:p>
            <w:pPr>
              <w:spacing w:after="0" w:line="136"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Current Report on Form 8-K filed with the SEC on September 19, 2019).</w:t>
              </w:r>
            </w:hyperlink>
          </w:p>
        </w:tc>
        <w:tc>
          <w:tcPr>
            <w:tcW w:w="246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4.12</w:t>
            </w:r>
          </w:p>
        </w:tc>
        <w:tc>
          <w:tcPr>
            <w:tcW w:w="70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Form of 3.500% Senior Notes due 2029 (included in Exhibit 4.2 to the Registrant’s Current Report on Form 8-K</w:t>
              </w:r>
            </w:hyperlink>
          </w:p>
        </w:tc>
        <w:tc>
          <w:tcPr>
            <w:tcW w:w="20" w:type="dxa"/>
            <w:vAlign w:val="bottom"/>
          </w:tcPr>
          <w:p>
            <w:pPr>
              <w:spacing w:after="0"/>
              <w:rPr>
                <w:sz w:val="24"/>
                <w:szCs w:val="24"/>
                <w:color w:val="auto"/>
              </w:rPr>
            </w:pPr>
          </w:p>
        </w:tc>
      </w:tr>
      <w:tr>
        <w:trPr>
          <w:trHeight w:val="136"/>
        </w:trPr>
        <w:tc>
          <w:tcPr>
            <w:tcW w:w="920" w:type="dxa"/>
            <w:vAlign w:val="bottom"/>
          </w:tcPr>
          <w:p>
            <w:pPr>
              <w:spacing w:after="0"/>
              <w:rPr>
                <w:sz w:val="11"/>
                <w:szCs w:val="11"/>
                <w:color w:val="auto"/>
              </w:rPr>
            </w:pPr>
          </w:p>
        </w:tc>
        <w:tc>
          <w:tcPr>
            <w:tcW w:w="2740" w:type="dxa"/>
            <w:vAlign w:val="bottom"/>
            <w:tcBorders>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filed with the SEC on September 19, 2019).</w:t>
              </w:r>
            </w:hyperlink>
          </w:p>
        </w:tc>
        <w:tc>
          <w:tcPr>
            <w:tcW w:w="4320" w:type="dxa"/>
            <w:vAlign w:val="bottom"/>
            <w:gridSpan w:val="21"/>
          </w:tcPr>
          <w:p>
            <w:pPr>
              <w:spacing w:after="0"/>
              <w:rPr>
                <w:sz w:val="11"/>
                <w:szCs w:val="11"/>
                <w:color w:val="auto"/>
              </w:rPr>
            </w:pPr>
          </w:p>
        </w:tc>
        <w:tc>
          <w:tcPr>
            <w:tcW w:w="20" w:type="dxa"/>
            <w:vAlign w:val="bottom"/>
          </w:tcPr>
          <w:p>
            <w:pPr>
              <w:spacing w:after="0"/>
              <w:rPr>
                <w:sz w:val="11"/>
                <w:szCs w:val="11"/>
                <w:color w:val="auto"/>
              </w:rPr>
            </w:pPr>
          </w:p>
        </w:tc>
      </w:tr>
      <w:tr>
        <w:trPr>
          <w:trHeight w:val="32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4.13</w:t>
            </w:r>
          </w:p>
        </w:tc>
        <w:tc>
          <w:tcPr>
            <w:tcW w:w="7060" w:type="dxa"/>
            <w:vAlign w:val="bottom"/>
            <w:gridSpan w:val="25"/>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Second Supplemental Indenture dated as of January 1, 2020 among Carlyle Finance Subsidiary L.L.C., The</w:t>
              </w:r>
            </w:hyperlink>
          </w:p>
        </w:tc>
        <w:tc>
          <w:tcPr>
            <w:tcW w:w="20" w:type="dxa"/>
            <w:vAlign w:val="bottom"/>
          </w:tcPr>
          <w:p>
            <w:pPr>
              <w:spacing w:after="0"/>
              <w:rPr>
                <w:sz w:val="24"/>
                <w:szCs w:val="24"/>
                <w:color w:val="auto"/>
              </w:rPr>
            </w:pPr>
          </w:p>
        </w:tc>
      </w:tr>
      <w:tr>
        <w:trPr>
          <w:trHeight w:val="136"/>
        </w:trPr>
        <w:tc>
          <w:tcPr>
            <w:tcW w:w="920" w:type="dxa"/>
            <w:vAlign w:val="bottom"/>
          </w:tcPr>
          <w:p>
            <w:pPr>
              <w:spacing w:after="0"/>
              <w:rPr>
                <w:sz w:val="11"/>
                <w:szCs w:val="11"/>
                <w:color w:val="auto"/>
              </w:rPr>
            </w:pPr>
          </w:p>
        </w:tc>
        <w:tc>
          <w:tcPr>
            <w:tcW w:w="6600" w:type="dxa"/>
            <w:vAlign w:val="bottom"/>
            <w:tcBorders>
              <w:top w:val="single" w:sz="8" w:color="0000FF"/>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Carlyle Group Inc., Carlyle Holdings I L.P., Carlyle Holdings II L.P., Carlyle Holdings II L.L.C., Carlyle</w:t>
              </w:r>
            </w:hyperlink>
          </w:p>
        </w:tc>
        <w:tc>
          <w:tcPr>
            <w:tcW w:w="14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6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60" w:type="dxa"/>
            <w:vAlign w:val="bottom"/>
            <w:gridSpan w:val="25"/>
          </w:tcPr>
          <w:p>
            <w:pPr>
              <w:spacing w:after="0" w:line="136"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Holdings III L.P., CG Subsidiary Holdings L.L.C. and The Bank of New York Mellon Trust Company, N.A., as</w:t>
              </w:r>
            </w:hyperlink>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40" w:type="dxa"/>
            <w:vAlign w:val="bottom"/>
            <w:tcBorders>
              <w:top w:val="single" w:sz="8" w:color="0000FF"/>
              <w:bottom w:val="single" w:sz="8" w:color="0000FF"/>
            </w:tcBorders>
            <w:gridSpan w:val="24"/>
          </w:tcPr>
          <w:p>
            <w:pPr>
              <w:spacing w:after="0" w:line="136"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trustee (incorporated by reference to Exhibit 4.17 to the Registrant’s Annual Report on Form 10-K filed with the</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1760" w:type="dxa"/>
            <w:vAlign w:val="bottom"/>
            <w:tcBorders>
              <w:bottom w:val="single" w:sz="8" w:color="0000FF"/>
            </w:tcBorders>
            <w:gridSpan w:val="3"/>
          </w:tcPr>
          <w:p>
            <w:pPr>
              <w:spacing w:after="0" w:line="136"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SEC on February 12, 2020).</w:t>
              </w:r>
            </w:hyperlink>
          </w:p>
        </w:tc>
        <w:tc>
          <w:tcPr>
            <w:tcW w:w="5300" w:type="dxa"/>
            <w:vAlign w:val="bottom"/>
            <w:gridSpan w:val="22"/>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4.14</w:t>
            </w:r>
          </w:p>
        </w:tc>
        <w:tc>
          <w:tcPr>
            <w:tcW w:w="7060" w:type="dxa"/>
            <w:vAlign w:val="bottom"/>
            <w:gridSpan w:val="25"/>
          </w:tcPr>
          <w:p>
            <w:pPr>
              <w:spacing w:after="0"/>
              <w:rPr>
                <w:rFonts w:ascii="Times New Roman" w:cs="Times New Roman" w:eastAsia="Times New Roman" w:hAnsi="Times New Roman"/>
                <w:sz w:val="16"/>
                <w:szCs w:val="16"/>
                <w:color w:val="0000FF"/>
                <w:w w:val="99"/>
              </w:rPr>
            </w:pPr>
            <w:hyperlink r:id="rId242">
              <w:r>
                <w:rPr>
                  <w:rFonts w:ascii="Times New Roman" w:cs="Times New Roman" w:eastAsia="Times New Roman" w:hAnsi="Times New Roman"/>
                  <w:sz w:val="16"/>
                  <w:szCs w:val="16"/>
                  <w:color w:val="0000FF"/>
                  <w:w w:val="99"/>
                </w:rPr>
                <w:t>Description of Securities (incorporated by reference to Exhibit 4.14 to the Registrant’s Annual Report on Form</w:t>
              </w:r>
            </w:hyperlink>
          </w:p>
        </w:tc>
        <w:tc>
          <w:tcPr>
            <w:tcW w:w="20" w:type="dxa"/>
            <w:vAlign w:val="bottom"/>
          </w:tcPr>
          <w:p>
            <w:pPr>
              <w:spacing w:after="0"/>
              <w:rPr>
                <w:sz w:val="24"/>
                <w:szCs w:val="24"/>
                <w:color w:val="auto"/>
              </w:rPr>
            </w:pPr>
          </w:p>
        </w:tc>
      </w:tr>
      <w:tr>
        <w:trPr>
          <w:trHeight w:val="136"/>
        </w:trPr>
        <w:tc>
          <w:tcPr>
            <w:tcW w:w="92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5"/>
          </w:tcPr>
          <w:p>
            <w:pPr>
              <w:spacing w:after="0" w:line="136"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10-K/A filed with the SEC on March 2, 2022).</w:t>
              </w:r>
            </w:hyperlink>
          </w:p>
        </w:tc>
        <w:tc>
          <w:tcPr>
            <w:tcW w:w="4040" w:type="dxa"/>
            <w:vAlign w:val="bottom"/>
            <w:tcBorders>
              <w:top w:val="single" w:sz="8" w:color="0000FF"/>
            </w:tcBorders>
            <w:gridSpan w:val="16"/>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25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4.15</w:t>
            </w:r>
          </w:p>
        </w:tc>
        <w:tc>
          <w:tcPr>
            <w:tcW w:w="7060" w:type="dxa"/>
            <w:vAlign w:val="bottom"/>
            <w:gridSpan w:val="25"/>
          </w:tcPr>
          <w:p>
            <w:pPr>
              <w:spacing w:after="0"/>
              <w:rPr>
                <w:rFonts w:ascii="Times New Roman" w:cs="Times New Roman" w:eastAsia="Times New Roman" w:hAnsi="Times New Roman"/>
                <w:sz w:val="16"/>
                <w:szCs w:val="16"/>
                <w:color w:val="0000FF"/>
                <w:w w:val="98"/>
              </w:rPr>
            </w:pPr>
            <w:hyperlink r:id="rId243">
              <w:r>
                <w:rPr>
                  <w:rFonts w:ascii="Times New Roman" w:cs="Times New Roman" w:eastAsia="Times New Roman" w:hAnsi="Times New Roman"/>
                  <w:sz w:val="16"/>
                  <w:szCs w:val="16"/>
                  <w:color w:val="0000FF"/>
                  <w:w w:val="98"/>
                </w:rPr>
                <w:t>Subordinated Indenture dated as of May 11, 2021 among Carlyle Finance L.L.C., the Guarantors named therein</w:t>
              </w:r>
            </w:hyperlink>
          </w:p>
        </w:tc>
        <w:tc>
          <w:tcPr>
            <w:tcW w:w="20" w:type="dxa"/>
            <w:vAlign w:val="bottom"/>
          </w:tcPr>
          <w:p>
            <w:pPr>
              <w:spacing w:after="0"/>
              <w:rPr>
                <w:sz w:val="22"/>
                <w:szCs w:val="22"/>
                <w:color w:val="auto"/>
              </w:rPr>
            </w:pPr>
          </w:p>
        </w:tc>
      </w:tr>
      <w:tr>
        <w:trPr>
          <w:trHeight w:val="136"/>
        </w:trPr>
        <w:tc>
          <w:tcPr>
            <w:tcW w:w="920" w:type="dxa"/>
            <w:vAlign w:val="bottom"/>
          </w:tcPr>
          <w:p>
            <w:pPr>
              <w:spacing w:after="0"/>
              <w:rPr>
                <w:sz w:val="11"/>
                <w:szCs w:val="11"/>
                <w:color w:val="auto"/>
              </w:rPr>
            </w:pPr>
          </w:p>
        </w:tc>
        <w:tc>
          <w:tcPr>
            <w:tcW w:w="7020" w:type="dxa"/>
            <w:vAlign w:val="bottom"/>
            <w:tcBorders>
              <w:top w:val="single" w:sz="8" w:color="0000FF"/>
              <w:bottom w:val="single" w:sz="8" w:color="0000FF"/>
            </w:tcBorders>
            <w:gridSpan w:val="23"/>
          </w:tcPr>
          <w:p>
            <w:pPr>
              <w:spacing w:after="0" w:line="136"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and The Bank of New York Mellon Trust Company, N.A., as trustee (incorporated by reference to Exhibit 4.1 to</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7060" w:type="dxa"/>
            <w:vAlign w:val="bottom"/>
            <w:gridSpan w:val="25"/>
          </w:tcPr>
          <w:p>
            <w:pPr>
              <w:spacing w:after="0" w:line="136"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the Registrant’s Current Report on Form 8-K filed with the SEC on May 11, 2021).</w:t>
              </w:r>
            </w:hyperlink>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4.16</w:t>
            </w:r>
          </w:p>
        </w:tc>
        <w:tc>
          <w:tcPr>
            <w:tcW w:w="7060" w:type="dxa"/>
            <w:vAlign w:val="bottom"/>
            <w:gridSpan w:val="25"/>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First Supplemental Indenture dated as of May 11, 2021 among Carlyle Finance L.L.C., the Guarantors named</w:t>
              </w:r>
            </w:hyperlink>
          </w:p>
        </w:tc>
        <w:tc>
          <w:tcPr>
            <w:tcW w:w="20" w:type="dxa"/>
            <w:vAlign w:val="bottom"/>
          </w:tcPr>
          <w:p>
            <w:pPr>
              <w:spacing w:after="0"/>
              <w:rPr>
                <w:sz w:val="23"/>
                <w:szCs w:val="23"/>
                <w:color w:val="auto"/>
              </w:rPr>
            </w:pPr>
          </w:p>
        </w:tc>
      </w:tr>
      <w:tr>
        <w:trPr>
          <w:trHeight w:val="136"/>
        </w:trPr>
        <w:tc>
          <w:tcPr>
            <w:tcW w:w="920" w:type="dxa"/>
            <w:vAlign w:val="bottom"/>
          </w:tcPr>
          <w:p>
            <w:pPr>
              <w:spacing w:after="0"/>
              <w:rPr>
                <w:sz w:val="11"/>
                <w:szCs w:val="11"/>
                <w:color w:val="auto"/>
              </w:rPr>
            </w:pPr>
          </w:p>
        </w:tc>
        <w:tc>
          <w:tcPr>
            <w:tcW w:w="6880" w:type="dxa"/>
            <w:vAlign w:val="bottom"/>
            <w:tcBorders>
              <w:top w:val="single" w:sz="8" w:color="0000FF"/>
            </w:tcBorders>
            <w:gridSpan w:val="19"/>
          </w:tcPr>
          <w:p>
            <w:pPr>
              <w:spacing w:after="0" w:line="136"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therein and The Bank of New York Mellon Trust Company, N.A., as trustee (incorporated by reference to</w:t>
              </w:r>
            </w:hyperlink>
          </w:p>
        </w:tc>
        <w:tc>
          <w:tcPr>
            <w:tcW w:w="1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6100" w:type="dxa"/>
            <w:vAlign w:val="bottom"/>
            <w:tcBorders>
              <w:top w:val="single" w:sz="8" w:color="0000FF"/>
              <w:bottom w:val="single" w:sz="8" w:color="0000FF"/>
            </w:tcBorders>
            <w:gridSpan w:val="12"/>
          </w:tcPr>
          <w:p>
            <w:pPr>
              <w:spacing w:after="0" w:line="136"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Exhibit 4.2 to the Registrant’s Current Report on Form 8-K filed with the SEC on May 11, 2021)</w:t>
              </w:r>
            </w:hyperlink>
            <w:r>
              <w:rPr>
                <w:rFonts w:ascii="Times New Roman" w:cs="Times New Roman" w:eastAsia="Times New Roman" w:hAnsi="Times New Roman"/>
                <w:sz w:val="14"/>
                <w:szCs w:val="14"/>
                <w:color w:val="0000FF"/>
              </w:rPr>
              <w:t>.</w:t>
            </w:r>
          </w:p>
        </w:tc>
        <w:tc>
          <w:tcPr>
            <w:tcW w:w="540" w:type="dxa"/>
            <w:vAlign w:val="bottom"/>
            <w:tcBorders>
              <w:top w:val="single" w:sz="8" w:color="0000FF"/>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300" w:type="dxa"/>
            <w:vAlign w:val="bottom"/>
            <w:gridSpan w:val="9"/>
          </w:tcPr>
          <w:p>
            <w:pPr>
              <w:spacing w:after="0"/>
              <w:rPr>
                <w:sz w:val="11"/>
                <w:szCs w:val="11"/>
                <w:color w:val="auto"/>
              </w:rPr>
            </w:pPr>
          </w:p>
        </w:tc>
        <w:tc>
          <w:tcPr>
            <w:tcW w:w="20" w:type="dxa"/>
            <w:vAlign w:val="bottom"/>
          </w:tcPr>
          <w:p>
            <w:pPr>
              <w:spacing w:after="0"/>
              <w:rPr>
                <w:sz w:val="11"/>
                <w:szCs w:val="11"/>
                <w:color w:val="auto"/>
              </w:rPr>
            </w:pPr>
          </w:p>
        </w:tc>
      </w:tr>
      <w:tr>
        <w:trPr>
          <w:trHeight w:val="268"/>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4.17</w:t>
            </w:r>
          </w:p>
        </w:tc>
        <w:tc>
          <w:tcPr>
            <w:tcW w:w="7060" w:type="dxa"/>
            <w:vAlign w:val="bottom"/>
            <w:gridSpan w:val="25"/>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Form of 4.625% Subordinated Note due 2061 (included in Exhibit 4.2 to the Registrant’s Current Report on</w:t>
              </w:r>
            </w:hyperlink>
          </w:p>
        </w:tc>
        <w:tc>
          <w:tcPr>
            <w:tcW w:w="20" w:type="dxa"/>
            <w:vAlign w:val="bottom"/>
          </w:tcPr>
          <w:p>
            <w:pPr>
              <w:spacing w:after="0"/>
              <w:rPr>
                <w:sz w:val="23"/>
                <w:szCs w:val="23"/>
                <w:color w:val="auto"/>
              </w:rPr>
            </w:pPr>
          </w:p>
        </w:tc>
      </w:tr>
      <w:tr>
        <w:trPr>
          <w:trHeight w:val="136"/>
        </w:trPr>
        <w:tc>
          <w:tcPr>
            <w:tcW w:w="920" w:type="dxa"/>
            <w:vAlign w:val="bottom"/>
          </w:tcPr>
          <w:p>
            <w:pPr>
              <w:spacing w:after="0"/>
              <w:rPr>
                <w:sz w:val="11"/>
                <w:szCs w:val="11"/>
                <w:color w:val="auto"/>
              </w:rPr>
            </w:pPr>
          </w:p>
        </w:tc>
        <w:tc>
          <w:tcPr>
            <w:tcW w:w="6760" w:type="dxa"/>
            <w:vAlign w:val="bottom"/>
            <w:tcBorders>
              <w:top w:val="single" w:sz="8" w:color="0000FF"/>
            </w:tcBorders>
            <w:gridSpan w:val="16"/>
          </w:tcPr>
          <w:p>
            <w:pPr>
              <w:spacing w:after="0" w:line="136"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Form 8-K filed with the SEC on May 11, 2021)</w:t>
              </w:r>
            </w:hyperlink>
            <w:r>
              <w:rPr>
                <w:rFonts w:ascii="Times New Roman" w:cs="Times New Roman" w:eastAsia="Times New Roman" w:hAnsi="Times New Roman"/>
                <w:sz w:val="14"/>
                <w:szCs w:val="14"/>
                <w:color w:val="0000FF"/>
              </w:rPr>
              <w:t>.</w:t>
            </w:r>
          </w:p>
        </w:tc>
        <w:tc>
          <w:tcPr>
            <w:tcW w:w="300" w:type="dxa"/>
            <w:vAlign w:val="bottom"/>
            <w:gridSpan w:val="9"/>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10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4.18</w:t>
            </w:r>
          </w:p>
        </w:tc>
        <w:tc>
          <w:tcPr>
            <w:tcW w:w="7060" w:type="dxa"/>
            <w:vAlign w:val="bottom"/>
            <w:gridSpan w:val="25"/>
          </w:tcPr>
          <w:p>
            <w:pPr>
              <w:spacing w:after="0"/>
              <w:rPr>
                <w:rFonts w:ascii="Times New Roman" w:cs="Times New Roman" w:eastAsia="Times New Roman" w:hAnsi="Times New Roman"/>
                <w:sz w:val="16"/>
                <w:szCs w:val="16"/>
                <w:color w:val="0000FF"/>
                <w:w w:val="98"/>
              </w:rPr>
            </w:pPr>
            <w:hyperlink r:id="rId245">
              <w:r>
                <w:rPr>
                  <w:rFonts w:ascii="Times New Roman" w:cs="Times New Roman" w:eastAsia="Times New Roman" w:hAnsi="Times New Roman"/>
                  <w:sz w:val="16"/>
                  <w:szCs w:val="16"/>
                  <w:color w:val="0000FF"/>
                  <w:w w:val="98"/>
                </w:rPr>
                <w:t>Second Supplemental Indenture dated as of June 8, 2021 among Carlyle Finance L.L.C., the Guarantors named</w:t>
              </w:r>
            </w:hyperlink>
          </w:p>
        </w:tc>
        <w:tc>
          <w:tcPr>
            <w:tcW w:w="20" w:type="dxa"/>
            <w:vAlign w:val="bottom"/>
          </w:tcPr>
          <w:p>
            <w:pPr>
              <w:spacing w:after="0"/>
              <w:rPr>
                <w:sz w:val="22"/>
                <w:szCs w:val="22"/>
                <w:color w:val="auto"/>
              </w:rPr>
            </w:pPr>
          </w:p>
        </w:tc>
      </w:tr>
      <w:tr>
        <w:trPr>
          <w:trHeight w:val="136"/>
        </w:trPr>
        <w:tc>
          <w:tcPr>
            <w:tcW w:w="920" w:type="dxa"/>
            <w:vAlign w:val="bottom"/>
          </w:tcPr>
          <w:p>
            <w:pPr>
              <w:spacing w:after="0"/>
              <w:rPr>
                <w:sz w:val="11"/>
                <w:szCs w:val="11"/>
                <w:color w:val="auto"/>
              </w:rPr>
            </w:pPr>
          </w:p>
        </w:tc>
        <w:tc>
          <w:tcPr>
            <w:tcW w:w="6960" w:type="dxa"/>
            <w:vAlign w:val="bottom"/>
            <w:tcBorders>
              <w:top w:val="single" w:sz="8" w:color="0000FF"/>
            </w:tcBorders>
            <w:gridSpan w:val="21"/>
          </w:tcPr>
          <w:p>
            <w:pPr>
              <w:spacing w:after="0" w:line="136"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therein and The Bank of New York Mellon Trust Company, N.A., as trustee (incorporated by reference to</w:t>
              </w:r>
            </w:hyperlink>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20" w:type="dxa"/>
            <w:vAlign w:val="bottom"/>
          </w:tcPr>
          <w:p>
            <w:pPr>
              <w:spacing w:after="0"/>
              <w:rPr>
                <w:sz w:val="11"/>
                <w:szCs w:val="11"/>
                <w:color w:val="auto"/>
              </w:rPr>
            </w:pPr>
          </w:p>
        </w:tc>
        <w:tc>
          <w:tcPr>
            <w:tcW w:w="6020" w:type="dxa"/>
            <w:vAlign w:val="bottom"/>
            <w:tcBorders>
              <w:top w:val="single" w:sz="8" w:color="0000FF"/>
              <w:bottom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Exhibit 4.3 to the Registrant’s Current Report on Form 8-K filed with the SEC on June 8, 2021)</w:t>
              </w:r>
            </w:hyperlink>
            <w:r>
              <w:rPr>
                <w:rFonts w:ascii="Times New Roman" w:cs="Times New Roman" w:eastAsia="Times New Roman" w:hAnsi="Times New Roman"/>
                <w:sz w:val="14"/>
                <w:szCs w:val="14"/>
                <w:color w:val="0000FF"/>
              </w:rPr>
              <w:t>.</w:t>
            </w:r>
          </w:p>
        </w:tc>
        <w:tc>
          <w:tcPr>
            <w:tcW w:w="620" w:type="dxa"/>
            <w:vAlign w:val="bottom"/>
            <w:tcBorders>
              <w:top w:val="single" w:sz="8" w:color="0000FF"/>
            </w:tcBorders>
            <w:gridSpan w:val="3"/>
          </w:tcPr>
          <w:p>
            <w:pPr>
              <w:spacing w:after="0"/>
              <w:rPr>
                <w:sz w:val="11"/>
                <w:szCs w:val="11"/>
                <w:color w:val="auto"/>
              </w:rPr>
            </w:pPr>
          </w:p>
        </w:tc>
        <w:tc>
          <w:tcPr>
            <w:tcW w:w="42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r>
    </w:tbl>
    <w:p>
      <w:pPr>
        <w:sectPr>
          <w:pgSz w:w="11900" w:h="16840" w:orient="portrait"/>
          <w:cols w:equalWidth="0" w:num="1">
            <w:col w:w="9400"/>
          </w:cols>
          <w:pgMar w:left="1060" w:top="555" w:right="1440"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2"/>
              </w:rPr>
              <w:t>10.1</w:t>
            </w:r>
          </w:p>
        </w:tc>
        <w:tc>
          <w:tcPr>
            <w:tcW w:w="7080" w:type="dxa"/>
            <w:vAlign w:val="bottom"/>
            <w:gridSpan w:val="16"/>
          </w:tcPr>
          <w:p>
            <w:pPr>
              <w:spacing w:after="0"/>
              <w:rPr>
                <w:rFonts w:ascii="Times New Roman" w:cs="Times New Roman" w:eastAsia="Times New Roman" w:hAnsi="Times New Roman"/>
                <w:sz w:val="16"/>
                <w:szCs w:val="16"/>
                <w:color w:val="0000FF"/>
                <w:w w:val="98"/>
              </w:rPr>
            </w:pPr>
            <w:hyperlink r:id="rId246">
              <w:r>
                <w:rPr>
                  <w:rFonts w:ascii="Times New Roman" w:cs="Times New Roman" w:eastAsia="Times New Roman" w:hAnsi="Times New Roman"/>
                  <w:sz w:val="16"/>
                  <w:szCs w:val="16"/>
                  <w:color w:val="0000FF"/>
                  <w:w w:val="98"/>
                </w:rPr>
                <w:t>Tax Receivable Agreement, dated as of May 2, 2012 by and among The Carlyle Group L.P., Carlyle Holdings I</w:t>
              </w:r>
            </w:hyperlink>
          </w:p>
        </w:tc>
      </w:tr>
      <w:tr>
        <w:trPr>
          <w:trHeight w:val="136"/>
        </w:trPr>
        <w:tc>
          <w:tcPr>
            <w:tcW w:w="900" w:type="dxa"/>
            <w:vAlign w:val="bottom"/>
          </w:tcPr>
          <w:p>
            <w:pPr>
              <w:spacing w:after="0"/>
              <w:rPr>
                <w:sz w:val="11"/>
                <w:szCs w:val="11"/>
                <w:color w:val="auto"/>
              </w:rPr>
            </w:pPr>
          </w:p>
        </w:tc>
        <w:tc>
          <w:tcPr>
            <w:tcW w:w="702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GP Inc., Carlyle Holdings I L.P. and each of the limited partners of the Carlyle Holdings Partnerships party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740" w:type="dxa"/>
            <w:vAlign w:val="bottom"/>
            <w:tcBorders>
              <w:top w:val="single" w:sz="8" w:color="0000FF"/>
            </w:tcBorders>
            <w:gridSpan w:val="7"/>
          </w:tcPr>
          <w:p>
            <w:pPr>
              <w:spacing w:after="0" w:line="136"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thereto (incorporated by reference to Exhibit 10.2 to the Registrant’s Current Report on Form 8-K filed with</w:t>
              </w:r>
            </w:hyperlink>
          </w:p>
        </w:tc>
        <w:tc>
          <w:tcPr>
            <w:tcW w:w="340" w:type="dxa"/>
            <w:vAlign w:val="bottom"/>
            <w:gridSpan w:val="9"/>
          </w:tcPr>
          <w:p>
            <w:pPr>
              <w:ind w:left="60"/>
              <w:spacing w:after="0" w:line="136"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the</w:t>
              </w:r>
            </w:hyperlink>
          </w:p>
        </w:tc>
      </w:tr>
      <w:tr>
        <w:trPr>
          <w:trHeight w:val="136"/>
        </w:trPr>
        <w:tc>
          <w:tcPr>
            <w:tcW w:w="900" w:type="dxa"/>
            <w:vAlign w:val="bottom"/>
          </w:tcPr>
          <w:p>
            <w:pPr>
              <w:spacing w:after="0"/>
              <w:rPr>
                <w:sz w:val="11"/>
                <w:szCs w:val="11"/>
                <w:color w:val="auto"/>
              </w:rPr>
            </w:pPr>
          </w:p>
        </w:tc>
        <w:tc>
          <w:tcPr>
            <w:tcW w:w="7040" w:type="dxa"/>
            <w:vAlign w:val="bottom"/>
            <w:tcBorders>
              <w:top w:val="single" w:sz="8" w:color="0000FF"/>
            </w:tcBorders>
            <w:gridSpan w:val="14"/>
          </w:tcPr>
          <w:p>
            <w:pPr>
              <w:spacing w:after="0" w:line="136"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SEC on May 8, 2012)</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9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2"/>
              </w:rPr>
              <w:t>10.2</w:t>
            </w:r>
          </w:p>
        </w:tc>
        <w:tc>
          <w:tcPr>
            <w:tcW w:w="7080" w:type="dxa"/>
            <w:vAlign w:val="bottom"/>
            <w:gridSpan w:val="16"/>
          </w:tcPr>
          <w:p>
            <w:pPr>
              <w:spacing w:after="0"/>
              <w:rPr>
                <w:rFonts w:ascii="Times New Roman" w:cs="Times New Roman" w:eastAsia="Times New Roman" w:hAnsi="Times New Roman"/>
                <w:sz w:val="16"/>
                <w:szCs w:val="16"/>
                <w:color w:val="0000FF"/>
                <w:w w:val="99"/>
              </w:rPr>
            </w:pPr>
            <w:hyperlink r:id="rId247">
              <w:r>
                <w:rPr>
                  <w:rFonts w:ascii="Times New Roman" w:cs="Times New Roman" w:eastAsia="Times New Roman" w:hAnsi="Times New Roman"/>
                  <w:sz w:val="16"/>
                  <w:szCs w:val="16"/>
                  <w:color w:val="0000FF"/>
                  <w:w w:val="99"/>
                </w:rPr>
                <w:t>Amendment to Tax Receivable Agreement, dated as of January 1, 2020 by and among the Corporation, Carlyle</w:t>
              </w:r>
            </w:hyperlink>
          </w:p>
        </w:tc>
      </w:tr>
      <w:tr>
        <w:trPr>
          <w:trHeight w:val="136"/>
        </w:trPr>
        <w:tc>
          <w:tcPr>
            <w:tcW w:w="900" w:type="dxa"/>
            <w:vAlign w:val="bottom"/>
          </w:tcPr>
          <w:p>
            <w:pPr>
              <w:spacing w:after="0"/>
              <w:rPr>
                <w:sz w:val="11"/>
                <w:szCs w:val="11"/>
                <w:color w:val="auto"/>
              </w:rPr>
            </w:pPr>
          </w:p>
        </w:tc>
        <w:tc>
          <w:tcPr>
            <w:tcW w:w="6980" w:type="dxa"/>
            <w:vAlign w:val="bottom"/>
            <w:tcBorders>
              <w:top w:val="single" w:sz="8" w:color="0000FF"/>
              <w:bottom w:val="single" w:sz="8" w:color="0000FF"/>
            </w:tcBorders>
            <w:gridSpan w:val="12"/>
          </w:tcPr>
          <w:p>
            <w:pPr>
              <w:spacing w:after="0" w:line="136"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Holdings I GP Inc., Carlyle Holdings I L.P. and each of the limited partners of the Carlyle Holdings Partnerships</w:t>
              </w:r>
            </w:hyperlink>
          </w:p>
        </w:tc>
        <w:tc>
          <w:tcPr>
            <w:tcW w:w="8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080" w:type="dxa"/>
            <w:vAlign w:val="bottom"/>
            <w:gridSpan w:val="16"/>
          </w:tcPr>
          <w:p>
            <w:pPr>
              <w:spacing w:after="0" w:line="136"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party thereto (incorporated by reference to Exhibit 99.2 to the Registrant’s Current Report on Form 8-K filed</w:t>
              </w:r>
            </w:hyperlink>
          </w:p>
        </w:tc>
      </w:tr>
      <w:tr>
        <w:trPr>
          <w:trHeight w:val="136"/>
        </w:trPr>
        <w:tc>
          <w:tcPr>
            <w:tcW w:w="900" w:type="dxa"/>
            <w:vAlign w:val="bottom"/>
          </w:tcPr>
          <w:p>
            <w:pPr>
              <w:spacing w:after="0"/>
              <w:rPr>
                <w:sz w:val="11"/>
                <w:szCs w:val="11"/>
                <w:color w:val="auto"/>
              </w:rPr>
            </w:pPr>
          </w:p>
        </w:tc>
        <w:tc>
          <w:tcPr>
            <w:tcW w:w="216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with the SEC on January 2, 2020)</w:t>
              </w:r>
            </w:hyperlink>
            <w:r>
              <w:rPr>
                <w:rFonts w:ascii="Times New Roman" w:cs="Times New Roman" w:eastAsia="Times New Roman" w:hAnsi="Times New Roman"/>
                <w:sz w:val="14"/>
                <w:szCs w:val="14"/>
                <w:color w:val="0000FF"/>
              </w:rPr>
              <w:t>.</w:t>
            </w:r>
          </w:p>
        </w:tc>
        <w:tc>
          <w:tcPr>
            <w:tcW w:w="4680" w:type="dxa"/>
            <w:vAlign w:val="bottom"/>
            <w:tcBorders>
              <w:top w:val="single" w:sz="8" w:color="0000FF"/>
            </w:tcBorders>
            <w:gridSpan w:val="7"/>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2"/>
              </w:rPr>
              <w:t>10.3</w:t>
            </w:r>
          </w:p>
        </w:tc>
        <w:tc>
          <w:tcPr>
            <w:tcW w:w="7080" w:type="dxa"/>
            <w:vAlign w:val="bottom"/>
            <w:gridSpan w:val="16"/>
          </w:tcPr>
          <w:p>
            <w:pPr>
              <w:spacing w:after="0"/>
              <w:rPr>
                <w:rFonts w:ascii="Times New Roman" w:cs="Times New Roman" w:eastAsia="Times New Roman" w:hAnsi="Times New Roman"/>
                <w:sz w:val="16"/>
                <w:szCs w:val="16"/>
                <w:color w:val="0000FF"/>
                <w:w w:val="98"/>
              </w:rPr>
            </w:pPr>
            <w:hyperlink r:id="rId248">
              <w:r>
                <w:rPr>
                  <w:rFonts w:ascii="Times New Roman" w:cs="Times New Roman" w:eastAsia="Times New Roman" w:hAnsi="Times New Roman"/>
                  <w:sz w:val="16"/>
                  <w:szCs w:val="16"/>
                  <w:color w:val="0000FF"/>
                  <w:w w:val="98"/>
                </w:rPr>
                <w:t>Registration Rights Agreement by and among the Partnership, MDC/TCP Investments (Cayman) I, Ltd., MDC/</w:t>
              </w:r>
            </w:hyperlink>
          </w:p>
        </w:tc>
      </w:tr>
      <w:tr>
        <w:trPr>
          <w:trHeight w:val="136"/>
        </w:trPr>
        <w:tc>
          <w:tcPr>
            <w:tcW w:w="900" w:type="dxa"/>
            <w:vAlign w:val="bottom"/>
          </w:tcPr>
          <w:p>
            <w:pPr>
              <w:spacing w:after="0"/>
              <w:rPr>
                <w:sz w:val="11"/>
                <w:szCs w:val="11"/>
                <w:color w:val="auto"/>
              </w:rPr>
            </w:pPr>
          </w:p>
        </w:tc>
        <w:tc>
          <w:tcPr>
            <w:tcW w:w="6960" w:type="dxa"/>
            <w:vAlign w:val="bottom"/>
            <w:tcBorders>
              <w:top w:val="single" w:sz="8" w:color="0000FF"/>
            </w:tcBorders>
            <w:gridSpan w:val="11"/>
          </w:tcPr>
          <w:p>
            <w:pPr>
              <w:spacing w:after="0" w:line="136"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TCP Investments (Cayman) II, Ltd., MDC/TCP Investments (Cayman) III, Ltd., MDC/TCP Investments</w:t>
              </w:r>
            </w:hyperlink>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560" w:type="dxa"/>
            <w:vAlign w:val="bottom"/>
            <w:tcBorders>
              <w:top w:val="single" w:sz="8" w:color="0000FF"/>
            </w:tcBorders>
            <w:gridSpan w:val="5"/>
          </w:tcPr>
          <w:p>
            <w:pPr>
              <w:spacing w:after="0" w:line="136"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(Cayman) IV, Ltd., MDC/TCP Investments (Cayman) V, Ltd., MDC/TCP Investments (Cayman) VI, Ltd.</w:t>
              </w:r>
            </w:hyperlink>
          </w:p>
        </w:tc>
        <w:tc>
          <w:tcPr>
            <w:tcW w:w="520" w:type="dxa"/>
            <w:vAlign w:val="bottom"/>
            <w:gridSpan w:val="11"/>
          </w:tcPr>
          <w:p>
            <w:pPr>
              <w:ind w:left="100"/>
              <w:spacing w:after="0" w:line="136"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and</w:t>
              </w:r>
            </w:hyperlink>
          </w:p>
        </w:tc>
      </w:tr>
      <w:tr>
        <w:trPr>
          <w:trHeight w:val="136"/>
        </w:trPr>
        <w:tc>
          <w:tcPr>
            <w:tcW w:w="900" w:type="dxa"/>
            <w:vAlign w:val="bottom"/>
          </w:tcPr>
          <w:p>
            <w:pPr>
              <w:spacing w:after="0"/>
              <w:rPr>
                <w:sz w:val="11"/>
                <w:szCs w:val="11"/>
                <w:color w:val="auto"/>
              </w:rPr>
            </w:pPr>
          </w:p>
        </w:tc>
        <w:tc>
          <w:tcPr>
            <w:tcW w:w="6920" w:type="dxa"/>
            <w:vAlign w:val="bottom"/>
            <w:tcBorders>
              <w:top w:val="single" w:sz="8" w:color="0000FF"/>
            </w:tcBorders>
            <w:gridSpan w:val="10"/>
          </w:tcPr>
          <w:p>
            <w:pPr>
              <w:spacing w:after="0" w:line="136"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Five Overseas Investment L.L.C, dated as of May 8, 2012 (incorporated by reference to Exhibit 10.7 to the</w:t>
              </w:r>
            </w:hyperlink>
          </w:p>
        </w:tc>
        <w:tc>
          <w:tcPr>
            <w:tcW w:w="1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720" w:type="dxa"/>
            <w:vAlign w:val="bottom"/>
            <w:tcBorders>
              <w:top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Registrant’s Current Report on Form 8-K filed with the SEC on May 8, 2012)</w:t>
              </w:r>
            </w:hyperlink>
            <w:r>
              <w:rPr>
                <w:rFonts w:ascii="Times New Roman" w:cs="Times New Roman" w:eastAsia="Times New Roman" w:hAnsi="Times New Roman"/>
                <w:sz w:val="14"/>
                <w:szCs w:val="14"/>
                <w:color w:val="0000FF"/>
              </w:rPr>
              <w:t>.</w:t>
            </w:r>
          </w:p>
        </w:tc>
        <w:tc>
          <w:tcPr>
            <w:tcW w:w="80" w:type="dxa"/>
            <w:vAlign w:val="bottom"/>
            <w:gridSpan w:val="2"/>
          </w:tcPr>
          <w:p>
            <w:pPr>
              <w:spacing w:after="0"/>
              <w:rPr>
                <w:sz w:val="11"/>
                <w:szCs w:val="11"/>
                <w:color w:val="auto"/>
              </w:rPr>
            </w:pPr>
          </w:p>
        </w:tc>
        <w:tc>
          <w:tcPr>
            <w:tcW w:w="26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9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2"/>
              </w:rPr>
              <w:t>10.4</w:t>
            </w:r>
          </w:p>
        </w:tc>
        <w:tc>
          <w:tcPr>
            <w:tcW w:w="7080" w:type="dxa"/>
            <w:vAlign w:val="bottom"/>
            <w:gridSpan w:val="16"/>
          </w:tcPr>
          <w:p>
            <w:pPr>
              <w:spacing w:after="0"/>
              <w:rPr>
                <w:rFonts w:ascii="Times New Roman" w:cs="Times New Roman" w:eastAsia="Times New Roman" w:hAnsi="Times New Roman"/>
                <w:sz w:val="16"/>
                <w:szCs w:val="16"/>
                <w:color w:val="0000FF"/>
                <w:w w:val="98"/>
              </w:rPr>
            </w:pPr>
            <w:hyperlink r:id="rId249">
              <w:r>
                <w:rPr>
                  <w:rFonts w:ascii="Times New Roman" w:cs="Times New Roman" w:eastAsia="Times New Roman" w:hAnsi="Times New Roman"/>
                  <w:sz w:val="16"/>
                  <w:szCs w:val="16"/>
                  <w:color w:val="0000FF"/>
                  <w:w w:val="98"/>
                </w:rPr>
                <w:t>Amended and Restated Registration Rights Agreement with Senior Carlyle Professionals, dated as of January 1,</w:t>
              </w:r>
            </w:hyperlink>
          </w:p>
        </w:tc>
      </w:tr>
      <w:tr>
        <w:trPr>
          <w:trHeight w:val="136"/>
        </w:trPr>
        <w:tc>
          <w:tcPr>
            <w:tcW w:w="900" w:type="dxa"/>
            <w:vAlign w:val="bottom"/>
          </w:tcPr>
          <w:p>
            <w:pPr>
              <w:spacing w:after="0"/>
              <w:rPr>
                <w:sz w:val="11"/>
                <w:szCs w:val="11"/>
                <w:color w:val="auto"/>
              </w:rPr>
            </w:pPr>
          </w:p>
        </w:tc>
        <w:tc>
          <w:tcPr>
            <w:tcW w:w="680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2020 by and among the Corporation, TCG Carlyle Global Partners L.L.C. and the Covered Persons (defined</w:t>
              </w:r>
            </w:hyperlink>
          </w:p>
        </w:tc>
        <w:tc>
          <w:tcPr>
            <w:tcW w:w="26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080" w:type="dxa"/>
            <w:vAlign w:val="bottom"/>
            <w:gridSpan w:val="16"/>
          </w:tcPr>
          <w:p>
            <w:pPr>
              <w:spacing w:after="0" w:line="136"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therein) party thereto (incorporated by reference to Exhibit 99.3 to the Registrant’s Current Report on Form 8-K</w:t>
              </w:r>
            </w:hyperlink>
          </w:p>
        </w:tc>
      </w:tr>
      <w:tr>
        <w:trPr>
          <w:trHeight w:val="136"/>
        </w:trPr>
        <w:tc>
          <w:tcPr>
            <w:tcW w:w="90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3"/>
          </w:tcPr>
          <w:p>
            <w:pPr>
              <w:spacing w:after="0" w:line="136" w:lineRule="exact"/>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filed with the SEC on January 2, 2020)</w:t>
              </w:r>
            </w:hyperlink>
            <w:r>
              <w:rPr>
                <w:rFonts w:ascii="Times New Roman" w:cs="Times New Roman" w:eastAsia="Times New Roman" w:hAnsi="Times New Roman"/>
                <w:sz w:val="14"/>
                <w:szCs w:val="14"/>
                <w:color w:val="0000FF"/>
              </w:rPr>
              <w:t>.</w:t>
            </w:r>
          </w:p>
        </w:tc>
        <w:tc>
          <w:tcPr>
            <w:tcW w:w="45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231</w:t>
      </w:r>
    </w:p>
    <w:p>
      <w:pPr>
        <w:spacing w:after="0" w:line="197" w:lineRule="auto"/>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900" w:type="dxa"/>
            <w:vAlign w:val="bottom"/>
          </w:tcPr>
          <w:p>
            <w:pPr>
              <w:spacing w:after="0" w:line="128" w:lineRule="exact"/>
              <w:rPr>
                <w:sz w:val="20"/>
                <w:szCs w:val="20"/>
                <w:color w:val="auto"/>
              </w:rPr>
            </w:pPr>
            <w:r>
              <w:rPr>
                <w:rFonts w:ascii="Times New Roman" w:cs="Times New Roman" w:eastAsia="Times New Roman" w:hAnsi="Times New Roman"/>
                <w:sz w:val="14"/>
                <w:szCs w:val="14"/>
                <w:color w:val="auto"/>
              </w:rPr>
              <w:t>10.5+</w:t>
            </w:r>
          </w:p>
        </w:tc>
        <w:tc>
          <w:tcPr>
            <w:tcW w:w="7180" w:type="dxa"/>
            <w:vAlign w:val="bottom"/>
            <w:gridSpan w:val="32"/>
          </w:tcPr>
          <w:p>
            <w:pPr>
              <w:spacing w:after="0" w:line="128"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The Carlyle Group Inc. Amended and Restated 2012 Equity Incentive Plan (incorporated by reference to Exhibit</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Registrant’s Current Report on Form 8-K filed with the SEC on May 31, 2024)</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51">
              <w:r>
                <w:rPr>
                  <w:rFonts w:ascii="Times New Roman" w:cs="Times New Roman" w:eastAsia="Times New Roman" w:hAnsi="Times New Roman"/>
                  <w:sz w:val="16"/>
                  <w:szCs w:val="16"/>
                  <w:color w:val="0000FF"/>
                </w:rPr>
                <w:t>Noncompetition Agreement with William E. Conway, Jr. (incorporated by reference to Exhibit 10.10 to the</w:t>
              </w:r>
            </w:hyperlink>
          </w:p>
        </w:tc>
      </w:tr>
      <w:tr>
        <w:trPr>
          <w:trHeight w:val="136"/>
        </w:trPr>
        <w:tc>
          <w:tcPr>
            <w:tcW w:w="900" w:type="dxa"/>
            <w:vAlign w:val="bottom"/>
          </w:tcPr>
          <w:p>
            <w:pPr>
              <w:spacing w:after="0"/>
              <w:rPr>
                <w:sz w:val="11"/>
                <w:szCs w:val="11"/>
                <w:color w:val="auto"/>
              </w:rPr>
            </w:pPr>
          </w:p>
        </w:tc>
        <w:tc>
          <w:tcPr>
            <w:tcW w:w="572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Registrant’s Registration Statement on Form S-1/A filed with the SEC on March 15, 2012)</w:t>
              </w:r>
            </w:hyperlink>
            <w:r>
              <w:rPr>
                <w:rFonts w:ascii="Times New Roman" w:cs="Times New Roman" w:eastAsia="Times New Roman" w:hAnsi="Times New Roman"/>
                <w:sz w:val="14"/>
                <w:szCs w:val="14"/>
                <w:color w:val="0000FF"/>
              </w:rPr>
              <w:t>.</w:t>
            </w:r>
          </w:p>
        </w:tc>
        <w:tc>
          <w:tcPr>
            <w:tcW w:w="1040" w:type="dxa"/>
            <w:vAlign w:val="bottom"/>
            <w:tcBorders>
              <w:top w:val="single" w:sz="8" w:color="0000FF"/>
            </w:tcBorders>
            <w:gridSpan w:val="6"/>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52">
              <w:r>
                <w:rPr>
                  <w:rFonts w:ascii="Times New Roman" w:cs="Times New Roman" w:eastAsia="Times New Roman" w:hAnsi="Times New Roman"/>
                  <w:sz w:val="16"/>
                  <w:szCs w:val="16"/>
                  <w:color w:val="0000FF"/>
                </w:rPr>
                <w:t>Noncompetition Agreement with Daniel A. D’Aniello (incorporated by reference to Exhibit 10.11 to the</w:t>
              </w:r>
            </w:hyperlink>
          </w:p>
        </w:tc>
      </w:tr>
      <w:tr>
        <w:trPr>
          <w:trHeight w:val="136"/>
        </w:trPr>
        <w:tc>
          <w:tcPr>
            <w:tcW w:w="900" w:type="dxa"/>
            <w:vAlign w:val="bottom"/>
          </w:tcPr>
          <w:p>
            <w:pPr>
              <w:spacing w:after="0"/>
              <w:rPr>
                <w:sz w:val="11"/>
                <w:szCs w:val="11"/>
                <w:color w:val="auto"/>
              </w:rPr>
            </w:pPr>
          </w:p>
        </w:tc>
        <w:tc>
          <w:tcPr>
            <w:tcW w:w="572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Registrant’s Registration Statement on Form S-1/A filed with the SEC on March 15, 2012)</w:t>
              </w:r>
            </w:hyperlink>
            <w:r>
              <w:rPr>
                <w:rFonts w:ascii="Times New Roman" w:cs="Times New Roman" w:eastAsia="Times New Roman" w:hAnsi="Times New Roman"/>
                <w:sz w:val="14"/>
                <w:szCs w:val="14"/>
                <w:color w:val="0000FF"/>
              </w:rPr>
              <w:t>.</w:t>
            </w:r>
          </w:p>
        </w:tc>
        <w:tc>
          <w:tcPr>
            <w:tcW w:w="840" w:type="dxa"/>
            <w:vAlign w:val="bottom"/>
            <w:tcBorders>
              <w:top w:val="single" w:sz="8" w:color="0000FF"/>
            </w:tcBorders>
            <w:gridSpan w:val="2"/>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53">
              <w:r>
                <w:rPr>
                  <w:rFonts w:ascii="Times New Roman" w:cs="Times New Roman" w:eastAsia="Times New Roman" w:hAnsi="Times New Roman"/>
                  <w:sz w:val="16"/>
                  <w:szCs w:val="16"/>
                  <w:color w:val="0000FF"/>
                </w:rPr>
                <w:t>Noncompetition Agreement with David M. Rubenstein (incorporated by reference to Exhibit 10.12 to the</w:t>
              </w:r>
            </w:hyperlink>
          </w:p>
        </w:tc>
      </w:tr>
      <w:tr>
        <w:trPr>
          <w:trHeight w:val="136"/>
        </w:trPr>
        <w:tc>
          <w:tcPr>
            <w:tcW w:w="900" w:type="dxa"/>
            <w:vAlign w:val="bottom"/>
          </w:tcPr>
          <w:p>
            <w:pPr>
              <w:spacing w:after="0"/>
              <w:rPr>
                <w:sz w:val="11"/>
                <w:szCs w:val="11"/>
                <w:color w:val="auto"/>
              </w:rPr>
            </w:pPr>
          </w:p>
        </w:tc>
        <w:tc>
          <w:tcPr>
            <w:tcW w:w="5720" w:type="dxa"/>
            <w:vAlign w:val="bottom"/>
            <w:tcBorders>
              <w:top w:val="single" w:sz="8" w:color="0000FF"/>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Registrant’s Registration Statement on Form S-1/A filed with the SEC on March 15, 2012)</w:t>
              </w:r>
            </w:hyperlink>
            <w:r>
              <w:rPr>
                <w:rFonts w:ascii="Times New Roman" w:cs="Times New Roman" w:eastAsia="Times New Roman" w:hAnsi="Times New Roman"/>
                <w:sz w:val="14"/>
                <w:szCs w:val="14"/>
                <w:color w:val="0000FF"/>
              </w:rPr>
              <w:t>.</w:t>
            </w:r>
          </w:p>
        </w:tc>
        <w:tc>
          <w:tcPr>
            <w:tcW w:w="900" w:type="dxa"/>
            <w:vAlign w:val="bottom"/>
            <w:tcBorders>
              <w:top w:val="single" w:sz="8" w:color="0000FF"/>
            </w:tcBorders>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718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w w:val="98"/>
              </w:rPr>
            </w:pPr>
            <w:hyperlink r:id="rId254">
              <w:r>
                <w:rPr>
                  <w:rFonts w:ascii="Times New Roman" w:cs="Times New Roman" w:eastAsia="Times New Roman" w:hAnsi="Times New Roman"/>
                  <w:sz w:val="16"/>
                  <w:szCs w:val="16"/>
                  <w:color w:val="0000FF"/>
                  <w:w w:val="98"/>
                </w:rPr>
                <w:t>Stockholder Agreement by and between the Corporation and William E. Conway, Jr., dated as of January 1, 2020</w:t>
              </w:r>
            </w:hyperlink>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(incorporated by reference to Exhibit 10.1 to the Registrant’s Current Report on Form 8-K filed with the SEC on</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January 2,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69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r:id="rId255">
              <w:r>
                <w:rPr>
                  <w:rFonts w:ascii="Times New Roman" w:cs="Times New Roman" w:eastAsia="Times New Roman" w:hAnsi="Times New Roman"/>
                  <w:sz w:val="16"/>
                  <w:szCs w:val="16"/>
                  <w:color w:val="0000FF"/>
                  <w:w w:val="97"/>
                </w:rPr>
                <w:t>Stockholder Agreement by and between the Corporation and Daniel A. D’Aniello, dated as of January 1, 2020</w:t>
              </w:r>
            </w:hyperlink>
          </w:p>
        </w:tc>
        <w:tc>
          <w:tcPr>
            <w:tcW w:w="240" w:type="dxa"/>
            <w:vAlign w:val="bottom"/>
            <w:gridSpan w:val="11"/>
          </w:tcPr>
          <w:p>
            <w:pPr>
              <w:spacing w:after="0"/>
              <w:rPr>
                <w:sz w:val="24"/>
                <w:szCs w:val="24"/>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(incorporated by reference to Exhibit 10.2 to the Registrant’s Current Report on Form 8-K filed with the SEC on</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January 2,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7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7"/>
              </w:rPr>
            </w:pPr>
            <w:hyperlink r:id="rId256">
              <w:r>
                <w:rPr>
                  <w:rFonts w:ascii="Times New Roman" w:cs="Times New Roman" w:eastAsia="Times New Roman" w:hAnsi="Times New Roman"/>
                  <w:sz w:val="16"/>
                  <w:szCs w:val="16"/>
                  <w:color w:val="0000FF"/>
                  <w:w w:val="97"/>
                </w:rPr>
                <w:t>Stockholder Agreement by and between the Corporation and David M. Rubenstein, dated as of January 1, 2020</w:t>
              </w:r>
            </w:hyperlink>
          </w:p>
        </w:tc>
        <w:tc>
          <w:tcPr>
            <w:tcW w:w="180" w:type="dxa"/>
            <w:vAlign w:val="bottom"/>
            <w:gridSpan w:val="8"/>
          </w:tcPr>
          <w:p>
            <w:pPr>
              <w:spacing w:after="0"/>
              <w:rPr>
                <w:sz w:val="24"/>
                <w:szCs w:val="24"/>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(incorporated by reference to Exhibit 10.3 to the Registrant’s Current Report on Form 8-K filed with the SEC on</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January 2,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68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7"/>
              </w:rPr>
            </w:pPr>
            <w:hyperlink r:id="rId257">
              <w:r>
                <w:rPr>
                  <w:rFonts w:ascii="Times New Roman" w:cs="Times New Roman" w:eastAsia="Times New Roman" w:hAnsi="Times New Roman"/>
                  <w:sz w:val="16"/>
                  <w:szCs w:val="16"/>
                  <w:color w:val="0000FF"/>
                  <w:w w:val="97"/>
                </w:rPr>
                <w:t>Note and Unit Subscription Agreement, dated as of December 16, 2010 by and among TC Group, L.L.C., TC</w:t>
              </w:r>
            </w:hyperlink>
          </w:p>
        </w:tc>
        <w:tc>
          <w:tcPr>
            <w:tcW w:w="320" w:type="dxa"/>
            <w:vAlign w:val="bottom"/>
            <w:gridSpan w:val="15"/>
          </w:tcPr>
          <w:p>
            <w:pPr>
              <w:spacing w:after="0"/>
              <w:rPr>
                <w:sz w:val="24"/>
                <w:szCs w:val="24"/>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Group Cayman, L.P., TC Group Investment Holdings, L.P., TC Group Cayman Investment Holdings, L.P., TCG</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bottom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Holdings, L.L.C., TCG Holdings Cayman, L.P., TCG Holdings II, L.P., TCG Holdings Cayman II, L.P., Fortieth</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20" w:type="dxa"/>
            <w:vAlign w:val="bottom"/>
            <w:gridSpan w:val="29"/>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Investment Company L.L.C., MDC/TCP Investments (Cayman) I, Ltd., MDC/TCP Investments (Cayman) II,</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860" w:type="dxa"/>
            <w:vAlign w:val="bottom"/>
            <w:tcBorders>
              <w:top w:val="single" w:sz="8" w:color="0000FF"/>
            </w:tcBorders>
            <w:gridSpan w:val="17"/>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Ltd., MDC/TCP Investments (Cayman) III, Ltd., MDC/TCP Investments (Cayman) IV, Ltd., MDC/TCP</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560" w:type="dxa"/>
            <w:vAlign w:val="bottom"/>
            <w:tcBorders>
              <w:top w:val="single" w:sz="8" w:color="0000FF"/>
            </w:tcBorders>
            <w:gridSpan w:val="10"/>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Investments (Cayman) V, Ltd., MDC/TCP Investments (Cayman) VI, Ltd., and Five Overseas Investment</w:t>
              </w:r>
            </w:hyperlink>
          </w:p>
        </w:tc>
        <w:tc>
          <w:tcPr>
            <w:tcW w:w="620" w:type="dxa"/>
            <w:vAlign w:val="bottom"/>
            <w:gridSpan w:val="22"/>
          </w:tcPr>
          <w:p>
            <w:pPr>
              <w:ind w:left="100"/>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L.L.C.</w:t>
              </w:r>
            </w:hyperlink>
          </w:p>
        </w:tc>
      </w:tr>
      <w:tr>
        <w:trPr>
          <w:trHeight w:val="136"/>
        </w:trPr>
        <w:tc>
          <w:tcPr>
            <w:tcW w:w="900" w:type="dxa"/>
            <w:vAlign w:val="bottom"/>
          </w:tcPr>
          <w:p>
            <w:pPr>
              <w:spacing w:after="0"/>
              <w:rPr>
                <w:sz w:val="11"/>
                <w:szCs w:val="11"/>
                <w:color w:val="auto"/>
              </w:rPr>
            </w:pPr>
          </w:p>
        </w:tc>
        <w:tc>
          <w:tcPr>
            <w:tcW w:w="7140" w:type="dxa"/>
            <w:vAlign w:val="bottom"/>
            <w:tcBorders>
              <w:top w:val="single" w:sz="8" w:color="0000FF"/>
            </w:tcBorders>
            <w:gridSpan w:val="30"/>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(incorporated by reference to Exhibit 10.14 to the Registrant’s Registration Statement on Form S-1/A filed with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the SEC on February 14, 2012)</w:t>
              </w:r>
            </w:hyperlink>
            <w:r>
              <w:rPr>
                <w:rFonts w:ascii="Times New Roman" w:cs="Times New Roman" w:eastAsia="Times New Roman" w:hAnsi="Times New Roman"/>
                <w:sz w:val="14"/>
                <w:szCs w:val="14"/>
                <w:color w:val="0000FF"/>
              </w:rPr>
              <w:t>.</w:t>
            </w:r>
          </w:p>
        </w:tc>
        <w:tc>
          <w:tcPr>
            <w:tcW w:w="502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36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69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r:id="rId258">
              <w:r>
                <w:rPr>
                  <w:rFonts w:ascii="Times New Roman" w:cs="Times New Roman" w:eastAsia="Times New Roman" w:hAnsi="Times New Roman"/>
                  <w:sz w:val="16"/>
                  <w:szCs w:val="16"/>
                  <w:color w:val="0000FF"/>
                  <w:w w:val="97"/>
                </w:rPr>
                <w:t>Amended and Restated Office Lease by and between Teachers Insurance and Annuity Association of America</w:t>
              </w:r>
            </w:hyperlink>
          </w:p>
        </w:tc>
        <w:tc>
          <w:tcPr>
            <w:tcW w:w="240" w:type="dxa"/>
            <w:vAlign w:val="bottom"/>
            <w:gridSpan w:val="11"/>
          </w:tcPr>
          <w:p>
            <w:pPr>
              <w:spacing w:after="0"/>
              <w:rPr>
                <w:sz w:val="24"/>
                <w:szCs w:val="24"/>
                <w:color w:val="auto"/>
              </w:rPr>
            </w:pPr>
          </w:p>
        </w:tc>
      </w:tr>
      <w:tr>
        <w:trPr>
          <w:trHeight w:val="136"/>
        </w:trPr>
        <w:tc>
          <w:tcPr>
            <w:tcW w:w="900" w:type="dxa"/>
            <w:vAlign w:val="bottom"/>
          </w:tcPr>
          <w:p>
            <w:pPr>
              <w:spacing w:after="0"/>
              <w:rPr>
                <w:sz w:val="11"/>
                <w:szCs w:val="11"/>
                <w:color w:val="auto"/>
              </w:rPr>
            </w:pPr>
          </w:p>
        </w:tc>
        <w:tc>
          <w:tcPr>
            <w:tcW w:w="7180" w:type="dxa"/>
            <w:vAlign w:val="bottom"/>
            <w:tcBorders>
              <w:bottom w:val="single" w:sz="8" w:color="0000FF"/>
            </w:tcBorders>
            <w:gridSpan w:val="32"/>
          </w:tcPr>
          <w:p>
            <w:pPr>
              <w:spacing w:after="0" w:line="136"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and Carlyle Investment Management L.L.C., dated as of June 14, 2019 (incorporated by reference to Exhibit 10.2</w:t>
              </w:r>
            </w:hyperlink>
          </w:p>
        </w:tc>
      </w:tr>
      <w:tr>
        <w:trPr>
          <w:trHeight w:val="136"/>
        </w:trPr>
        <w:tc>
          <w:tcPr>
            <w:tcW w:w="900" w:type="dxa"/>
            <w:vAlign w:val="bottom"/>
          </w:tcPr>
          <w:p>
            <w:pPr>
              <w:spacing w:after="0"/>
              <w:rPr>
                <w:sz w:val="11"/>
                <w:szCs w:val="11"/>
                <w:color w:val="auto"/>
              </w:rPr>
            </w:pPr>
          </w:p>
        </w:tc>
        <w:tc>
          <w:tcPr>
            <w:tcW w:w="5680" w:type="dxa"/>
            <w:vAlign w:val="bottom"/>
            <w:tcBorders>
              <w:bottom w:val="single" w:sz="8" w:color="0000FF"/>
            </w:tcBorders>
            <w:gridSpan w:val="7"/>
          </w:tcPr>
          <w:p>
            <w:pPr>
              <w:spacing w:after="0" w:line="136"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to the Registrant’s Quarterly Report on Form 10-Q filed with the SEC on August 1, 2018)</w:t>
              </w:r>
            </w:hyperlink>
            <w:r>
              <w:rPr>
                <w:rFonts w:ascii="Times New Roman" w:cs="Times New Roman" w:eastAsia="Times New Roman" w:hAnsi="Times New Roman"/>
                <w:sz w:val="14"/>
                <w:szCs w:val="14"/>
                <w:color w:val="0000FF"/>
              </w:rPr>
              <w:t>.</w:t>
            </w:r>
          </w:p>
        </w:tc>
        <w:tc>
          <w:tcPr>
            <w:tcW w:w="1500" w:type="dxa"/>
            <w:vAlign w:val="bottom"/>
            <w:gridSpan w:val="25"/>
          </w:tcPr>
          <w:p>
            <w:pPr>
              <w:spacing w:after="0"/>
              <w:rPr>
                <w:sz w:val="11"/>
                <w:szCs w:val="1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Form of Amended and Restated Limited Partnership Agreement of Fund General Partner (Delaware)</w:t>
              </w:r>
            </w:hyperlink>
          </w:p>
        </w:tc>
      </w:tr>
      <w:tr>
        <w:trPr>
          <w:trHeight w:val="136"/>
        </w:trPr>
        <w:tc>
          <w:tcPr>
            <w:tcW w:w="900" w:type="dxa"/>
            <w:vAlign w:val="bottom"/>
          </w:tcPr>
          <w:p>
            <w:pPr>
              <w:spacing w:after="0"/>
              <w:rPr>
                <w:sz w:val="11"/>
                <w:szCs w:val="11"/>
                <w:color w:val="auto"/>
              </w:rPr>
            </w:pPr>
          </w:p>
        </w:tc>
        <w:tc>
          <w:tcPr>
            <w:tcW w:w="6340" w:type="dxa"/>
            <w:vAlign w:val="bottom"/>
            <w:tcBorders>
              <w:top w:val="single" w:sz="8" w:color="0000FF"/>
            </w:tcBorders>
            <w:gridSpan w:val="9"/>
          </w:tcPr>
          <w:p>
            <w:pPr>
              <w:spacing w:after="0" w:line="136"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(incorporated by reference to Exhibit 10.21 to the Registrant’s Registration Statement on Form S-1/A</w:t>
              </w:r>
            </w:hyperlink>
          </w:p>
        </w:tc>
        <w:tc>
          <w:tcPr>
            <w:tcW w:w="840" w:type="dxa"/>
            <w:vAlign w:val="bottom"/>
            <w:gridSpan w:val="23"/>
          </w:tcPr>
          <w:p>
            <w:pPr>
              <w:jc w:val="right"/>
              <w:ind w:right="200"/>
              <w:spacing w:after="0" w:line="136"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filed with</w:t>
              </w:r>
            </w:hyperlink>
          </w:p>
        </w:tc>
      </w:tr>
      <w:tr>
        <w:trPr>
          <w:trHeight w:val="136"/>
        </w:trPr>
        <w:tc>
          <w:tcPr>
            <w:tcW w:w="90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the SEC on February 14, 2012)</w:t>
              </w:r>
            </w:hyperlink>
            <w:r>
              <w:rPr>
                <w:rFonts w:ascii="Times New Roman" w:cs="Times New Roman" w:eastAsia="Times New Roman" w:hAnsi="Times New Roman"/>
                <w:sz w:val="14"/>
                <w:szCs w:val="14"/>
                <w:color w:val="0000FF"/>
              </w:rPr>
              <w:t>.</w:t>
            </w:r>
          </w:p>
        </w:tc>
        <w:tc>
          <w:tcPr>
            <w:tcW w:w="502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Form of Amended and Restated Limited Partnership Agreement of Fund General Partner (Cayman Islands)</w:t>
              </w:r>
            </w:hyperlink>
          </w:p>
        </w:tc>
      </w:tr>
      <w:tr>
        <w:trPr>
          <w:trHeight w:val="136"/>
        </w:trPr>
        <w:tc>
          <w:tcPr>
            <w:tcW w:w="900" w:type="dxa"/>
            <w:vAlign w:val="bottom"/>
          </w:tcPr>
          <w:p>
            <w:pPr>
              <w:spacing w:after="0"/>
              <w:rPr>
                <w:sz w:val="11"/>
                <w:szCs w:val="11"/>
                <w:color w:val="auto"/>
              </w:rPr>
            </w:pPr>
          </w:p>
        </w:tc>
        <w:tc>
          <w:tcPr>
            <w:tcW w:w="6740" w:type="dxa"/>
            <w:vAlign w:val="bottom"/>
            <w:tcBorders>
              <w:top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(incorporated by reference to Exhibit 10.22 to the Registrant’s Registration Statement on Form S-1/A filed</w:t>
              </w:r>
            </w:hyperlink>
          </w:p>
        </w:tc>
        <w:tc>
          <w:tcPr>
            <w:tcW w:w="440" w:type="dxa"/>
            <w:vAlign w:val="bottom"/>
            <w:gridSpan w:val="19"/>
          </w:tcPr>
          <w:p>
            <w:pPr>
              <w:jc w:val="right"/>
              <w:ind w:right="200"/>
              <w:spacing w:after="0" w:line="136" w:lineRule="exact"/>
              <w:rPr>
                <w:rFonts w:ascii="Times New Roman" w:cs="Times New Roman" w:eastAsia="Times New Roman" w:hAnsi="Times New Roman"/>
                <w:sz w:val="14"/>
                <w:szCs w:val="14"/>
                <w:color w:val="0000FF"/>
                <w:w w:val="88"/>
              </w:rPr>
            </w:pPr>
            <w:hyperlink r:id="rId260">
              <w:r>
                <w:rPr>
                  <w:rFonts w:ascii="Times New Roman" w:cs="Times New Roman" w:eastAsia="Times New Roman" w:hAnsi="Times New Roman"/>
                  <w:sz w:val="14"/>
                  <w:szCs w:val="14"/>
                  <w:color w:val="0000FF"/>
                  <w:w w:val="88"/>
                </w:rPr>
                <w:t>with</w:t>
              </w:r>
            </w:hyperlink>
          </w:p>
        </w:tc>
      </w:tr>
      <w:tr>
        <w:trPr>
          <w:trHeight w:val="136"/>
        </w:trPr>
        <w:tc>
          <w:tcPr>
            <w:tcW w:w="90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4"/>
          </w:tcPr>
          <w:p>
            <w:pPr>
              <w:spacing w:after="0" w:line="136"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the SEC on February 14, 2012)</w:t>
              </w:r>
            </w:hyperlink>
            <w:r>
              <w:rPr>
                <w:rFonts w:ascii="Times New Roman" w:cs="Times New Roman" w:eastAsia="Times New Roman" w:hAnsi="Times New Roman"/>
                <w:sz w:val="14"/>
                <w:szCs w:val="14"/>
                <w:color w:val="0000FF"/>
              </w:rPr>
              <w:t>.</w:t>
            </w:r>
          </w:p>
        </w:tc>
        <w:tc>
          <w:tcPr>
            <w:tcW w:w="502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7180" w:type="dxa"/>
            <w:vAlign w:val="bottom"/>
            <w:gridSpan w:val="32"/>
          </w:tcPr>
          <w:p>
            <w:pPr>
              <w:spacing w:after="0"/>
              <w:rPr>
                <w:rFonts w:ascii="Times New Roman" w:cs="Times New Roman" w:eastAsia="Times New Roman" w:hAnsi="Times New Roman"/>
                <w:sz w:val="16"/>
                <w:szCs w:val="16"/>
                <w:color w:val="0000FF"/>
                <w:w w:val="98"/>
              </w:rPr>
            </w:pPr>
            <w:hyperlink r:id="rId261">
              <w:r>
                <w:rPr>
                  <w:rFonts w:ascii="Times New Roman" w:cs="Times New Roman" w:eastAsia="Times New Roman" w:hAnsi="Times New Roman"/>
                  <w:sz w:val="16"/>
                  <w:szCs w:val="16"/>
                  <w:color w:val="0000FF"/>
                  <w:w w:val="98"/>
                </w:rPr>
                <w:t>Amended and Restated Credit Agreement, dated as of February 11, 2019 among TC Group Investment Holdings,</w:t>
              </w:r>
            </w:hyperlink>
          </w:p>
        </w:tc>
      </w:tr>
      <w:tr>
        <w:trPr>
          <w:trHeight w:val="136"/>
        </w:trPr>
        <w:tc>
          <w:tcPr>
            <w:tcW w:w="900" w:type="dxa"/>
            <w:vAlign w:val="bottom"/>
          </w:tcPr>
          <w:p>
            <w:pPr>
              <w:spacing w:after="0"/>
              <w:rPr>
                <w:sz w:val="11"/>
                <w:szCs w:val="11"/>
                <w:color w:val="auto"/>
              </w:rPr>
            </w:pPr>
          </w:p>
        </w:tc>
        <w:tc>
          <w:tcPr>
            <w:tcW w:w="7140" w:type="dxa"/>
            <w:vAlign w:val="bottom"/>
            <w:tcBorders>
              <w:top w:val="single" w:sz="8" w:color="0000FF"/>
            </w:tcBorders>
            <w:gridSpan w:val="30"/>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L.P., TC Group Investment Holdings, L.P., TC Group Cayman Investment Holdings, L.P., TC Group Cayman,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980" w:type="dxa"/>
            <w:vAlign w:val="bottom"/>
            <w:tcBorders>
              <w:top w:val="single" w:sz="8" w:color="0000FF"/>
            </w:tcBorders>
            <w:gridSpan w:val="23"/>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L.P., and Carlyle Investment Management L.L.C., as Borrowers, TC Group, L.L.C., Carlyle Holdings I L.P.,</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15"/>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Carlyle Holdings II L.P. and Carlyle Holdings III L.P. as Guarantors, the Lenders party hereto, and Citibank,</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N.A., as Administrative Agent, and Citibank N.A., JPMorgan Chase Bank, N.A. and Credit Suisse Funding LLC</w:t>
              </w:r>
            </w:hyperlink>
          </w:p>
        </w:tc>
      </w:tr>
      <w:tr>
        <w:trPr>
          <w:trHeight w:val="136"/>
        </w:trPr>
        <w:tc>
          <w:tcPr>
            <w:tcW w:w="900" w:type="dxa"/>
            <w:vAlign w:val="bottom"/>
          </w:tcPr>
          <w:p>
            <w:pPr>
              <w:spacing w:after="0"/>
              <w:rPr>
                <w:sz w:val="11"/>
                <w:szCs w:val="11"/>
                <w:color w:val="auto"/>
              </w:rPr>
            </w:pPr>
          </w:p>
        </w:tc>
        <w:tc>
          <w:tcPr>
            <w:tcW w:w="7100" w:type="dxa"/>
            <w:vAlign w:val="bottom"/>
            <w:tcBorders>
              <w:top w:val="single" w:sz="8" w:color="0000FF"/>
              <w:bottom w:val="single" w:sz="8" w:color="0000FF"/>
            </w:tcBorders>
            <w:gridSpan w:val="28"/>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as Joint Lead Arrangers and Bookrunners and JPMorgan Chase Bank, N.A. and Credit Suisse Loan Funding LLC</w:t>
              </w:r>
            </w:hyperlink>
          </w:p>
        </w:tc>
        <w:tc>
          <w:tcPr>
            <w:tcW w:w="6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as Syndication Agents (incorporated by reference to Exhibit 10.22 to the Registrant’s Annual Report on Form</w:t>
              </w:r>
            </w:hyperlink>
          </w:p>
        </w:tc>
      </w:tr>
      <w:tr>
        <w:trPr>
          <w:trHeight w:val="136"/>
        </w:trPr>
        <w:tc>
          <w:tcPr>
            <w:tcW w:w="90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10-K filed with the SEC on February 13, 2019)</w:t>
              </w:r>
            </w:hyperlink>
            <w:r>
              <w:rPr>
                <w:rFonts w:ascii="Times New Roman" w:cs="Times New Roman" w:eastAsia="Times New Roman" w:hAnsi="Times New Roman"/>
                <w:sz w:val="14"/>
                <w:szCs w:val="14"/>
                <w:color w:val="0000FF"/>
              </w:rPr>
              <w:t>.</w:t>
            </w:r>
          </w:p>
        </w:tc>
        <w:tc>
          <w:tcPr>
            <w:tcW w:w="39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7180" w:type="dxa"/>
            <w:vAlign w:val="bottom"/>
            <w:gridSpan w:val="32"/>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Second Amended and Restated Credit Agreement, dated as of April 29, 2022 among TC Group Cayman, L.P.,</w:t>
              </w:r>
            </w:hyperlink>
          </w:p>
        </w:tc>
      </w:tr>
      <w:tr>
        <w:trPr>
          <w:trHeight w:val="136"/>
        </w:trPr>
        <w:tc>
          <w:tcPr>
            <w:tcW w:w="900" w:type="dxa"/>
            <w:vAlign w:val="bottom"/>
          </w:tcPr>
          <w:p>
            <w:pPr>
              <w:spacing w:after="0"/>
              <w:rPr>
                <w:sz w:val="11"/>
                <w:szCs w:val="11"/>
                <w:color w:val="auto"/>
              </w:rPr>
            </w:pPr>
          </w:p>
        </w:tc>
        <w:tc>
          <w:tcPr>
            <w:tcW w:w="6940" w:type="dxa"/>
            <w:vAlign w:val="bottom"/>
            <w:tcBorders>
              <w:top w:val="single" w:sz="8" w:color="0000FF"/>
            </w:tcBorders>
            <w:gridSpan w:val="21"/>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Carlyle Investment Management L.L.C., and CG Subsidiary Holdings L.L.C., as Borrowers, TC Group, L.L.C.,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880" w:type="dxa"/>
            <w:vAlign w:val="bottom"/>
            <w:tcBorders>
              <w:top w:val="single" w:sz="8" w:color="0000FF"/>
              <w:bottom w:val="single" w:sz="8" w:color="0000FF"/>
            </w:tcBorders>
            <w:gridSpan w:val="18"/>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Carlyle Holdings I L.P., Carlyle Holdings II L.L.C., Carlyle Holdings III L.P. and Carlyle Finance Subsidiary</w:t>
              </w:r>
            </w:hyperlink>
          </w:p>
        </w:tc>
        <w:tc>
          <w:tcPr>
            <w:tcW w:w="14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L.L.C. as Guarantors, the Lenders Party Hereto, and Citibank, N.A. as Administrative Agent, and Citibank, N.A.,</w:t>
              </w:r>
            </w:hyperlink>
          </w:p>
        </w:tc>
      </w:tr>
      <w:tr>
        <w:trPr>
          <w:trHeight w:val="136"/>
        </w:trPr>
        <w:tc>
          <w:tcPr>
            <w:tcW w:w="900" w:type="dxa"/>
            <w:vAlign w:val="bottom"/>
          </w:tcPr>
          <w:p>
            <w:pPr>
              <w:spacing w:after="0"/>
              <w:rPr>
                <w:sz w:val="11"/>
                <w:szCs w:val="11"/>
                <w:color w:val="auto"/>
              </w:rPr>
            </w:pPr>
          </w:p>
        </w:tc>
        <w:tc>
          <w:tcPr>
            <w:tcW w:w="7160" w:type="dxa"/>
            <w:vAlign w:val="bottom"/>
            <w:tcBorders>
              <w:top w:val="single" w:sz="8" w:color="0000FF"/>
              <w:bottom w:val="single" w:sz="8" w:color="0000FF"/>
            </w:tcBorders>
            <w:gridSpan w:val="31"/>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JPMorgan Chase Bank, N.A. Credit Suisse Loan Funding LLC, BofA Securities, Inc. and Wells Fargo Securities,</w:t>
              </w:r>
            </w:hyperlink>
          </w:p>
        </w:tc>
        <w:tc>
          <w:tcPr>
            <w:tcW w:w="20" w:type="dxa"/>
            <w:vAlign w:val="bottom"/>
            <w:tcBorders>
              <w:bottom w:val="single" w:sz="8" w:color="0000FF"/>
            </w:tcBorders>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LLC as Joint Lead Arrangers and Bookrunners, and JPMorgan Chase Bank, N.A., Credit Suisse Loan Funding</w:t>
              </w:r>
            </w:hyperlink>
          </w:p>
        </w:tc>
      </w:tr>
      <w:tr>
        <w:trPr>
          <w:trHeight w:val="136"/>
        </w:trPr>
        <w:tc>
          <w:tcPr>
            <w:tcW w:w="900" w:type="dxa"/>
            <w:vAlign w:val="bottom"/>
          </w:tcPr>
          <w:p>
            <w:pPr>
              <w:spacing w:after="0"/>
              <w:rPr>
                <w:sz w:val="11"/>
                <w:szCs w:val="11"/>
                <w:color w:val="auto"/>
              </w:rPr>
            </w:pPr>
          </w:p>
        </w:tc>
        <w:tc>
          <w:tcPr>
            <w:tcW w:w="6960" w:type="dxa"/>
            <w:vAlign w:val="bottom"/>
            <w:tcBorders>
              <w:top w:val="single" w:sz="8" w:color="0000FF"/>
              <w:bottom w:val="single" w:sz="8" w:color="0000FF"/>
            </w:tcBorders>
            <w:gridSpan w:val="22"/>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LLC, Bank of America, N.A. and Wells Fargo Bank, National Association, as Syndication Agents (incorporated</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040" w:type="dxa"/>
            <w:vAlign w:val="bottom"/>
            <w:gridSpan w:val="26"/>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by reference to Exhibit 10.22 to the Registrant’s Quarterly Report on Form 10-Q filed with the SEC on July 28,</w:t>
              </w:r>
            </w:hyperlink>
          </w:p>
        </w:tc>
        <w:tc>
          <w:tcPr>
            <w:tcW w:w="140" w:type="dxa"/>
            <w:vAlign w:val="bottom"/>
            <w:gridSpan w:val="6"/>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42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2022).</w:t>
              </w:r>
            </w:hyperlink>
          </w:p>
        </w:tc>
        <w:tc>
          <w:tcPr>
            <w:tcW w:w="6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6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69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7"/>
              </w:rPr>
            </w:pPr>
            <w:hyperlink r:id="rId263">
              <w:r>
                <w:rPr>
                  <w:rFonts w:ascii="Times New Roman" w:cs="Times New Roman" w:eastAsia="Times New Roman" w:hAnsi="Times New Roman"/>
                  <w:sz w:val="16"/>
                  <w:szCs w:val="16"/>
                  <w:color w:val="0000FF"/>
                  <w:w w:val="97"/>
                </w:rPr>
                <w:t>Revolving Credit Agreement, dated as of December 17, 2018, as amended by Amendment No. 1 on December</w:t>
              </w:r>
            </w:hyperlink>
          </w:p>
        </w:tc>
        <w:tc>
          <w:tcPr>
            <w:tcW w:w="220" w:type="dxa"/>
            <w:vAlign w:val="bottom"/>
            <w:gridSpan w:val="10"/>
          </w:tcPr>
          <w:p>
            <w:pPr>
              <w:spacing w:after="0"/>
              <w:rPr>
                <w:sz w:val="24"/>
                <w:szCs w:val="24"/>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16, 2019, Amendment No. 2 on December 15, 2020, Amendment No. 3 on September 1, 2021, Amendment No.</w:t>
              </w:r>
            </w:hyperlink>
          </w:p>
        </w:tc>
      </w:tr>
      <w:tr>
        <w:trPr>
          <w:trHeight w:val="136"/>
        </w:trPr>
        <w:tc>
          <w:tcPr>
            <w:tcW w:w="900" w:type="dxa"/>
            <w:vAlign w:val="bottom"/>
          </w:tcPr>
          <w:p>
            <w:pPr>
              <w:spacing w:after="0"/>
              <w:rPr>
                <w:sz w:val="11"/>
                <w:szCs w:val="11"/>
                <w:color w:val="auto"/>
              </w:rPr>
            </w:pPr>
          </w:p>
        </w:tc>
        <w:tc>
          <w:tcPr>
            <w:tcW w:w="6740" w:type="dxa"/>
            <w:vAlign w:val="bottom"/>
            <w:tcBorders>
              <w:top w:val="single" w:sz="8" w:color="0000FF"/>
              <w:bottom w:val="single" w:sz="8" w:color="0000FF"/>
            </w:tcBorders>
            <w:gridSpan w:val="13"/>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4 on January 25, 2022, Amendment No. 5 on August 23, 2023, and Amendment No. 6 on August 21, 2024,</w:t>
              </w:r>
            </w:hyperlink>
          </w:p>
        </w:tc>
        <w:tc>
          <w:tcPr>
            <w:tcW w:w="300" w:type="dxa"/>
            <w:vAlign w:val="bottom"/>
            <w:tcBorders>
              <w:top w:val="single" w:sz="8" w:color="0000FF"/>
            </w:tcBorders>
            <w:gridSpan w:val="13"/>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80" w:type="dxa"/>
            <w:vAlign w:val="bottom"/>
            <w:gridSpan w:val="32"/>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among TCG Capital Markets L.L.C. and TCG Senior Funding L.L.C., as Borrowers, the Lenders party hereto,</w:t>
              </w:r>
            </w:hyperlink>
          </w:p>
        </w:tc>
      </w:tr>
      <w:tr>
        <w:trPr>
          <w:trHeight w:val="136"/>
        </w:trPr>
        <w:tc>
          <w:tcPr>
            <w:tcW w:w="900" w:type="dxa"/>
            <w:vAlign w:val="bottom"/>
          </w:tcPr>
          <w:p>
            <w:pPr>
              <w:spacing w:after="0"/>
              <w:rPr>
                <w:sz w:val="11"/>
                <w:szCs w:val="11"/>
                <w:color w:val="auto"/>
              </w:rPr>
            </w:pPr>
          </w:p>
        </w:tc>
        <w:tc>
          <w:tcPr>
            <w:tcW w:w="6920" w:type="dxa"/>
            <w:vAlign w:val="bottom"/>
            <w:tcBorders>
              <w:top w:val="single" w:sz="8" w:color="0000FF"/>
            </w:tcBorders>
            <w:gridSpan w:val="20"/>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and Mizuho Bank, Ltd., as Administrative Agent, and Mizuho Bank, Ltd., as Sole Lead Arranger and Sole</w:t>
              </w:r>
            </w:hyperlink>
          </w:p>
        </w:tc>
        <w:tc>
          <w:tcPr>
            <w:tcW w:w="260" w:type="dxa"/>
            <w:vAlign w:val="bottom"/>
            <w:gridSpan w:val="12"/>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680" w:type="dxa"/>
            <w:vAlign w:val="bottom"/>
            <w:tcBorders>
              <w:top w:val="single" w:sz="8" w:color="0000FF"/>
            </w:tcBorders>
            <w:gridSpan w:val="12"/>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Bookrunner (incorporated by reference to Exhibit 10.1 to the Registrant’s Quarterly Report on Form 10-Q</w:t>
              </w:r>
            </w:hyperlink>
          </w:p>
        </w:tc>
        <w:tc>
          <w:tcPr>
            <w:tcW w:w="500" w:type="dxa"/>
            <w:vAlign w:val="bottom"/>
            <w:gridSpan w:val="20"/>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filed</w:t>
              </w:r>
            </w:hyperlink>
          </w:p>
        </w:tc>
      </w:tr>
      <w:tr>
        <w:trPr>
          <w:trHeight w:val="136"/>
        </w:trPr>
        <w:tc>
          <w:tcPr>
            <w:tcW w:w="900" w:type="dxa"/>
            <w:vAlign w:val="bottom"/>
          </w:tcPr>
          <w:p>
            <w:pPr>
              <w:spacing w:after="0"/>
              <w:rPr>
                <w:sz w:val="11"/>
                <w:szCs w:val="11"/>
                <w:color w:val="auto"/>
              </w:rPr>
            </w:pPr>
          </w:p>
        </w:tc>
        <w:tc>
          <w:tcPr>
            <w:tcW w:w="7000" w:type="dxa"/>
            <w:vAlign w:val="bottom"/>
            <w:tcBorders>
              <w:top w:val="single" w:sz="8" w:color="0000FF"/>
            </w:tcBorders>
            <w:gridSpan w:val="24"/>
          </w:tcPr>
          <w:p>
            <w:pPr>
              <w:spacing w:after="0" w:line="136"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with the SEC on November 7, 2024)</w:t>
              </w:r>
            </w:hyperlink>
            <w:r>
              <w:rPr>
                <w:rFonts w:ascii="Times New Roman" w:cs="Times New Roman" w:eastAsia="Times New Roman" w:hAnsi="Times New Roman"/>
                <w:sz w:val="14"/>
                <w:szCs w:val="14"/>
                <w:color w:val="0000FF"/>
              </w:rPr>
              <w:t>.</w:t>
            </w:r>
          </w:p>
        </w:tc>
        <w:tc>
          <w:tcPr>
            <w:tcW w:w="180" w:type="dxa"/>
            <w:vAlign w:val="bottom"/>
            <w:gridSpan w:val="8"/>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40" w:orient="portrait"/>
          <w:cols w:equalWidth="0" w:num="1">
            <w:col w:w="9400"/>
          </w:cols>
          <w:pgMar w:left="1060" w:top="542" w:right="1440" w:bottom="617"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color w:val="auto"/>
        </w:rPr>
        <w:t>232</w:t>
      </w:r>
    </w:p>
    <w:p>
      <w:pPr>
        <w:spacing w:after="0" w:line="219"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900" w:right="1800" w:hanging="899"/>
        <w:spacing w:after="0" w:line="222" w:lineRule="auto"/>
        <w:tabs>
          <w:tab w:leader="none" w:pos="8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10.19+</w:t>
      </w:r>
      <w:r>
        <w:rPr>
          <w:sz w:val="20"/>
          <w:szCs w:val="20"/>
          <w:color w:val="auto"/>
        </w:rPr>
        <w:tab/>
      </w:r>
      <w:hyperlink r:id="rId264">
        <w:r>
          <w:rPr>
            <w:rFonts w:ascii="Times New Roman" w:cs="Times New Roman" w:eastAsia="Times New Roman" w:hAnsi="Times New Roman"/>
            <w:sz w:val="16"/>
            <w:szCs w:val="16"/>
            <w:u w:val="single" w:color="auto"/>
            <w:color w:val="0000FF"/>
          </w:rPr>
          <w:t>Form of Indemnification Agreement (incorporated by reference to Exhibit 10.23 to the Registrant’s Annual</w:t>
        </w:r>
      </w:hyperlink>
      <w:r>
        <w:rPr>
          <w:rFonts w:ascii="Times New Roman" w:cs="Times New Roman" w:eastAsia="Times New Roman" w:hAnsi="Times New Roman"/>
          <w:sz w:val="16"/>
          <w:szCs w:val="16"/>
          <w:u w:val="single" w:color="auto"/>
          <w:color w:val="0000FF"/>
        </w:rPr>
        <w:t xml:space="preserve"> </w:t>
      </w:r>
      <w:hyperlink r:id="rId264">
        <w:r>
          <w:rPr>
            <w:rFonts w:ascii="Times New Roman" w:cs="Times New Roman" w:eastAsia="Times New Roman" w:hAnsi="Times New Roman"/>
            <w:sz w:val="16"/>
            <w:szCs w:val="16"/>
            <w:u w:val="single" w:color="auto"/>
            <w:color w:val="0000FF"/>
          </w:rPr>
          <w:t xml:space="preserve">Report on Form 10-K filed with the SEC on February 12, 2020) </w:t>
        </w:r>
      </w:hyperlink>
      <w:r>
        <w:rPr>
          <w:rFonts w:ascii="Times New Roman" w:cs="Times New Roman" w:eastAsia="Times New Roman" w:hAnsi="Times New Roman"/>
          <w:sz w:val="16"/>
          <w:szCs w:val="16"/>
          <w:u w:val="single" w:color="auto"/>
          <w:color w:val="0000FF"/>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7120" w:type="dxa"/>
            <w:vAlign w:val="bottom"/>
            <w:gridSpan w:val="36"/>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Employment Agreement of Harvey M. Schwartz, dated as of February 5, 2023 (incorporated by reference to</w:t>
              </w:r>
            </w:hyperlink>
          </w:p>
        </w:tc>
      </w:tr>
      <w:tr>
        <w:trPr>
          <w:trHeight w:val="136"/>
        </w:trPr>
        <w:tc>
          <w:tcPr>
            <w:tcW w:w="900" w:type="dxa"/>
            <w:vAlign w:val="bottom"/>
          </w:tcPr>
          <w:p>
            <w:pPr>
              <w:spacing w:after="0"/>
              <w:rPr>
                <w:sz w:val="11"/>
                <w:szCs w:val="11"/>
                <w:color w:val="auto"/>
              </w:rPr>
            </w:pPr>
          </w:p>
        </w:tc>
        <w:tc>
          <w:tcPr>
            <w:tcW w:w="6820" w:type="dxa"/>
            <w:vAlign w:val="bottom"/>
            <w:tcBorders>
              <w:top w:val="single" w:sz="8" w:color="0000FF"/>
            </w:tcBorders>
            <w:gridSpan w:val="22"/>
          </w:tcPr>
          <w:p>
            <w:pPr>
              <w:spacing w:after="0" w:line="136"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Exhibit 10.1 to the Registrant’s Quarterly Report on Form 10-Q filed with the SEC on May 4,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8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Employment Agreement of Lindsay LoBue, dated as of September 28, 2023.</w:t>
              </w:r>
            </w:hyperlink>
          </w:p>
        </w:tc>
        <w:tc>
          <w:tcPr>
            <w:tcW w:w="1500" w:type="dxa"/>
            <w:vAlign w:val="bottom"/>
            <w:tcBorders>
              <w:top w:val="single" w:sz="8" w:color="0000FF"/>
            </w:tcBorders>
            <w:gridSpan w:val="3"/>
          </w:tcPr>
          <w:p>
            <w:pPr>
              <w:spacing w:after="0"/>
              <w:rPr>
                <w:sz w:val="22"/>
                <w:szCs w:val="22"/>
                <w:color w:val="auto"/>
              </w:rPr>
            </w:pPr>
          </w:p>
        </w:tc>
        <w:tc>
          <w:tcPr>
            <w:tcW w:w="820" w:type="dxa"/>
            <w:vAlign w:val="bottom"/>
            <w:gridSpan w:val="18"/>
          </w:tcPr>
          <w:p>
            <w:pPr>
              <w:spacing w:after="0"/>
              <w:rPr>
                <w:sz w:val="22"/>
                <w:szCs w:val="22"/>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7120" w:type="dxa"/>
            <w:vAlign w:val="bottom"/>
            <w:gridSpan w:val="36"/>
          </w:tcPr>
          <w:p>
            <w:pPr>
              <w:spacing w:after="0"/>
              <w:rPr>
                <w:rFonts w:ascii="Times New Roman" w:cs="Times New Roman" w:eastAsia="Times New Roman" w:hAnsi="Times New Roman"/>
                <w:sz w:val="16"/>
                <w:szCs w:val="16"/>
                <w:color w:val="0000FF"/>
                <w:w w:val="99"/>
              </w:rPr>
            </w:pPr>
            <w:hyperlink r:id="rId266">
              <w:r>
                <w:rPr>
                  <w:rFonts w:ascii="Times New Roman" w:cs="Times New Roman" w:eastAsia="Times New Roman" w:hAnsi="Times New Roman"/>
                  <w:sz w:val="16"/>
                  <w:szCs w:val="16"/>
                  <w:color w:val="0000FF"/>
                  <w:w w:val="99"/>
                </w:rPr>
                <w:t>Operating Executive Consulting Agreement by and between Carlyle Investment Management L.L.C. and James</w:t>
              </w:r>
            </w:hyperlink>
          </w:p>
        </w:tc>
      </w:tr>
      <w:tr>
        <w:trPr>
          <w:trHeight w:val="136"/>
        </w:trPr>
        <w:tc>
          <w:tcPr>
            <w:tcW w:w="900" w:type="dxa"/>
            <w:vAlign w:val="bottom"/>
          </w:tcPr>
          <w:p>
            <w:pPr>
              <w:spacing w:after="0"/>
              <w:rPr>
                <w:sz w:val="11"/>
                <w:szCs w:val="11"/>
                <w:color w:val="auto"/>
              </w:rPr>
            </w:pPr>
          </w:p>
        </w:tc>
        <w:tc>
          <w:tcPr>
            <w:tcW w:w="7040" w:type="dxa"/>
            <w:vAlign w:val="bottom"/>
            <w:tcBorders>
              <w:top w:val="single" w:sz="8" w:color="0000FF"/>
              <w:bottom w:val="single" w:sz="8" w:color="0000FF"/>
            </w:tcBorders>
            <w:gridSpan w:val="32"/>
          </w:tcPr>
          <w:p>
            <w:pPr>
              <w:spacing w:after="0" w:line="136"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H. Hance, dated as of November 1, 2012 (incorporated by reference to Exhibit 10.1 to the Registrant’s Quarterly</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7100" w:type="dxa"/>
            <w:vAlign w:val="bottom"/>
            <w:gridSpan w:val="35"/>
          </w:tcPr>
          <w:p>
            <w:pPr>
              <w:spacing w:after="0" w:line="136"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Report on Form 10-Q filed with the SEC on November 13, 2012)</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7120" w:type="dxa"/>
            <w:vAlign w:val="bottom"/>
            <w:gridSpan w:val="36"/>
          </w:tcPr>
          <w:p>
            <w:pPr>
              <w:spacing w:after="0"/>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Form of Global Restricted Stock Unit Agreement for 2022 Time-Based Grants (incorporated by reference to</w:t>
              </w:r>
            </w:hyperlink>
          </w:p>
        </w:tc>
      </w:tr>
      <w:tr>
        <w:trPr>
          <w:trHeight w:val="136"/>
        </w:trPr>
        <w:tc>
          <w:tcPr>
            <w:tcW w:w="900" w:type="dxa"/>
            <w:vAlign w:val="bottom"/>
          </w:tcPr>
          <w:p>
            <w:pPr>
              <w:spacing w:after="0"/>
              <w:rPr>
                <w:sz w:val="11"/>
                <w:szCs w:val="11"/>
                <w:color w:val="auto"/>
              </w:rPr>
            </w:pPr>
          </w:p>
        </w:tc>
        <w:tc>
          <w:tcPr>
            <w:tcW w:w="6840" w:type="dxa"/>
            <w:vAlign w:val="bottom"/>
            <w:tcBorders>
              <w:top w:val="single" w:sz="8" w:color="0000FF"/>
            </w:tcBorders>
            <w:gridSpan w:val="23"/>
          </w:tcPr>
          <w:p>
            <w:pPr>
              <w:spacing w:after="0" w:line="136"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Exhibit 10.21 to the Registrant’s Quarterly Report on Form 10-Q filed with the SEC on April 28, 2022)</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7120" w:type="dxa"/>
            <w:vAlign w:val="bottom"/>
            <w:gridSpan w:val="36"/>
          </w:tcPr>
          <w:p>
            <w:pPr>
              <w:spacing w:after="0"/>
              <w:rPr>
                <w:rFonts w:ascii="Times New Roman" w:cs="Times New Roman" w:eastAsia="Times New Roman" w:hAnsi="Times New Roman"/>
                <w:sz w:val="16"/>
                <w:szCs w:val="16"/>
                <w:color w:val="0000FF"/>
                <w:w w:val="99"/>
              </w:rPr>
            </w:pPr>
            <w:hyperlink r:id="rId268">
              <w:r>
                <w:rPr>
                  <w:rFonts w:ascii="Times New Roman" w:cs="Times New Roman" w:eastAsia="Times New Roman" w:hAnsi="Times New Roman"/>
                  <w:sz w:val="16"/>
                  <w:szCs w:val="16"/>
                  <w:color w:val="0000FF"/>
                  <w:w w:val="99"/>
                </w:rPr>
                <w:t>Form of Global Restricted Stock Unit Agreement for Strategic Equity Time-Vesting RSUs for Other Executive</w:t>
              </w:r>
            </w:hyperlink>
          </w:p>
        </w:tc>
      </w:tr>
      <w:tr>
        <w:trPr>
          <w:trHeight w:val="136"/>
        </w:trPr>
        <w:tc>
          <w:tcPr>
            <w:tcW w:w="900" w:type="dxa"/>
            <w:vAlign w:val="bottom"/>
          </w:tcPr>
          <w:p>
            <w:pPr>
              <w:spacing w:after="0"/>
              <w:rPr>
                <w:sz w:val="11"/>
                <w:szCs w:val="11"/>
                <w:color w:val="auto"/>
              </w:rPr>
            </w:pPr>
          </w:p>
        </w:tc>
        <w:tc>
          <w:tcPr>
            <w:tcW w:w="6980" w:type="dxa"/>
            <w:vAlign w:val="bottom"/>
            <w:tcBorders>
              <w:top w:val="single" w:sz="8" w:color="0000FF"/>
            </w:tcBorders>
            <w:gridSpan w:val="29"/>
          </w:tcPr>
          <w:p>
            <w:pPr>
              <w:spacing w:after="0" w:line="136"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Officers (incorporated by reference to Exhibit 10.32 to the Registrant’s Quarterly Report on Form 10-Q filed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208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with the SEC on April 29, 2021).</w:t>
              </w:r>
            </w:hyperlink>
          </w:p>
        </w:tc>
        <w:tc>
          <w:tcPr>
            <w:tcW w:w="47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7120" w:type="dxa"/>
            <w:vAlign w:val="bottom"/>
            <w:gridSpan w:val="36"/>
          </w:tcPr>
          <w:p>
            <w:pPr>
              <w:spacing w:after="0"/>
              <w:rPr>
                <w:rFonts w:ascii="Times New Roman" w:cs="Times New Roman" w:eastAsia="Times New Roman" w:hAnsi="Times New Roman"/>
                <w:sz w:val="16"/>
                <w:szCs w:val="16"/>
                <w:color w:val="0000FF"/>
                <w:w w:val="98"/>
              </w:rPr>
            </w:pPr>
            <w:hyperlink r:id="rId269">
              <w:r>
                <w:rPr>
                  <w:rFonts w:ascii="Times New Roman" w:cs="Times New Roman" w:eastAsia="Times New Roman" w:hAnsi="Times New Roman"/>
                  <w:sz w:val="16"/>
                  <w:szCs w:val="16"/>
                  <w:color w:val="0000FF"/>
                  <w:w w:val="98"/>
                </w:rPr>
                <w:t>Form of Global Restricted Stock Unit Agreement for Strategic Equity Performance-Vesting RSUs for Executive</w:t>
              </w:r>
            </w:hyperlink>
          </w:p>
        </w:tc>
      </w:tr>
      <w:tr>
        <w:trPr>
          <w:trHeight w:val="136"/>
        </w:trPr>
        <w:tc>
          <w:tcPr>
            <w:tcW w:w="900" w:type="dxa"/>
            <w:vAlign w:val="bottom"/>
          </w:tcPr>
          <w:p>
            <w:pPr>
              <w:spacing w:after="0"/>
              <w:rPr>
                <w:sz w:val="11"/>
                <w:szCs w:val="11"/>
                <w:color w:val="auto"/>
              </w:rPr>
            </w:pPr>
          </w:p>
        </w:tc>
        <w:tc>
          <w:tcPr>
            <w:tcW w:w="7060" w:type="dxa"/>
            <w:vAlign w:val="bottom"/>
            <w:tcBorders>
              <w:top w:val="single" w:sz="8" w:color="0000FF"/>
            </w:tcBorders>
            <w:gridSpan w:val="33"/>
          </w:tcPr>
          <w:p>
            <w:pPr>
              <w:spacing w:after="0" w:line="136"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Officers (incorporated by reference to Exhibit 10.33 to the Registrant’s Quarterly Report on Form 10-Q filed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2080" w:type="dxa"/>
            <w:vAlign w:val="bottom"/>
            <w:tcBorders>
              <w:top w:val="single" w:sz="8" w:color="0000FF"/>
              <w:bottom w:val="single" w:sz="8" w:color="0000FF"/>
            </w:tcBorders>
            <w:gridSpan w:val="6"/>
          </w:tcPr>
          <w:p>
            <w:pPr>
              <w:spacing w:after="0" w:line="136"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with the SEC on April 29, 2021).</w:t>
              </w:r>
            </w:hyperlink>
          </w:p>
        </w:tc>
        <w:tc>
          <w:tcPr>
            <w:tcW w:w="47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7120" w:type="dxa"/>
            <w:vAlign w:val="bottom"/>
            <w:gridSpan w:val="36"/>
          </w:tcPr>
          <w:p>
            <w:pPr>
              <w:spacing w:after="0"/>
              <w:rPr>
                <w:rFonts w:ascii="Times New Roman" w:cs="Times New Roman" w:eastAsia="Times New Roman" w:hAnsi="Times New Roman"/>
                <w:sz w:val="16"/>
                <w:szCs w:val="16"/>
                <w:color w:val="0000FF"/>
                <w:w w:val="98"/>
              </w:rPr>
            </w:pPr>
            <w:hyperlink r:id="rId270">
              <w:r>
                <w:rPr>
                  <w:rFonts w:ascii="Times New Roman" w:cs="Times New Roman" w:eastAsia="Times New Roman" w:hAnsi="Times New Roman"/>
                  <w:sz w:val="16"/>
                  <w:szCs w:val="16"/>
                  <w:color w:val="0000FF"/>
                  <w:w w:val="98"/>
                </w:rPr>
                <w:t xml:space="preserve">The Carlyle Group Inc. Inducement Award </w:t>
              </w:r>
            </w:hyperlink>
            <w:hyperlink r:id="rId271">
              <w:r>
                <w:rPr>
                  <w:rFonts w:ascii="Times New Roman" w:cs="Times New Roman" w:eastAsia="Times New Roman" w:hAnsi="Times New Roman"/>
                  <w:sz w:val="16"/>
                  <w:szCs w:val="16"/>
                  <w:color w:val="0000FF"/>
                  <w:w w:val="98"/>
                </w:rPr>
                <w:t xml:space="preserve">– </w:t>
              </w:r>
            </w:hyperlink>
            <w:hyperlink r:id="rId272">
              <w:r>
                <w:rPr>
                  <w:rFonts w:ascii="Times New Roman" w:cs="Times New Roman" w:eastAsia="Times New Roman" w:hAnsi="Times New Roman"/>
                  <w:sz w:val="16"/>
                  <w:szCs w:val="16"/>
                  <w:color w:val="0000FF"/>
                  <w:w w:val="98"/>
                </w:rPr>
                <w:t>Form of Global Restricted Stock Unit Agreement (incorporated by</w:t>
              </w:r>
            </w:hyperlink>
          </w:p>
        </w:tc>
      </w:tr>
      <w:tr>
        <w:trPr>
          <w:trHeight w:val="136"/>
        </w:trPr>
        <w:tc>
          <w:tcPr>
            <w:tcW w:w="900" w:type="dxa"/>
            <w:vAlign w:val="bottom"/>
          </w:tcPr>
          <w:p>
            <w:pPr>
              <w:spacing w:after="0"/>
              <w:rPr>
                <w:sz w:val="11"/>
                <w:szCs w:val="11"/>
                <w:color w:val="auto"/>
              </w:rPr>
            </w:pPr>
          </w:p>
        </w:tc>
        <w:tc>
          <w:tcPr>
            <w:tcW w:w="7080" w:type="dxa"/>
            <w:vAlign w:val="bottom"/>
            <w:tcBorders>
              <w:top w:val="single" w:sz="8" w:color="0000FF"/>
            </w:tcBorders>
            <w:gridSpan w:val="34"/>
          </w:tcPr>
          <w:p>
            <w:pPr>
              <w:spacing w:after="0" w:line="136"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reference to Exhibit 4.3 to the Registrant’s Registration Statement on Form S-8 filed with the SEC on February</w:t>
              </w:r>
            </w:hyperlink>
          </w:p>
        </w:tc>
        <w:tc>
          <w:tcPr>
            <w:tcW w:w="40" w:type="dxa"/>
            <w:vAlign w:val="bottom"/>
            <w:gridSpan w:val="2"/>
          </w:tcPr>
          <w:p>
            <w:pPr>
              <w:spacing w:after="0"/>
              <w:rPr>
                <w:sz w:val="11"/>
                <w:szCs w:val="11"/>
                <w:color w:val="auto"/>
              </w:rPr>
            </w:pPr>
          </w:p>
        </w:tc>
      </w:tr>
      <w:tr>
        <w:trPr>
          <w:trHeight w:val="136"/>
        </w:trPr>
        <w:tc>
          <w:tcPr>
            <w:tcW w:w="900" w:type="dxa"/>
            <w:vAlign w:val="bottom"/>
          </w:tcPr>
          <w:p>
            <w:pPr>
              <w:spacing w:after="0"/>
              <w:rPr>
                <w:sz w:val="11"/>
                <w:szCs w:val="11"/>
                <w:color w:val="auto"/>
              </w:rPr>
            </w:pPr>
          </w:p>
        </w:tc>
        <w:tc>
          <w:tcPr>
            <w:tcW w:w="64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13, 2023)</w:t>
              </w:r>
            </w:hyperlink>
            <w:r>
              <w:rPr>
                <w:rFonts w:ascii="Times New Roman" w:cs="Times New Roman" w:eastAsia="Times New Roman" w:hAnsi="Times New Roman"/>
                <w:sz w:val="14"/>
                <w:szCs w:val="14"/>
                <w:color w:val="0000FF"/>
              </w:rPr>
              <w:t>.</w:t>
            </w:r>
          </w:p>
        </w:tc>
        <w:tc>
          <w:tcPr>
            <w:tcW w:w="62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680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8"/>
              </w:rPr>
            </w:pPr>
            <w:hyperlink r:id="rId273">
              <w:r>
                <w:rPr>
                  <w:rFonts w:ascii="Times New Roman" w:cs="Times New Roman" w:eastAsia="Times New Roman" w:hAnsi="Times New Roman"/>
                  <w:sz w:val="16"/>
                  <w:szCs w:val="16"/>
                  <w:color w:val="0000FF"/>
                  <w:w w:val="98"/>
                </w:rPr>
                <w:t>The Carlyle Group Inc. Inducement Award – Form of Performance-Based Restricted Stock Unit Agreement</w:t>
              </w:r>
            </w:hyperlink>
          </w:p>
        </w:tc>
        <w:tc>
          <w:tcPr>
            <w:tcW w:w="320" w:type="dxa"/>
            <w:vAlign w:val="bottom"/>
            <w:gridSpan w:val="15"/>
          </w:tcPr>
          <w:p>
            <w:pPr>
              <w:spacing w:after="0"/>
              <w:rPr>
                <w:sz w:val="23"/>
                <w:szCs w:val="23"/>
                <w:color w:val="auto"/>
              </w:rPr>
            </w:pPr>
          </w:p>
        </w:tc>
      </w:tr>
      <w:tr>
        <w:trPr>
          <w:trHeight w:val="136"/>
        </w:trPr>
        <w:tc>
          <w:tcPr>
            <w:tcW w:w="900" w:type="dxa"/>
            <w:vAlign w:val="bottom"/>
          </w:tcPr>
          <w:p>
            <w:pPr>
              <w:spacing w:after="0"/>
              <w:rPr>
                <w:sz w:val="11"/>
                <w:szCs w:val="11"/>
                <w:color w:val="auto"/>
              </w:rPr>
            </w:pPr>
          </w:p>
        </w:tc>
        <w:tc>
          <w:tcPr>
            <w:tcW w:w="7120" w:type="dxa"/>
            <w:vAlign w:val="bottom"/>
            <w:gridSpan w:val="36"/>
          </w:tcPr>
          <w:p>
            <w:pPr>
              <w:spacing w:after="0" w:line="136"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(incorporated by reference to Exhibit 4.4 to the Registrant’s Registration Statement on Form S-8 filed with the</w:t>
              </w:r>
            </w:hyperlink>
          </w:p>
        </w:tc>
      </w:tr>
      <w:tr>
        <w:trPr>
          <w:trHeight w:val="136"/>
        </w:trPr>
        <w:tc>
          <w:tcPr>
            <w:tcW w:w="900" w:type="dxa"/>
            <w:vAlign w:val="bottom"/>
          </w:tcPr>
          <w:p>
            <w:pPr>
              <w:spacing w:after="0"/>
              <w:rPr>
                <w:sz w:val="11"/>
                <w:szCs w:val="11"/>
                <w:color w:val="auto"/>
              </w:rPr>
            </w:pPr>
          </w:p>
        </w:tc>
        <w:tc>
          <w:tcPr>
            <w:tcW w:w="6920" w:type="dxa"/>
            <w:vAlign w:val="bottom"/>
            <w:tcBorders>
              <w:top w:val="single" w:sz="8" w:color="0000FF"/>
            </w:tcBorders>
            <w:gridSpan w:val="27"/>
          </w:tcPr>
          <w:p>
            <w:pPr>
              <w:spacing w:after="0" w:line="136" w:lineRule="exact"/>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SEC on February 13, 2023)</w:t>
              </w:r>
            </w:hyperlink>
            <w:r>
              <w:rPr>
                <w:rFonts w:ascii="Times New Roman" w:cs="Times New Roman" w:eastAsia="Times New Roman" w:hAnsi="Times New Roman"/>
                <w:sz w:val="14"/>
                <w:szCs w:val="14"/>
                <w:color w:val="0000FF"/>
              </w:rPr>
              <w:t>.</w:t>
            </w: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7120" w:type="dxa"/>
            <w:vAlign w:val="bottom"/>
            <w:gridSpan w:val="36"/>
          </w:tcPr>
          <w:p>
            <w:pPr>
              <w:spacing w:after="0"/>
              <w:rPr>
                <w:rFonts w:ascii="Times New Roman" w:cs="Times New Roman" w:eastAsia="Times New Roman" w:hAnsi="Times New Roman"/>
                <w:sz w:val="16"/>
                <w:szCs w:val="16"/>
                <w:color w:val="0000FF"/>
                <w:w w:val="99"/>
              </w:rPr>
            </w:pPr>
            <w:hyperlink r:id="rId274">
              <w:r>
                <w:rPr>
                  <w:rFonts w:ascii="Times New Roman" w:cs="Times New Roman" w:eastAsia="Times New Roman" w:hAnsi="Times New Roman"/>
                  <w:sz w:val="16"/>
                  <w:szCs w:val="16"/>
                  <w:color w:val="0000FF"/>
                  <w:w w:val="99"/>
                </w:rPr>
                <w:t>Form of Global Restricted Stock Unit Agreement for Time-Based Awards (incorporated by reference to Exhibit</w:t>
              </w:r>
            </w:hyperlink>
          </w:p>
        </w:tc>
      </w:tr>
      <w:tr>
        <w:trPr>
          <w:trHeight w:val="136"/>
        </w:trPr>
        <w:tc>
          <w:tcPr>
            <w:tcW w:w="900" w:type="dxa"/>
            <w:vAlign w:val="bottom"/>
          </w:tcPr>
          <w:p>
            <w:pPr>
              <w:spacing w:after="0"/>
              <w:rPr>
                <w:sz w:val="11"/>
                <w:szCs w:val="11"/>
                <w:color w:val="auto"/>
              </w:rPr>
            </w:pPr>
          </w:p>
        </w:tc>
        <w:tc>
          <w:tcPr>
            <w:tcW w:w="7040" w:type="dxa"/>
            <w:vAlign w:val="bottom"/>
            <w:tcBorders>
              <w:top w:val="single" w:sz="8" w:color="0000FF"/>
            </w:tcBorders>
            <w:gridSpan w:val="32"/>
          </w:tcPr>
          <w:p>
            <w:pPr>
              <w:spacing w:after="0" w:line="136"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to the Registrant’s Quarterly Report on Form 10-Q filed with the SEC on May 4, 2023)</w:t>
              </w:r>
            </w:hyperlink>
            <w:r>
              <w:rPr>
                <w:rFonts w:ascii="Times New Roman" w:cs="Times New Roman" w:eastAsia="Times New Roman" w:hAnsi="Times New Roman"/>
                <w:sz w:val="14"/>
                <w:szCs w:val="14"/>
                <w:color w:val="0000FF"/>
              </w:rPr>
              <w:t>.</w:t>
            </w:r>
          </w:p>
        </w:tc>
        <w:tc>
          <w:tcPr>
            <w:tcW w:w="80" w:type="dxa"/>
            <w:vAlign w:val="bottom"/>
            <w:gridSpan w:val="4"/>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678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7"/>
              </w:rPr>
            </w:pPr>
            <w:hyperlink r:id="rId275">
              <w:r>
                <w:rPr>
                  <w:rFonts w:ascii="Times New Roman" w:cs="Times New Roman" w:eastAsia="Times New Roman" w:hAnsi="Times New Roman"/>
                  <w:sz w:val="16"/>
                  <w:szCs w:val="16"/>
                  <w:color w:val="0000FF"/>
                  <w:w w:val="97"/>
                </w:rPr>
                <w:t>Form of Global Restricted Stock Unit Agreement for 2023 One-Time Time-Based Awards (incorporated by</w:t>
              </w:r>
            </w:hyperlink>
          </w:p>
        </w:tc>
        <w:tc>
          <w:tcPr>
            <w:tcW w:w="340" w:type="dxa"/>
            <w:vAlign w:val="bottom"/>
            <w:gridSpan w:val="16"/>
          </w:tcPr>
          <w:p>
            <w:pPr>
              <w:spacing w:after="0"/>
              <w:rPr>
                <w:sz w:val="22"/>
                <w:szCs w:val="22"/>
                <w:color w:val="auto"/>
              </w:rPr>
            </w:pPr>
          </w:p>
        </w:tc>
      </w:tr>
      <w:tr>
        <w:trPr>
          <w:trHeight w:val="136"/>
        </w:trPr>
        <w:tc>
          <w:tcPr>
            <w:tcW w:w="900" w:type="dxa"/>
            <w:vAlign w:val="bottom"/>
          </w:tcPr>
          <w:p>
            <w:pPr>
              <w:spacing w:after="0"/>
              <w:rPr>
                <w:sz w:val="11"/>
                <w:szCs w:val="11"/>
                <w:color w:val="auto"/>
              </w:rPr>
            </w:pPr>
          </w:p>
        </w:tc>
        <w:tc>
          <w:tcPr>
            <w:tcW w:w="7120" w:type="dxa"/>
            <w:vAlign w:val="bottom"/>
            <w:tcBorders>
              <w:bottom w:val="single" w:sz="8" w:color="0000FF"/>
            </w:tcBorders>
            <w:gridSpan w:val="36"/>
          </w:tcPr>
          <w:p>
            <w:pPr>
              <w:spacing w:after="0" w:line="136" w:lineRule="exact"/>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reference to Exhibit 10.5 to the Registrant’s Quarterly Report on Form 10-Q filed with the SEC on May 4, 2023).</w:t>
              </w:r>
            </w:hyperlink>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7120" w:type="dxa"/>
            <w:vAlign w:val="bottom"/>
            <w:gridSpan w:val="36"/>
          </w:tcPr>
          <w:p>
            <w:pPr>
              <w:spacing w:after="0"/>
              <w:rPr>
                <w:rFonts w:ascii="Times New Roman" w:cs="Times New Roman" w:eastAsia="Times New Roman" w:hAnsi="Times New Roman"/>
                <w:sz w:val="16"/>
                <w:szCs w:val="16"/>
                <w:color w:val="0000FF"/>
              </w:rPr>
            </w:pPr>
            <w:hyperlink r:id="rId276">
              <w:r>
                <w:rPr>
                  <w:rFonts w:ascii="Times New Roman" w:cs="Times New Roman" w:eastAsia="Times New Roman" w:hAnsi="Times New Roman"/>
                  <w:sz w:val="16"/>
                  <w:szCs w:val="16"/>
                  <w:color w:val="0000FF"/>
                </w:rPr>
                <w:t>Form of Global Restricted Stock Unit Agreement for 2024 Time-Based Awards (incorporated by reference to</w:t>
              </w:r>
            </w:hyperlink>
          </w:p>
        </w:tc>
      </w:tr>
      <w:tr>
        <w:trPr>
          <w:trHeight w:val="136"/>
        </w:trPr>
        <w:tc>
          <w:tcPr>
            <w:tcW w:w="900" w:type="dxa"/>
            <w:vAlign w:val="bottom"/>
          </w:tcPr>
          <w:p>
            <w:pPr>
              <w:spacing w:after="0"/>
              <w:rPr>
                <w:sz w:val="11"/>
                <w:szCs w:val="11"/>
                <w:color w:val="auto"/>
              </w:rPr>
            </w:pPr>
          </w:p>
        </w:tc>
        <w:tc>
          <w:tcPr>
            <w:tcW w:w="6880" w:type="dxa"/>
            <w:vAlign w:val="bottom"/>
            <w:tcBorders>
              <w:top w:val="single" w:sz="8" w:color="0000FF"/>
            </w:tcBorders>
            <w:gridSpan w:val="25"/>
          </w:tcPr>
          <w:p>
            <w:pPr>
              <w:spacing w:after="0" w:line="136" w:lineRule="exact"/>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Exhibit 10.1 to the Registrant’s Quarterly Report on Form 10-Q filed with the SEC on May 7, 2024).</w:t>
              </w:r>
            </w:hyperlink>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7120" w:type="dxa"/>
            <w:vAlign w:val="bottom"/>
            <w:gridSpan w:val="36"/>
          </w:tcPr>
          <w:p>
            <w:pPr>
              <w:spacing w:after="0"/>
              <w:rPr>
                <w:rFonts w:ascii="Times New Roman" w:cs="Times New Roman" w:eastAsia="Times New Roman" w:hAnsi="Times New Roman"/>
                <w:sz w:val="16"/>
                <w:szCs w:val="16"/>
                <w:color w:val="0000FF"/>
                <w:w w:val="98"/>
              </w:rPr>
            </w:pPr>
            <w:hyperlink r:id="rId277">
              <w:r>
                <w:rPr>
                  <w:rFonts w:ascii="Times New Roman" w:cs="Times New Roman" w:eastAsia="Times New Roman" w:hAnsi="Times New Roman"/>
                  <w:sz w:val="16"/>
                  <w:szCs w:val="16"/>
                  <w:color w:val="0000FF"/>
                  <w:w w:val="98"/>
                </w:rPr>
                <w:t>Form of Global Restricted Stock Unit Agreement for 2024 Bonus Deferral Awards (incorporated by reference to</w:t>
              </w:r>
            </w:hyperlink>
          </w:p>
        </w:tc>
      </w:tr>
      <w:tr>
        <w:trPr>
          <w:trHeight w:val="136"/>
        </w:trPr>
        <w:tc>
          <w:tcPr>
            <w:tcW w:w="900" w:type="dxa"/>
            <w:vAlign w:val="bottom"/>
          </w:tcPr>
          <w:p>
            <w:pPr>
              <w:spacing w:after="0"/>
              <w:rPr>
                <w:sz w:val="11"/>
                <w:szCs w:val="11"/>
                <w:color w:val="auto"/>
              </w:rPr>
            </w:pPr>
          </w:p>
        </w:tc>
        <w:tc>
          <w:tcPr>
            <w:tcW w:w="7100" w:type="dxa"/>
            <w:vAlign w:val="bottom"/>
            <w:tcBorders>
              <w:top w:val="single" w:sz="8" w:color="0000FF"/>
            </w:tcBorders>
            <w:gridSpan w:val="35"/>
          </w:tcPr>
          <w:p>
            <w:pPr>
              <w:spacing w:after="0" w:line="136"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Exhibit 10.2 to the Registrant’s Quarterly Report on Form 10-Q filed with the SEC on May 7, 2024).</w:t>
              </w:r>
            </w:hyperlink>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690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7"/>
              </w:rPr>
            </w:pPr>
            <w:hyperlink r:id="rId278">
              <w:r>
                <w:rPr>
                  <w:rFonts w:ascii="Times New Roman" w:cs="Times New Roman" w:eastAsia="Times New Roman" w:hAnsi="Times New Roman"/>
                  <w:sz w:val="16"/>
                  <w:szCs w:val="16"/>
                  <w:color w:val="0000FF"/>
                  <w:w w:val="97"/>
                </w:rPr>
                <w:t>Form of Global Performance-Based Restricted Stock Unit Agreement for 2024 Stock Price Appreciation PSU</w:t>
              </w:r>
            </w:hyperlink>
          </w:p>
        </w:tc>
        <w:tc>
          <w:tcPr>
            <w:tcW w:w="220" w:type="dxa"/>
            <w:vAlign w:val="bottom"/>
            <w:gridSpan w:val="10"/>
          </w:tcPr>
          <w:p>
            <w:pPr>
              <w:spacing w:after="0"/>
              <w:rPr>
                <w:sz w:val="22"/>
                <w:szCs w:val="22"/>
                <w:color w:val="auto"/>
              </w:rPr>
            </w:pPr>
          </w:p>
        </w:tc>
      </w:tr>
      <w:tr>
        <w:trPr>
          <w:trHeight w:val="136"/>
        </w:trPr>
        <w:tc>
          <w:tcPr>
            <w:tcW w:w="900" w:type="dxa"/>
            <w:vAlign w:val="bottom"/>
          </w:tcPr>
          <w:p>
            <w:pPr>
              <w:spacing w:after="0"/>
              <w:rPr>
                <w:sz w:val="11"/>
                <w:szCs w:val="11"/>
                <w:color w:val="auto"/>
              </w:rPr>
            </w:pPr>
          </w:p>
        </w:tc>
        <w:tc>
          <w:tcPr>
            <w:tcW w:w="7120" w:type="dxa"/>
            <w:vAlign w:val="bottom"/>
            <w:tcBorders>
              <w:bottom w:val="single" w:sz="8" w:color="0000FF"/>
            </w:tcBorders>
            <w:gridSpan w:val="36"/>
          </w:tcPr>
          <w:p>
            <w:pPr>
              <w:spacing w:after="0" w:line="136"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Award Program Awards (incorporated by reference to Exhibit 10.3 to the Registrant’s Quarterly Report on Form</w:t>
              </w:r>
            </w:hyperlink>
          </w:p>
        </w:tc>
      </w:tr>
      <w:tr>
        <w:trPr>
          <w:trHeight w:val="136"/>
        </w:trPr>
        <w:tc>
          <w:tcPr>
            <w:tcW w:w="900" w:type="dxa"/>
            <w:vAlign w:val="bottom"/>
          </w:tcPr>
          <w:p>
            <w:pPr>
              <w:spacing w:after="0"/>
              <w:rPr>
                <w:sz w:val="11"/>
                <w:szCs w:val="11"/>
                <w:color w:val="auto"/>
              </w:rPr>
            </w:pPr>
          </w:p>
        </w:tc>
        <w:tc>
          <w:tcPr>
            <w:tcW w:w="2640" w:type="dxa"/>
            <w:vAlign w:val="bottom"/>
            <w:tcBorders>
              <w:bottom w:val="single" w:sz="8" w:color="0000FF"/>
            </w:tcBorders>
            <w:gridSpan w:val="8"/>
          </w:tcPr>
          <w:p>
            <w:pPr>
              <w:spacing w:after="0" w:line="136" w:lineRule="exact"/>
              <w:rPr>
                <w:rFonts w:ascii="Times New Roman" w:cs="Times New Roman" w:eastAsia="Times New Roman" w:hAnsi="Times New Roman"/>
                <w:sz w:val="14"/>
                <w:szCs w:val="14"/>
                <w:color w:val="0000FF"/>
              </w:rPr>
            </w:pPr>
            <w:hyperlink r:id="rId278">
              <w:r>
                <w:rPr>
                  <w:rFonts w:ascii="Times New Roman" w:cs="Times New Roman" w:eastAsia="Times New Roman" w:hAnsi="Times New Roman"/>
                  <w:sz w:val="14"/>
                  <w:szCs w:val="14"/>
                  <w:color w:val="0000FF"/>
                </w:rPr>
                <w:t>10-Q filed with the SEC on May 7, 2024)</w:t>
              </w:r>
            </w:hyperlink>
            <w:r>
              <w:rPr>
                <w:rFonts w:ascii="Times New Roman" w:cs="Times New Roman" w:eastAsia="Times New Roman" w:hAnsi="Times New Roman"/>
                <w:sz w:val="14"/>
                <w:szCs w:val="14"/>
                <w:color w:val="0000FF"/>
              </w:rPr>
              <w:t>.</w:t>
            </w:r>
          </w:p>
        </w:tc>
        <w:tc>
          <w:tcPr>
            <w:tcW w:w="4480" w:type="dxa"/>
            <w:vAlign w:val="bottom"/>
            <w:gridSpan w:val="28"/>
          </w:tcPr>
          <w:p>
            <w:pPr>
              <w:spacing w:after="0"/>
              <w:rPr>
                <w:sz w:val="11"/>
                <w:szCs w:val="1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7120" w:type="dxa"/>
            <w:vAlign w:val="bottom"/>
            <w:gridSpan w:val="36"/>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Form of Global Restricted Stock Unit Agreement for Time-Based Awards to Non-Employee Directors</w:t>
              </w:r>
            </w:hyperlink>
          </w:p>
        </w:tc>
      </w:tr>
      <w:tr>
        <w:trPr>
          <w:trHeight w:val="136"/>
        </w:trPr>
        <w:tc>
          <w:tcPr>
            <w:tcW w:w="900" w:type="dxa"/>
            <w:vAlign w:val="bottom"/>
          </w:tcPr>
          <w:p>
            <w:pPr>
              <w:spacing w:after="0"/>
              <w:rPr>
                <w:sz w:val="11"/>
                <w:szCs w:val="11"/>
                <w:color w:val="auto"/>
              </w:rPr>
            </w:pPr>
          </w:p>
        </w:tc>
        <w:tc>
          <w:tcPr>
            <w:tcW w:w="6500" w:type="dxa"/>
            <w:vAlign w:val="bottom"/>
            <w:tcBorders>
              <w:top w:val="single" w:sz="8" w:color="0000FF"/>
            </w:tcBorders>
            <w:gridSpan w:val="19"/>
          </w:tcPr>
          <w:p>
            <w:pPr>
              <w:spacing w:after="0" w:line="136"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(incorporated by reference to Exhibit 10.2 to the Registrant’s Quarterly Report on Form 10-Q filed with</w:t>
              </w:r>
            </w:hyperlink>
          </w:p>
        </w:tc>
        <w:tc>
          <w:tcPr>
            <w:tcW w:w="620" w:type="dxa"/>
            <w:vAlign w:val="bottom"/>
            <w:gridSpan w:val="17"/>
          </w:tcPr>
          <w:p>
            <w:pPr>
              <w:ind w:left="20"/>
              <w:spacing w:after="0" w:line="136"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the SEC</w:t>
              </w:r>
            </w:hyperlink>
          </w:p>
        </w:tc>
      </w:tr>
      <w:tr>
        <w:trPr>
          <w:trHeight w:val="136"/>
        </w:trPr>
        <w:tc>
          <w:tcPr>
            <w:tcW w:w="900" w:type="dxa"/>
            <w:vAlign w:val="bottom"/>
          </w:tcPr>
          <w:p>
            <w:pPr>
              <w:spacing w:after="0"/>
              <w:rPr>
                <w:sz w:val="11"/>
                <w:szCs w:val="11"/>
                <w:color w:val="auto"/>
              </w:rPr>
            </w:pPr>
          </w:p>
        </w:tc>
        <w:tc>
          <w:tcPr>
            <w:tcW w:w="1260" w:type="dxa"/>
            <w:vAlign w:val="bottom"/>
            <w:tcBorders>
              <w:top w:val="single" w:sz="8" w:color="0000FF"/>
              <w:bottom w:val="single" w:sz="8" w:color="0000FF"/>
            </w:tcBorders>
            <w:gridSpan w:val="2"/>
          </w:tcPr>
          <w:p>
            <w:pPr>
              <w:spacing w:after="0" w:line="136"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on August 6, 2024).</w:t>
              </w:r>
            </w:hyperlink>
          </w:p>
        </w:tc>
        <w:tc>
          <w:tcPr>
            <w:tcW w:w="584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7120" w:type="dxa"/>
            <w:vAlign w:val="bottom"/>
            <w:gridSpan w:val="36"/>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Form of Outside Director Deferral and Stock Election Form.</w:t>
              </w:r>
            </w:hyperlink>
          </w:p>
        </w:tc>
      </w:tr>
      <w:tr>
        <w:trPr>
          <w:trHeight w:val="20"/>
        </w:trPr>
        <w:tc>
          <w:tcPr>
            <w:tcW w:w="90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7120" w:type="dxa"/>
            <w:vAlign w:val="bottom"/>
            <w:gridSpan w:val="36"/>
          </w:tcPr>
          <w:p>
            <w:pPr>
              <w:spacing w:after="0"/>
              <w:rPr>
                <w:rFonts w:ascii="Times New Roman" w:cs="Times New Roman" w:eastAsia="Times New Roman" w:hAnsi="Times New Roman"/>
                <w:sz w:val="16"/>
                <w:szCs w:val="16"/>
                <w:color w:val="0000FF"/>
                <w:w w:val="99"/>
              </w:rPr>
            </w:pPr>
            <w:hyperlink r:id="rId280">
              <w:r>
                <w:rPr>
                  <w:rFonts w:ascii="Times New Roman" w:cs="Times New Roman" w:eastAsia="Times New Roman" w:hAnsi="Times New Roman"/>
                  <w:sz w:val="16"/>
                  <w:szCs w:val="16"/>
                  <w:color w:val="0000FF"/>
                  <w:w w:val="99"/>
                </w:rPr>
                <w:t>Form of Restrictive Covenant Letter for Certain Executive Officers (incorporated by reference to Exhibit 10.32</w:t>
              </w:r>
            </w:hyperlink>
          </w:p>
        </w:tc>
      </w:tr>
      <w:tr>
        <w:trPr>
          <w:trHeight w:val="136"/>
        </w:trPr>
        <w:tc>
          <w:tcPr>
            <w:tcW w:w="900" w:type="dxa"/>
            <w:vAlign w:val="bottom"/>
          </w:tcPr>
          <w:p>
            <w:pPr>
              <w:spacing w:after="0"/>
              <w:rPr>
                <w:sz w:val="11"/>
                <w:szCs w:val="11"/>
                <w:color w:val="auto"/>
              </w:rPr>
            </w:pPr>
          </w:p>
        </w:tc>
        <w:tc>
          <w:tcPr>
            <w:tcW w:w="7000" w:type="dxa"/>
            <w:vAlign w:val="bottom"/>
            <w:tcBorders>
              <w:top w:val="single" w:sz="8" w:color="0000FF"/>
            </w:tcBorders>
            <w:gridSpan w:val="30"/>
          </w:tcPr>
          <w:p>
            <w:pPr>
              <w:spacing w:after="0" w:line="136"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to the Registrant’s Annual Report on Form 10-K filed with the SEC on February 22, 2024)</w:t>
              </w:r>
            </w:hyperlink>
            <w:r>
              <w:rPr>
                <w:rFonts w:ascii="Times New Roman" w:cs="Times New Roman" w:eastAsia="Times New Roman" w:hAnsi="Times New Roman"/>
                <w:sz w:val="14"/>
                <w:szCs w:val="14"/>
                <w:color w:val="0000FF"/>
              </w:rPr>
              <w:t>.</w:t>
            </w: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29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The Carlyle Group Inc. Insider Trading Policy.</w:t>
              </w:r>
            </w:hyperlink>
          </w:p>
        </w:tc>
        <w:tc>
          <w:tcPr>
            <w:tcW w:w="2760" w:type="dxa"/>
            <w:vAlign w:val="bottom"/>
            <w:tcBorders>
              <w:top w:val="single" w:sz="8" w:color="0000FF"/>
            </w:tcBorders>
            <w:gridSpan w:val="7"/>
          </w:tcPr>
          <w:p>
            <w:pPr>
              <w:spacing w:after="0"/>
              <w:rPr>
                <w:sz w:val="22"/>
                <w:szCs w:val="22"/>
                <w:color w:val="auto"/>
              </w:rPr>
            </w:pPr>
          </w:p>
        </w:tc>
        <w:tc>
          <w:tcPr>
            <w:tcW w:w="1420" w:type="dxa"/>
            <w:vAlign w:val="bottom"/>
            <w:gridSpan w:val="20"/>
          </w:tcPr>
          <w:p>
            <w:pPr>
              <w:spacing w:after="0"/>
              <w:rPr>
                <w:sz w:val="22"/>
                <w:szCs w:val="22"/>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7120" w:type="dxa"/>
            <w:vAlign w:val="bottom"/>
            <w:gridSpan w:val="36"/>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Subsidiaries of the Registrant.</w:t>
              </w:r>
            </w:hyperlink>
          </w:p>
        </w:tc>
      </w:tr>
      <w:tr>
        <w:trPr>
          <w:trHeight w:val="20"/>
        </w:trPr>
        <w:tc>
          <w:tcPr>
            <w:tcW w:w="90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35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Senior and Subordinated Notes, Issuers, and Guarantors.</w:t>
              </w:r>
            </w:hyperlink>
          </w:p>
        </w:tc>
        <w:tc>
          <w:tcPr>
            <w:tcW w:w="3580" w:type="dxa"/>
            <w:vAlign w:val="bottom"/>
            <w:gridSpan w:val="26"/>
          </w:tcPr>
          <w:p>
            <w:pPr>
              <w:spacing w:after="0"/>
              <w:rPr>
                <w:sz w:val="24"/>
                <w:szCs w:val="24"/>
                <w:color w:val="auto"/>
              </w:rPr>
            </w:pP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20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Consent of Ernst &amp; Young LLP.</w:t>
              </w:r>
            </w:hyperlink>
          </w:p>
        </w:tc>
        <w:tc>
          <w:tcPr>
            <w:tcW w:w="5080" w:type="dxa"/>
            <w:vAlign w:val="bottom"/>
            <w:gridSpan w:val="31"/>
          </w:tcPr>
          <w:p>
            <w:pPr>
              <w:spacing w:after="0"/>
              <w:rPr>
                <w:sz w:val="22"/>
                <w:szCs w:val="22"/>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120" w:type="dxa"/>
            <w:vAlign w:val="bottom"/>
            <w:gridSpan w:val="36"/>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the Chief Executive Officer pursuant to Rule 13a – 14(a)</w:t>
              </w:r>
            </w:hyperlink>
            <w:r>
              <w:rPr>
                <w:rFonts w:ascii="Times New Roman" w:cs="Times New Roman" w:eastAsia="Times New Roman" w:hAnsi="Times New Roman"/>
                <w:sz w:val="16"/>
                <w:szCs w:val="16"/>
                <w:color w:val="0000FF"/>
              </w:rPr>
              <w:t>.</w:t>
            </w: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580" w:type="dxa"/>
            <w:vAlign w:val="bottom"/>
            <w:tcBorders>
              <w:top w:val="single" w:sz="8" w:color="0000FF"/>
            </w:tcBorders>
            <w:gridSpan w:val="1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the Chief Financial Officer pursuant to Rule 13a – 14(a)</w:t>
              </w:r>
            </w:hyperlink>
            <w:r>
              <w:rPr>
                <w:rFonts w:ascii="Times New Roman" w:cs="Times New Roman" w:eastAsia="Times New Roman" w:hAnsi="Times New Roman"/>
                <w:sz w:val="16"/>
                <w:szCs w:val="16"/>
                <w:color w:val="0000FF"/>
                <w:w w:val="97"/>
              </w:rPr>
              <w:t>.</w:t>
            </w:r>
          </w:p>
        </w:tc>
        <w:tc>
          <w:tcPr>
            <w:tcW w:w="2540" w:type="dxa"/>
            <w:vAlign w:val="bottom"/>
            <w:gridSpan w:val="22"/>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500" w:type="dxa"/>
            <w:vAlign w:val="bottom"/>
            <w:gridSpan w:val="7"/>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2420" w:type="dxa"/>
            <w:vAlign w:val="bottom"/>
            <w:gridSpan w:val="1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7120" w:type="dxa"/>
            <w:vAlign w:val="bottom"/>
            <w:gridSpan w:val="36"/>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Certification of the Chief Executive Officer pursuant to 18 U.S.C. Section 1350, as adopted pursuant to Section</w:t>
              </w:r>
            </w:hyperlink>
          </w:p>
        </w:tc>
      </w:tr>
      <w:tr>
        <w:trPr>
          <w:trHeight w:val="136"/>
        </w:trPr>
        <w:tc>
          <w:tcPr>
            <w:tcW w:w="900" w:type="dxa"/>
            <w:vAlign w:val="bottom"/>
          </w:tcPr>
          <w:p>
            <w:pPr>
              <w:spacing w:after="0"/>
              <w:rPr>
                <w:sz w:val="11"/>
                <w:szCs w:val="11"/>
                <w:color w:val="auto"/>
              </w:rPr>
            </w:pPr>
          </w:p>
        </w:tc>
        <w:tc>
          <w:tcPr>
            <w:tcW w:w="2500" w:type="dxa"/>
            <w:vAlign w:val="bottom"/>
            <w:tcBorders>
              <w:top w:val="single" w:sz="8" w:color="0000FF"/>
              <w:bottom w:val="single" w:sz="8" w:color="0000FF"/>
            </w:tcBorders>
            <w:gridSpan w:val="7"/>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906 of the Sarbanes-Oxley Act of 2002.</w:t>
              </w:r>
            </w:hyperlink>
          </w:p>
        </w:tc>
        <w:tc>
          <w:tcPr>
            <w:tcW w:w="4520" w:type="dxa"/>
            <w:vAlign w:val="bottom"/>
            <w:tcBorders>
              <w:top w:val="single" w:sz="8" w:color="0000FF"/>
            </w:tcBorders>
            <w:gridSpan w:val="2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8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7120" w:type="dxa"/>
            <w:vAlign w:val="bottom"/>
            <w:gridSpan w:val="36"/>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the Chief Financial Officer pursuant to 18 U.S.C. Section 1350, as adopted pursuant to Section</w:t>
              </w:r>
            </w:hyperlink>
          </w:p>
        </w:tc>
      </w:tr>
      <w:tr>
        <w:trPr>
          <w:trHeight w:val="136"/>
        </w:trPr>
        <w:tc>
          <w:tcPr>
            <w:tcW w:w="900" w:type="dxa"/>
            <w:vAlign w:val="bottom"/>
          </w:tcPr>
          <w:p>
            <w:pPr>
              <w:spacing w:after="0"/>
              <w:rPr>
                <w:sz w:val="11"/>
                <w:szCs w:val="11"/>
                <w:color w:val="auto"/>
              </w:rPr>
            </w:pPr>
          </w:p>
        </w:tc>
        <w:tc>
          <w:tcPr>
            <w:tcW w:w="2500" w:type="dxa"/>
            <w:vAlign w:val="bottom"/>
            <w:tcBorders>
              <w:top w:val="single" w:sz="8" w:color="0000FF"/>
              <w:bottom w:val="single" w:sz="8" w:color="0000FF"/>
            </w:tcBorders>
            <w:gridSpan w:val="7"/>
          </w:tcPr>
          <w:p>
            <w:pPr>
              <w:spacing w:after="0" w:line="13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906 of the Sarbanes-Oxley Act of 2002.</w:t>
              </w:r>
            </w:hyperlink>
          </w:p>
        </w:tc>
        <w:tc>
          <w:tcPr>
            <w:tcW w:w="4460" w:type="dxa"/>
            <w:vAlign w:val="bottom"/>
            <w:tcBorders>
              <w:top w:val="single" w:sz="8" w:color="0000FF"/>
            </w:tcBorders>
            <w:gridSpan w:val="21"/>
          </w:tcPr>
          <w:p>
            <w:pPr>
              <w:spacing w:after="0"/>
              <w:rPr>
                <w:sz w:val="11"/>
                <w:szCs w:val="11"/>
                <w:color w:val="auto"/>
              </w:rPr>
            </w:pPr>
          </w:p>
        </w:tc>
        <w:tc>
          <w:tcPr>
            <w:tcW w:w="160" w:type="dxa"/>
            <w:vAlign w:val="bottom"/>
            <w:gridSpan w:val="8"/>
          </w:tcPr>
          <w:p>
            <w:pPr>
              <w:spacing w:after="0"/>
              <w:rPr>
                <w:sz w:val="11"/>
                <w:szCs w:val="11"/>
                <w:color w:val="auto"/>
              </w:rPr>
            </w:pPr>
          </w:p>
        </w:tc>
      </w:tr>
    </w:tbl>
    <w:p>
      <w:pPr>
        <w:spacing w:after="0" w:line="119" w:lineRule="exact"/>
        <w:rPr>
          <w:sz w:val="20"/>
          <w:szCs w:val="20"/>
          <w:color w:val="auto"/>
        </w:rPr>
      </w:pPr>
    </w:p>
    <w:p>
      <w:pPr>
        <w:ind w:left="900" w:right="1720" w:hanging="898"/>
        <w:spacing w:after="0" w:line="295" w:lineRule="auto"/>
        <w:tabs>
          <w:tab w:leader="none" w:pos="900" w:val="left"/>
        </w:tabs>
        <w:numPr>
          <w:ilvl w:val="0"/>
          <w:numId w:val="29"/>
        </w:numPr>
        <w:rPr>
          <w:rFonts w:ascii="Times New Roman" w:cs="Times New Roman" w:eastAsia="Times New Roman" w:hAnsi="Times New Roman"/>
          <w:sz w:val="14"/>
          <w:szCs w:val="14"/>
          <w:u w:val="single" w:color="auto"/>
          <w:color w:val="0000FF"/>
        </w:rPr>
      </w:pPr>
      <w:hyperlink r:id="rId281">
        <w:r>
          <w:rPr>
            <w:rFonts w:ascii="Times New Roman" w:cs="Times New Roman" w:eastAsia="Times New Roman" w:hAnsi="Times New Roman"/>
            <w:sz w:val="14"/>
            <w:szCs w:val="14"/>
            <w:u w:val="single" w:color="auto"/>
            <w:color w:val="0000FF"/>
          </w:rPr>
          <w:t>The Carlyle Group Inc. Dodd-Frank Incentive Compensation Clawback Policy (incorporated by reference to</w:t>
        </w:r>
      </w:hyperlink>
      <w:r>
        <w:rPr>
          <w:rFonts w:ascii="Times New Roman" w:cs="Times New Roman" w:eastAsia="Times New Roman" w:hAnsi="Times New Roman"/>
          <w:sz w:val="14"/>
          <w:szCs w:val="14"/>
          <w:u w:val="single" w:color="auto"/>
          <w:color w:val="0000FF"/>
        </w:rPr>
        <w:t xml:space="preserve"> </w:t>
      </w:r>
      <w:hyperlink r:id="rId281">
        <w:r>
          <w:rPr>
            <w:rFonts w:ascii="Times New Roman" w:cs="Times New Roman" w:eastAsia="Times New Roman" w:hAnsi="Times New Roman"/>
            <w:sz w:val="14"/>
            <w:szCs w:val="14"/>
            <w:u w:val="single" w:color="auto"/>
            <w:color w:val="0000FF"/>
          </w:rPr>
          <w:t>Exhibit 97 to the Registrant’s Annual Report on Form 10-K filed with the SEC on February 22, 2024)</w:t>
        </w:r>
      </w:hyperlink>
      <w:r>
        <w:rPr>
          <w:rFonts w:ascii="Times New Roman" w:cs="Times New Roman" w:eastAsia="Times New Roman" w:hAnsi="Times New Roman"/>
          <w:sz w:val="14"/>
          <w:szCs w:val="14"/>
          <w:u w:val="single" w:color="auto"/>
          <w:color w:val="0000FF"/>
        </w:rPr>
        <w: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233</w:t>
      </w:r>
    </w:p>
    <w:p>
      <w:pPr>
        <w:spacing w:after="0"/>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sectPr>
          <w:pgSz w:w="11900" w:h="16840" w:orient="portrait"/>
          <w:cols w:equalWidth="0" w:num="1">
            <w:col w:w="9400"/>
          </w:cols>
          <w:pgMar w:left="1060" w:top="1171" w:right="1440" w:bottom="1440" w:gutter="0" w:footer="0" w:header="0"/>
        </w:sectPr>
      </w:pPr>
    </w:p>
    <w:bookmarkStart w:id="190" w:name="page191"/>
    <w:bookmarkEnd w:id="190"/>
    <w:tbl>
      <w:tblPr>
        <w:tblLayout w:type="fixed"/>
        <w:tblInd w:w="1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its</w:t>
            </w:r>
          </w:p>
        </w:tc>
      </w:tr>
      <w:tr>
        <w:trPr>
          <w:trHeight w:val="203"/>
        </w:trPr>
        <w:tc>
          <w:tcPr>
            <w:tcW w:w="760" w:type="dxa"/>
            <w:vAlign w:val="bottom"/>
          </w:tcPr>
          <w:p>
            <w:pPr>
              <w:spacing w:after="0"/>
              <w:rPr>
                <w:sz w:val="17"/>
                <w:szCs w:val="17"/>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tc>
      </w:tr>
      <w:tr>
        <w:trPr>
          <w:trHeight w:val="32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49" w:lineRule="exact"/>
        <w:rPr>
          <w:sz w:val="20"/>
          <w:szCs w:val="20"/>
          <w:color w:val="auto"/>
        </w:rPr>
      </w:pPr>
    </w:p>
    <w:p>
      <w:pPr>
        <w:ind w:left="930" w:right="1460" w:hanging="918"/>
        <w:spacing w:after="0" w:line="234" w:lineRule="auto"/>
        <w:tabs>
          <w:tab w:leader="none" w:pos="93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Carlyle Group Inc.’s Annual Report on Form 10-K for the fiscal year ended December 31, 2024, formatted in Inline XBRL (included within the Exhibit 101 attachments).</w:t>
      </w:r>
    </w:p>
    <w:p>
      <w:pPr>
        <w:spacing w:after="0" w:line="15" w:lineRule="exact"/>
        <w:rPr>
          <w:rFonts w:ascii="Times New Roman" w:cs="Times New Roman" w:eastAsia="Times New Roman" w:hAnsi="Times New Roman"/>
          <w:sz w:val="16"/>
          <w:szCs w:val="16"/>
          <w:color w:val="auto"/>
        </w:rPr>
      </w:pPr>
    </w:p>
    <w:p>
      <w:pPr>
        <w:ind w:left="1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Filed herewith.</w:t>
      </w:r>
    </w:p>
    <w:p>
      <w:pPr>
        <w:ind w:left="570" w:hanging="570"/>
        <w:spacing w:after="0" w:line="203" w:lineRule="auto"/>
        <w:tabs>
          <w:tab w:leader="none" w:pos="57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ind w:left="10" w:right="1460" w:hanging="10"/>
        <w:spacing w:after="0" w:line="203" w:lineRule="auto"/>
        <w:tabs>
          <w:tab w:leader="none" w:pos="57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 in which directors and/or executive officers are eligible to participate.</w:t>
      </w:r>
    </w:p>
    <w:p>
      <w:pPr>
        <w:ind w:left="1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agreements and other documents filed as exhibits to this report are not intended to provide factual information or</w:t>
      </w:r>
    </w:p>
    <w:p>
      <w:pPr>
        <w:ind w:left="10" w:right="1500"/>
        <w:spacing w:after="0" w:line="20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 w:lineRule="exact"/>
        <w:rPr>
          <w:rFonts w:ascii="Times New Roman" w:cs="Times New Roman" w:eastAsia="Times New Roman" w:hAnsi="Times New Roman"/>
          <w:sz w:val="16"/>
          <w:szCs w:val="16"/>
          <w:color w:val="auto"/>
        </w:rPr>
      </w:pPr>
    </w:p>
    <w:p>
      <w:pPr>
        <w:ind w:left="10" w:right="6560"/>
        <w:spacing w:after="0" w:line="22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ITEM 16. FORM 10-K SUMMARY </w:t>
      </w: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234</w:t>
      </w:r>
    </w:p>
    <w:p>
      <w:pPr>
        <w:ind w:left="10"/>
        <w:spacing w:after="0" w:line="203" w:lineRule="auto"/>
        <w:rPr>
          <w:rFonts w:ascii="Times New Roman" w:cs="Times New Roman" w:eastAsia="Times New Roman" w:hAnsi="Times New Roman"/>
          <w:sz w:val="16"/>
          <w:szCs w:val="16"/>
          <w:u w:val="single" w:color="auto"/>
          <w:color w:val="0000FF"/>
        </w:rPr>
      </w:pPr>
      <w:hyperlink w:anchor="page1">
        <w:r>
          <w:rPr>
            <w:rFonts w:ascii="Times New Roman" w:cs="Times New Roman" w:eastAsia="Times New Roman" w:hAnsi="Times New Roman"/>
            <w:sz w:val="16"/>
            <w:szCs w:val="16"/>
            <w:u w:val="single" w:color="auto"/>
            <w:color w:val="0000FF"/>
          </w:rPr>
          <w:t>Table of Contents</w:t>
        </w:r>
      </w:hyperlink>
    </w:p>
    <w:p>
      <w:pPr>
        <w:ind w:left="10"/>
        <w:spacing w:after="0" w:line="204" w:lineRule="auto"/>
        <w:rPr>
          <w:sz w:val="20"/>
          <w:szCs w:val="20"/>
          <w:color w:val="auto"/>
        </w:rPr>
      </w:pPr>
      <w:r>
        <w:rPr>
          <w:rFonts w:ascii="Times New Roman" w:cs="Times New Roman" w:eastAsia="Times New Roman" w:hAnsi="Times New Roman"/>
          <w:sz w:val="16"/>
          <w:szCs w:val="16"/>
          <w:b w:val="1"/>
          <w:bCs w:val="1"/>
          <w:color w:val="auto"/>
        </w:rPr>
        <w:t>SIGNATURES</w:t>
      </w:r>
    </w:p>
    <w:p>
      <w:pPr>
        <w:ind w:left="10" w:right="1480"/>
        <w:spacing w:after="0"/>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Date: February 27, 2025</w:t>
      </w:r>
    </w:p>
    <w:p>
      <w:pPr>
        <w:spacing w:after="0" w:line="2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The Carlyle Group Inc.</w:t>
      </w:r>
    </w:p>
    <w:p>
      <w:pPr>
        <w:spacing w:after="0" w:line="262" w:lineRule="exact"/>
        <w:rPr>
          <w:sz w:val="20"/>
          <w:szCs w:val="20"/>
          <w:color w:val="auto"/>
        </w:rPr>
      </w:pPr>
    </w:p>
    <w:p>
      <w:pPr>
        <w:ind w:left="10"/>
        <w:spacing w:after="0"/>
        <w:tabs>
          <w:tab w:leader="none" w:pos="949"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John C. Redett</w:t>
      </w:r>
    </w:p>
    <w:p>
      <w:pPr>
        <w:spacing w:after="0" w:line="56"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6"/>
          <w:szCs w:val="16"/>
          <w:color w:val="auto"/>
        </w:rPr>
        <w:t>Name: John C. Redett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-115570</wp:posOffset>
            </wp:positionV>
            <wp:extent cx="193611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1936115" cy="7620"/>
                    </a:xfrm>
                    <a:prstGeom prst="rect">
                      <a:avLst/>
                    </a:prstGeom>
                    <a:noFill/>
                  </pic:spPr>
                </pic:pic>
              </a:graphicData>
            </a:graphic>
          </wp:anchor>
        </w:drawing>
      </w:r>
    </w:p>
    <w:p>
      <w:pPr>
        <w:spacing w:after="0" w:line="12"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6"/>
          <w:szCs w:val="16"/>
          <w:color w:val="auto"/>
        </w:rPr>
        <w:t>Title: Chief Financial Officer</w:t>
      </w:r>
    </w:p>
    <w:p>
      <w:pPr>
        <w:sectPr>
          <w:pgSz w:w="11900" w:h="16840" w:orient="portrait"/>
          <w:cols w:equalWidth="0" w:num="1">
            <w:col w:w="9410"/>
          </w:cols>
          <w:pgMar w:left="1050" w:top="590"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84"/>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3620" w:type="dxa"/>
            <w:vAlign w:val="bottom"/>
            <w:gridSpan w:val="14"/>
          </w:tcPr>
          <w:p>
            <w:pPr>
              <w:spacing w:after="0"/>
              <w:rPr>
                <w:sz w:val="16"/>
                <w:szCs w:val="16"/>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3"/>
              </w:rPr>
              <w:t>Title</w:t>
            </w:r>
          </w:p>
        </w:tc>
        <w:tc>
          <w:tcPr>
            <w:tcW w:w="2600" w:type="dxa"/>
            <w:vAlign w:val="bottom"/>
          </w:tcPr>
          <w:p>
            <w:pPr>
              <w:spacing w:after="0"/>
              <w:rPr>
                <w:sz w:val="16"/>
                <w:szCs w:val="16"/>
                <w:color w:val="auto"/>
              </w:rPr>
            </w:pPr>
          </w:p>
        </w:tc>
      </w:tr>
      <w:tr>
        <w:trPr>
          <w:trHeight w:val="196"/>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Harvey M. Schwartz</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97"/>
        </w:trPr>
        <w:tc>
          <w:tcPr>
            <w:tcW w:w="148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Harvey M. Schwartz</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John C. Redett</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7"/>
        </w:trPr>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John C. Redett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William E. Conway, Jr</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Co-Founder, Co-Chairman, and Director</w:t>
            </w:r>
          </w:p>
        </w:tc>
      </w:tr>
      <w:tr>
        <w:trPr>
          <w:trHeight w:val="197"/>
        </w:trPr>
        <w:tc>
          <w:tcPr>
            <w:tcW w:w="162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6"/>
                <w:szCs w:val="16"/>
                <w:b w:val="1"/>
                <w:bCs w:val="1"/>
                <w:color w:val="auto"/>
                <w:w w:val="99"/>
              </w:rPr>
              <w:t>William E. Conway, Jr.</w:t>
            </w:r>
          </w:p>
        </w:tc>
        <w:tc>
          <w:tcPr>
            <w:tcW w:w="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David M. Rubenstein</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Co-Founder, Co-Chairman, and Director</w:t>
            </w:r>
          </w:p>
        </w:tc>
      </w:tr>
      <w:tr>
        <w:trPr>
          <w:trHeight w:val="197"/>
        </w:trPr>
        <w:tc>
          <w:tcPr>
            <w:tcW w:w="152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6"/>
                <w:szCs w:val="16"/>
                <w:b w:val="1"/>
                <w:bCs w:val="1"/>
                <w:color w:val="auto"/>
              </w:rPr>
              <w:t>David M. Rubenstein</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Daniel A. D’Aniello</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Co-Founder, Chairman Emeritus, and Director</w:t>
            </w:r>
          </w:p>
        </w:tc>
      </w:tr>
      <w:tr>
        <w:trPr>
          <w:trHeight w:val="197"/>
        </w:trPr>
        <w:tc>
          <w:tcPr>
            <w:tcW w:w="14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Daniel A. D’Aniello</w:t>
            </w:r>
          </w:p>
        </w:tc>
        <w:tc>
          <w:tcPr>
            <w:tcW w:w="120" w:type="dxa"/>
            <w:vAlign w:val="bottom"/>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5"/>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Afsaneh M. Beschloss</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5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Afsaneh M. Beschloss</w:t>
            </w:r>
          </w:p>
        </w:tc>
        <w:tc>
          <w:tcPr>
            <w:tcW w:w="10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5"/>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Sharda Cherwoo</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2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Sharda Cherwoo</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6"/>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5"/>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Linda H. Filler</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Linda H. Filler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6"/>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3"/>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Lawton W. Fitt</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1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Lawton W. Fitt</w:t>
            </w: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6"/>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James H. Hance, Jr.</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4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James H. Hance, Jr.</w:t>
            </w:r>
          </w:p>
        </w:tc>
        <w:tc>
          <w:tcPr>
            <w:tcW w:w="240" w:type="dxa"/>
            <w:vAlign w:val="bottom"/>
            <w:gridSpan w:val="6"/>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Mark S. Ordan</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1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Mark S. Ordan</w:t>
            </w:r>
          </w:p>
        </w:tc>
        <w:tc>
          <w:tcPr>
            <w:tcW w:w="40" w:type="dxa"/>
            <w:vAlign w:val="bottom"/>
            <w:gridSpan w:val="2"/>
          </w:tcPr>
          <w:p>
            <w:pPr>
              <w:spacing w:after="0"/>
              <w:rPr>
                <w:sz w:val="16"/>
                <w:szCs w:val="16"/>
                <w:color w:val="auto"/>
              </w:rPr>
            </w:pPr>
          </w:p>
        </w:tc>
        <w:tc>
          <w:tcPr>
            <w:tcW w:w="100" w:type="dxa"/>
            <w:vAlign w:val="bottom"/>
            <w:gridSpan w:val="2"/>
          </w:tcPr>
          <w:p>
            <w:pPr>
              <w:spacing w:after="0"/>
              <w:rPr>
                <w:sz w:val="16"/>
                <w:szCs w:val="16"/>
                <w:color w:val="auto"/>
              </w:rPr>
            </w:pPr>
          </w:p>
        </w:tc>
        <w:tc>
          <w:tcPr>
            <w:tcW w:w="420" w:type="dxa"/>
            <w:vAlign w:val="bottom"/>
            <w:gridSpan w:val="7"/>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169"/>
        </w:trPr>
        <w:tc>
          <w:tcPr>
            <w:tcW w:w="4280" w:type="dxa"/>
            <w:vAlign w:val="bottom"/>
            <w:gridSpan w:val="15"/>
          </w:tcPr>
          <w:p>
            <w:pPr>
              <w:spacing w:after="0" w:line="169" w:lineRule="exact"/>
              <w:rPr>
                <w:sz w:val="20"/>
                <w:szCs w:val="20"/>
                <w:color w:val="auto"/>
              </w:rPr>
            </w:pPr>
            <w:r>
              <w:rPr>
                <w:rFonts w:ascii="Times New Roman" w:cs="Times New Roman" w:eastAsia="Times New Roman" w:hAnsi="Times New Roman"/>
                <w:sz w:val="16"/>
                <w:szCs w:val="16"/>
                <w:color w:val="auto"/>
              </w:rPr>
              <w:t>/s/ Derica W. Rice</w:t>
            </w:r>
          </w:p>
        </w:tc>
        <w:tc>
          <w:tcPr>
            <w:tcW w:w="29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1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Derica W. Rice</w:t>
            </w:r>
          </w:p>
        </w:tc>
        <w:tc>
          <w:tcPr>
            <w:tcW w:w="100" w:type="dxa"/>
            <w:vAlign w:val="bottom"/>
            <w:gridSpan w:val="2"/>
          </w:tcPr>
          <w:p>
            <w:pPr>
              <w:spacing w:after="0"/>
              <w:rPr>
                <w:sz w:val="17"/>
                <w:szCs w:val="17"/>
                <w:color w:val="auto"/>
              </w:rPr>
            </w:pPr>
          </w:p>
        </w:tc>
        <w:tc>
          <w:tcPr>
            <w:tcW w:w="420" w:type="dxa"/>
            <w:vAlign w:val="bottom"/>
            <w:gridSpan w:val="7"/>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179"/>
        </w:trPr>
        <w:tc>
          <w:tcPr>
            <w:tcW w:w="4280" w:type="dxa"/>
            <w:vAlign w:val="bottom"/>
            <w:gridSpan w:val="15"/>
          </w:tcPr>
          <w:p>
            <w:pPr>
              <w:spacing w:after="0" w:line="179" w:lineRule="exact"/>
              <w:rPr>
                <w:sz w:val="20"/>
                <w:szCs w:val="20"/>
                <w:color w:val="auto"/>
              </w:rPr>
            </w:pPr>
            <w:r>
              <w:rPr>
                <w:rFonts w:ascii="Times New Roman" w:cs="Times New Roman" w:eastAsia="Times New Roman" w:hAnsi="Times New Roman"/>
                <w:sz w:val="16"/>
                <w:szCs w:val="16"/>
                <w:color w:val="auto"/>
              </w:rPr>
              <w:t>/s/ William J. Shaw</w:t>
            </w:r>
          </w:p>
        </w:tc>
        <w:tc>
          <w:tcPr>
            <w:tcW w:w="292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2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William J. Shaw</w:t>
            </w:r>
          </w:p>
        </w:tc>
        <w:tc>
          <w:tcPr>
            <w:tcW w:w="40" w:type="dxa"/>
            <w:vAlign w:val="bottom"/>
          </w:tcPr>
          <w:p>
            <w:pPr>
              <w:spacing w:after="0"/>
              <w:rPr>
                <w:sz w:val="17"/>
                <w:szCs w:val="17"/>
                <w:color w:val="auto"/>
              </w:rPr>
            </w:pPr>
          </w:p>
        </w:tc>
        <w:tc>
          <w:tcPr>
            <w:tcW w:w="420" w:type="dxa"/>
            <w:vAlign w:val="bottom"/>
            <w:gridSpan w:val="7"/>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Anthony Welters</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7"/>
        </w:trPr>
        <w:tc>
          <w:tcPr>
            <w:tcW w:w="12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Anthony Welters</w:t>
            </w:r>
          </w:p>
        </w:tc>
        <w:tc>
          <w:tcPr>
            <w:tcW w:w="420" w:type="dxa"/>
            <w:vAlign w:val="bottom"/>
            <w:gridSpan w:val="7"/>
          </w:tcPr>
          <w:p>
            <w:pPr>
              <w:spacing w:after="0"/>
              <w:rPr>
                <w:sz w:val="17"/>
                <w:szCs w:val="17"/>
                <w:color w:val="auto"/>
              </w:rPr>
            </w:pPr>
          </w:p>
        </w:tc>
        <w:tc>
          <w:tcPr>
            <w:tcW w:w="2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9"/>
        </w:trPr>
        <w:tc>
          <w:tcPr>
            <w:tcW w:w="428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/s/ Charles E. Andrews, Jr.</w:t>
            </w: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197"/>
        </w:trPr>
        <w:tc>
          <w:tcPr>
            <w:tcW w:w="168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6"/>
                <w:szCs w:val="16"/>
                <w:b w:val="1"/>
                <w:bCs w:val="1"/>
                <w:color w:val="auto"/>
              </w:rPr>
              <w:t>Charles E. Andrews, Jr.</w:t>
            </w:r>
          </w:p>
        </w:tc>
        <w:tc>
          <w:tcPr>
            <w:tcW w:w="260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ectPr>
          <w:pgSz w:w="11900" w:h="16840" w:orient="portrait"/>
          <w:cols w:equalWidth="0" w:num="1">
            <w:col w:w="9400"/>
          </w:cols>
          <w:pgMar w:left="1060" w:top="542" w:right="1440" w:bottom="1440" w:gutter="0" w:footer="0" w:header="0"/>
        </w:sectPr>
      </w:pPr>
    </w:p>
    <w:bookmarkStart w:id="192" w:name="page193"/>
    <w:bookmarkEnd w:id="192"/>
    <w:p>
      <w:pPr>
        <w:jc w:val="right"/>
        <w:ind w:right="7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Exhibit 10.21</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EMPLOYMENT AGREEMENT</w:t>
      </w:r>
    </w:p>
    <w:p>
      <w:pPr>
        <w:spacing w:after="0" w:line="202" w:lineRule="exact"/>
        <w:rPr>
          <w:sz w:val="20"/>
          <w:szCs w:val="20"/>
          <w:color w:val="auto"/>
        </w:rPr>
      </w:pPr>
    </w:p>
    <w:p>
      <w:pPr>
        <w:ind w:left="760" w:right="860" w:firstLine="576"/>
        <w:spacing w:after="0" w:line="259" w:lineRule="auto"/>
        <w:rPr>
          <w:sz w:val="20"/>
          <w:szCs w:val="20"/>
          <w:color w:val="auto"/>
        </w:rPr>
      </w:pPr>
      <w:r>
        <w:rPr>
          <w:rFonts w:ascii="Times New Roman" w:cs="Times New Roman" w:eastAsia="Times New Roman" w:hAnsi="Times New Roman"/>
          <w:sz w:val="19"/>
          <w:szCs w:val="19"/>
          <w:color w:val="auto"/>
        </w:rPr>
        <w:t xml:space="preserve">THIS EMPLOYMENT AGREEMENT (this “ </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is entered into by and between Employer and Employee on the Effective Date. Capitalized terms used in this Agreement, but not otherwise defined in this Agreement, have the meanings given to such terms</w:t>
      </w:r>
    </w:p>
    <w:p>
      <w:pPr>
        <w:spacing w:after="0" w:line="1" w:lineRule="exact"/>
        <w:rPr>
          <w:sz w:val="20"/>
          <w:szCs w:val="20"/>
          <w:color w:val="auto"/>
        </w:rPr>
      </w:pPr>
    </w:p>
    <w:p>
      <w:pPr>
        <w:ind w:left="760" w:right="840"/>
        <w:spacing w:after="0" w:line="275" w:lineRule="auto"/>
        <w:rPr>
          <w:sz w:val="20"/>
          <w:szCs w:val="20"/>
          <w:color w:val="auto"/>
        </w:rPr>
      </w:pPr>
      <w:r>
        <w:rPr>
          <w:rFonts w:ascii="Times New Roman" w:cs="Times New Roman" w:eastAsia="Times New Roman" w:hAnsi="Times New Roman"/>
          <w:sz w:val="19"/>
          <w:szCs w:val="19"/>
          <w:color w:val="auto"/>
        </w:rPr>
        <w:t xml:space="preserve">in the Appendix of Key Terms, which is attached to this Agreement as </w:t>
      </w:r>
      <w:r>
        <w:rPr>
          <w:rFonts w:ascii="Times New Roman" w:cs="Times New Roman" w:eastAsia="Times New Roman" w:hAnsi="Times New Roman"/>
          <w:sz w:val="19"/>
          <w:szCs w:val="19"/>
          <w:u w:val="single" w:color="auto"/>
          <w:color w:val="auto"/>
        </w:rPr>
        <w:t>Attachment 1</w:t>
      </w:r>
      <w:r>
        <w:rPr>
          <w:rFonts w:ascii="Times New Roman" w:cs="Times New Roman" w:eastAsia="Times New Roman" w:hAnsi="Times New Roman"/>
          <w:sz w:val="19"/>
          <w:szCs w:val="19"/>
          <w:color w:val="auto"/>
        </w:rPr>
        <w:t xml:space="preserve"> , and is considered a part of this Agreement for all purposes and is incorporated herein by reference.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139" w:lineRule="exact"/>
        <w:rPr>
          <w:sz w:val="20"/>
          <w:szCs w:val="20"/>
          <w:color w:val="auto"/>
        </w:rPr>
      </w:pPr>
    </w:p>
    <w:p>
      <w:pPr>
        <w:ind w:left="1340" w:hanging="289"/>
        <w:spacing w:after="0"/>
        <w:tabs>
          <w:tab w:leader="none" w:pos="134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Employer desires to employ Employee on the terms and conditions set forth herein; and</w:t>
      </w: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ind w:left="1340" w:hanging="289"/>
        <w:spacing w:after="0" w:line="221" w:lineRule="auto"/>
        <w:tabs>
          <w:tab w:leader="none" w:pos="13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desires to be employed by Employer on such terms and conditions.</w:t>
      </w:r>
    </w:p>
    <w:p>
      <w:pPr>
        <w:ind w:left="10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u w:val="single" w:color="auto"/>
          <w:color w:val="auto"/>
        </w:rPr>
        <w:t>AGREEMENT</w:t>
      </w:r>
    </w:p>
    <w:p>
      <w:pPr>
        <w:spacing w:after="0" w:line="216" w:lineRule="exact"/>
        <w:rPr>
          <w:sz w:val="20"/>
          <w:szCs w:val="20"/>
          <w:color w:val="auto"/>
        </w:rPr>
      </w:pPr>
    </w:p>
    <w:p>
      <w:pPr>
        <w:ind w:left="760" w:right="1180" w:firstLine="576"/>
        <w:spacing w:after="0" w:line="286" w:lineRule="auto"/>
        <w:rPr>
          <w:sz w:val="20"/>
          <w:szCs w:val="20"/>
          <w:color w:val="auto"/>
        </w:rPr>
      </w:pPr>
      <w:r>
        <w:rPr>
          <w:rFonts w:ascii="Times New Roman" w:cs="Times New Roman" w:eastAsia="Times New Roman" w:hAnsi="Times New Roman"/>
          <w:sz w:val="19"/>
          <w:szCs w:val="19"/>
          <w:color w:val="auto"/>
        </w:rPr>
        <w:t>For good and valuable consideration, the receipt and sufficiency of which are hereby acknowledged, the parties hereto, intending to be legally bound, agree as follows:</w:t>
      </w:r>
    </w:p>
    <w:p>
      <w:pPr>
        <w:spacing w:after="0" w:line="127" w:lineRule="exact"/>
        <w:rPr>
          <w:sz w:val="20"/>
          <w:szCs w:val="20"/>
          <w:color w:val="auto"/>
        </w:rPr>
      </w:pPr>
    </w:p>
    <w:p>
      <w:pPr>
        <w:ind w:left="760" w:right="780" w:firstLine="579"/>
        <w:spacing w:after="0" w:line="258" w:lineRule="auto"/>
        <w:tabs>
          <w:tab w:leader="none" w:pos="191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Employment</w:t>
      </w:r>
      <w:r>
        <w:rPr>
          <w:rFonts w:ascii="Times New Roman" w:cs="Times New Roman" w:eastAsia="Times New Roman" w:hAnsi="Times New Roman"/>
          <w:sz w:val="19"/>
          <w:szCs w:val="19"/>
          <w:color w:val="auto"/>
        </w:rPr>
        <w:t>. Employer agrees to employ Employee, and Employee hereby accepts such employment, on the terms and conditions set forth herein for a term commencing on the Commencement Date and ending on the date on which Employee’s employment is</w:t>
      </w:r>
    </w:p>
    <w:p>
      <w:pPr>
        <w:ind w:left="760"/>
        <w:spacing w:after="0" w:line="189" w:lineRule="auto"/>
        <w:rPr>
          <w:sz w:val="20"/>
          <w:szCs w:val="20"/>
          <w:color w:val="auto"/>
        </w:rPr>
      </w:pPr>
      <w:r>
        <w:rPr>
          <w:rFonts w:ascii="Times New Roman" w:cs="Times New Roman" w:eastAsia="Times New Roman" w:hAnsi="Times New Roman"/>
          <w:sz w:val="16"/>
          <w:szCs w:val="16"/>
          <w:color w:val="auto"/>
        </w:rPr>
        <w:t xml:space="preserve">terminated in accordance with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of this Agreement (the “</w:t>
      </w:r>
      <w:r>
        <w:rPr>
          <w:rFonts w:ascii="Times New Roman" w:cs="Times New Roman" w:eastAsia="Times New Roman" w:hAnsi="Times New Roman"/>
          <w:sz w:val="16"/>
          <w:szCs w:val="16"/>
          <w:i w:val="1"/>
          <w:iCs w:val="1"/>
          <w:color w:val="auto"/>
        </w:rPr>
        <w:t>Ter</w:t>
      </w:r>
      <w:r>
        <w:rPr>
          <w:rFonts w:ascii="Times New Roman" w:cs="Times New Roman" w:eastAsia="Times New Roman" w:hAnsi="Times New Roman"/>
          <w:sz w:val="16"/>
          <w:szCs w:val="16"/>
          <w:color w:val="auto"/>
        </w:rPr>
        <w:t xml:space="preserve">  ”).</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i w:val="1"/>
          <w:iCs w:val="1"/>
          <w:color w:val="auto"/>
        </w:rPr>
        <w:t>m</w:t>
      </w:r>
    </w:p>
    <w:p>
      <w:pPr>
        <w:spacing w:after="0" w:line="48" w:lineRule="exact"/>
        <w:rPr>
          <w:sz w:val="20"/>
          <w:szCs w:val="20"/>
          <w:color w:val="auto"/>
        </w:rPr>
      </w:pPr>
    </w:p>
    <w:p>
      <w:pPr>
        <w:ind w:left="1920" w:hanging="581"/>
        <w:spacing w:after="0"/>
        <w:tabs>
          <w:tab w:leader="none" w:pos="192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Duties</w:t>
      </w:r>
      <w:r>
        <w:rPr>
          <w:rFonts w:ascii="Times New Roman" w:cs="Times New Roman" w:eastAsia="Times New Roman" w:hAnsi="Times New Roman"/>
          <w:sz w:val="19"/>
          <w:szCs w:val="19"/>
          <w:color w:val="auto"/>
        </w:rPr>
        <w:t>. During the Term of Employee’s employment by Employer:</w:t>
      </w:r>
    </w:p>
    <w:p>
      <w:pPr>
        <w:spacing w:after="0" w:line="201" w:lineRule="exact"/>
        <w:rPr>
          <w:rFonts w:ascii="Times New Roman" w:cs="Times New Roman" w:eastAsia="Times New Roman" w:hAnsi="Times New Roman"/>
          <w:sz w:val="19"/>
          <w:szCs w:val="19"/>
          <w:color w:val="auto"/>
        </w:rPr>
      </w:pPr>
    </w:p>
    <w:p>
      <w:pPr>
        <w:ind w:left="2200" w:right="1020" w:hanging="285"/>
        <w:spacing w:after="0" w:line="268" w:lineRule="auto"/>
        <w:tabs>
          <w:tab w:leader="none" w:pos="220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shall have the position of Title and will have the responsibilities, duties and authority consistent with such position, and as defined and as limited by Employee’s supervisor.</w:t>
      </w:r>
    </w:p>
    <w:p>
      <w:pPr>
        <w:spacing w:after="0" w:line="156" w:lineRule="exact"/>
        <w:rPr>
          <w:rFonts w:ascii="Times New Roman" w:cs="Times New Roman" w:eastAsia="Times New Roman" w:hAnsi="Times New Roman"/>
          <w:sz w:val="19"/>
          <w:szCs w:val="19"/>
          <w:color w:val="auto"/>
        </w:rPr>
      </w:pPr>
    </w:p>
    <w:p>
      <w:pPr>
        <w:ind w:left="2200" w:right="860" w:hanging="285"/>
        <w:spacing w:after="0" w:line="259" w:lineRule="auto"/>
        <w:tabs>
          <w:tab w:leader="none" w:pos="220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shall concentrate Employee’s activities during the Term on: (i) leading various strategic initiatives at the firm under the direction of the CFO and COO; and (ii) such other responsibilities, consistent with Employee’s position, as may reasonably be assigned to Employee by Employer from time to time.</w:t>
      </w:r>
    </w:p>
    <w:p>
      <w:pPr>
        <w:spacing w:after="0" w:line="165" w:lineRule="exact"/>
        <w:rPr>
          <w:rFonts w:ascii="Times New Roman" w:cs="Times New Roman" w:eastAsia="Times New Roman" w:hAnsi="Times New Roman"/>
          <w:sz w:val="19"/>
          <w:szCs w:val="19"/>
          <w:color w:val="auto"/>
        </w:rPr>
      </w:pPr>
    </w:p>
    <w:p>
      <w:pPr>
        <w:ind w:left="2200" w:right="820" w:hanging="285"/>
        <w:spacing w:after="0" w:line="255" w:lineRule="auto"/>
        <w:tabs>
          <w:tab w:leader="none" w:pos="220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Employee shall devote Employee’s energies, attention, reasonable best efforts and full and exclusive business time to the business and affairs of Carlyle, </w:t>
      </w:r>
      <w:r>
        <w:rPr>
          <w:rFonts w:ascii="Times New Roman" w:cs="Times New Roman" w:eastAsia="Times New Roman" w:hAnsi="Times New Roman"/>
          <w:sz w:val="19"/>
          <w:szCs w:val="19"/>
          <w:i w:val="1"/>
          <w:iCs w:val="1"/>
          <w:color w:val="auto"/>
        </w:rPr>
        <w:t xml:space="preserve">provided that </w:t>
      </w:r>
      <w:r>
        <w:rPr>
          <w:rFonts w:ascii="Times New Roman" w:cs="Times New Roman" w:eastAsia="Times New Roman" w:hAnsi="Times New Roman"/>
          <w:sz w:val="19"/>
          <w:szCs w:val="19"/>
          <w:color w:val="auto"/>
        </w:rPr>
        <w:t>nothing in this Agreement shall preclude Employee from: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engaging in personal investment activities (subject to Carlyle’s insider trading and conflict of interest policies); (ii) engaging in activities consented to by</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 xml:space="preserve">Employer in its sole discretion pursuant to </w:t>
      </w:r>
      <w:r>
        <w:rPr>
          <w:rFonts w:ascii="Times New Roman" w:cs="Times New Roman" w:eastAsia="Times New Roman" w:hAnsi="Times New Roman"/>
          <w:sz w:val="19"/>
          <w:szCs w:val="19"/>
          <w:u w:val="single" w:color="auto"/>
          <w:color w:val="auto"/>
        </w:rPr>
        <w:t>Section 2.f.</w:t>
      </w:r>
      <w:r>
        <w:rPr>
          <w:rFonts w:ascii="Times New Roman" w:cs="Times New Roman" w:eastAsia="Times New Roman" w:hAnsi="Times New Roman"/>
          <w:sz w:val="19"/>
          <w:szCs w:val="19"/>
          <w:color w:val="auto"/>
        </w:rPr>
        <w:t xml:space="preserve"> below; (iii) serving as a</w:t>
      </w:r>
    </w:p>
    <w:p>
      <w:pPr>
        <w:spacing w:after="0" w:line="21" w:lineRule="exact"/>
        <w:rPr>
          <w:sz w:val="20"/>
          <w:szCs w:val="20"/>
          <w:color w:val="auto"/>
        </w:rPr>
      </w:pPr>
    </w:p>
    <w:p>
      <w:pPr>
        <w:ind w:left="2200" w:right="820"/>
        <w:spacing w:after="0" w:line="254" w:lineRule="auto"/>
        <w:rPr>
          <w:sz w:val="20"/>
          <w:szCs w:val="20"/>
          <w:color w:val="auto"/>
        </w:rPr>
      </w:pPr>
      <w:r>
        <w:rPr>
          <w:rFonts w:ascii="Times New Roman" w:cs="Times New Roman" w:eastAsia="Times New Roman" w:hAnsi="Times New Roman"/>
          <w:sz w:val="19"/>
          <w:szCs w:val="19"/>
          <w:color w:val="auto"/>
        </w:rPr>
        <w:t xml:space="preserve">member of the board of directors of the companies named on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if any; or (iv) engaging in charitable, professional and/or community activities, in each case so long as such activities do not materially conflict or interfere with the proper performance of Employee’s duties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0" w:right="820" w:hanging="285"/>
        <w:spacing w:after="0" w:line="258" w:lineRule="auto"/>
        <w:tabs>
          <w:tab w:leader="none" w:pos="22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and agrees that during the Term Employee owes a fiduciary duty of loyalty, fidelity and allegiance to act at all times in the best interests of Carlyle and Employer and to do no act that would knowingly injure the business, interests or reputation of Employer or Carlyle. In keeping with these duties, Employee shall make full disclosure during the Term to Employer of all significant business opportunities that pertain to Carlyle’s business, and Employee shall not appropriate for Employee’s own benefit</w:t>
      </w:r>
    </w:p>
    <w:p>
      <w:pPr>
        <w:sectPr>
          <w:pgSz w:w="11900" w:h="16840" w:orient="portrait"/>
          <w:cols w:equalWidth="0" w:num="1">
            <w:col w:w="9020"/>
          </w:cols>
          <w:pgMar w:left="1440" w:top="1083" w:right="1440" w:bottom="175" w:gutter="0" w:footer="0" w:header="0"/>
        </w:sectPr>
      </w:pPr>
    </w:p>
    <w:bookmarkStart w:id="193" w:name="page194"/>
    <w:bookmarkEnd w:id="193"/>
    <w:p>
      <w:pPr>
        <w:ind w:left="2200" w:right="1360"/>
        <w:spacing w:after="0" w:line="558" w:lineRule="auto"/>
        <w:rPr>
          <w:sz w:val="20"/>
          <w:szCs w:val="20"/>
          <w:color w:val="auto"/>
        </w:rPr>
      </w:pPr>
      <w:r>
        <w:rPr>
          <w:rFonts w:ascii="Times New Roman" w:cs="Times New Roman" w:eastAsia="Times New Roman" w:hAnsi="Times New Roman"/>
          <w:sz w:val="15"/>
          <w:szCs w:val="15"/>
          <w:color w:val="auto"/>
          <w:vertAlign w:val="superscript"/>
        </w:rPr>
        <w:t>busines</w:t>
      </w:r>
      <w:r>
        <w:rPr>
          <w:rFonts w:ascii="Times New Roman" w:cs="Times New Roman" w:eastAsia="Times New Roman" w:hAnsi="Times New Roman"/>
          <w:sz w:val="11"/>
          <w:szCs w:val="11"/>
          <w:color w:val="auto"/>
        </w:rPr>
        <w:t>relations hi</w:t>
      </w:r>
      <w:r>
        <w:rPr>
          <w:rFonts w:ascii="Times New Roman" w:cs="Times New Roman" w:eastAsia="Times New Roman" w:hAnsi="Times New Roman"/>
          <w:sz w:val="15"/>
          <w:szCs w:val="15"/>
          <w:color w:val="auto"/>
          <w:vertAlign w:val="superscript"/>
        </w:rPr>
        <w:t>o</w:t>
      </w:r>
      <w:r>
        <w:rPr>
          <w:rFonts w:ascii="Times New Roman" w:cs="Times New Roman" w:eastAsia="Times New Roman" w:hAnsi="Times New Roman"/>
          <w:sz w:val="11"/>
          <w:szCs w:val="11"/>
          <w:color w:val="auto"/>
        </w:rPr>
        <w:t>p</w:t>
      </w:r>
      <w:r>
        <w:rPr>
          <w:rFonts w:ascii="Times New Roman" w:cs="Times New Roman" w:eastAsia="Times New Roman" w:hAnsi="Times New Roman"/>
          <w:sz w:val="15"/>
          <w:szCs w:val="15"/>
          <w:color w:val="auto"/>
          <w:vertAlign w:val="superscript"/>
        </w:rPr>
        <w:t>portunities</w:t>
      </w:r>
      <w:r>
        <w:rPr>
          <w:rFonts w:ascii="Times New Roman" w:cs="Times New Roman" w:eastAsia="Times New Roman" w:hAnsi="Times New Roman"/>
          <w:sz w:val="11"/>
          <w:szCs w:val="11"/>
          <w:color w:val="auto"/>
        </w:rPr>
        <w:t>orthatmight</w:t>
      </w:r>
      <w:r>
        <w:rPr>
          <w:rFonts w:ascii="Times New Roman" w:cs="Times New Roman" w:eastAsia="Times New Roman" w:hAnsi="Times New Roman"/>
          <w:sz w:val="15"/>
          <w:szCs w:val="15"/>
          <w:color w:val="auto"/>
          <w:vertAlign w:val="superscript"/>
        </w:rPr>
        <w:t>concerning</w:t>
      </w:r>
      <w:r>
        <w:rPr>
          <w:rFonts w:ascii="Times New Roman" w:cs="Times New Roman" w:eastAsia="Times New Roman" w:hAnsi="Times New Roman"/>
          <w:sz w:val="11"/>
          <w:szCs w:val="11"/>
          <w:color w:val="auto"/>
        </w:rPr>
        <w:t>benefitCarlyle,</w:t>
      </w:r>
      <w:r>
        <w:rPr>
          <w:rFonts w:ascii="Times New Roman" w:cs="Times New Roman" w:eastAsia="Times New Roman" w:hAnsi="Times New Roman"/>
          <w:sz w:val="15"/>
          <w:szCs w:val="15"/>
          <w:color w:val="auto"/>
          <w:vertAlign w:val="superscript"/>
        </w:rPr>
        <w:t>thesubject</w:t>
      </w:r>
      <w:r>
        <w:rPr>
          <w:rFonts w:ascii="Times New Roman" w:cs="Times New Roman" w:eastAsia="Times New Roman" w:hAnsi="Times New Roman"/>
          <w:sz w:val="11"/>
          <w:szCs w:val="11"/>
          <w:color w:val="auto"/>
        </w:rPr>
        <w:t>which</w:t>
      </w:r>
      <w:r>
        <w:rPr>
          <w:rFonts w:ascii="Times New Roman" w:cs="Times New Roman" w:eastAsia="Times New Roman" w:hAnsi="Times New Roman"/>
          <w:sz w:val="15"/>
          <w:szCs w:val="15"/>
          <w:color w:val="auto"/>
          <w:vertAlign w:val="superscript"/>
        </w:rPr>
        <w:t>matter</w:t>
      </w:r>
      <w:r>
        <w:rPr>
          <w:rFonts w:ascii="Times New Roman" w:cs="Times New Roman" w:eastAsia="Times New Roman" w:hAnsi="Times New Roman"/>
          <w:sz w:val="11"/>
          <w:szCs w:val="11"/>
          <w:color w:val="auto"/>
        </w:rPr>
        <w:t>business</w:t>
      </w:r>
      <w:r>
        <w:rPr>
          <w:rFonts w:ascii="Times New Roman" w:cs="Times New Roman" w:eastAsia="Times New Roman" w:hAnsi="Times New Roman"/>
          <w:sz w:val="15"/>
          <w:szCs w:val="15"/>
          <w:color w:val="auto"/>
          <w:vertAlign w:val="superscript"/>
        </w:rPr>
        <w:t>ofthe</w:t>
      </w:r>
      <w:r>
        <w:rPr>
          <w:rFonts w:ascii="Times New Roman" w:cs="Times New Roman" w:eastAsia="Times New Roman" w:hAnsi="Times New Roman"/>
          <w:sz w:val="11"/>
          <w:szCs w:val="11"/>
          <w:color w:val="auto"/>
        </w:rPr>
        <w:t>opportunities</w:t>
      </w:r>
      <w:r>
        <w:rPr>
          <w:rFonts w:ascii="Times New Roman" w:cs="Times New Roman" w:eastAsia="Times New Roman" w:hAnsi="Times New Roman"/>
          <w:sz w:val="15"/>
          <w:szCs w:val="15"/>
          <w:color w:val="auto"/>
          <w:vertAlign w:val="superscript"/>
        </w:rPr>
        <w:t>fiduciary</w:t>
      </w:r>
      <w:r>
        <w:rPr>
          <w:rFonts w:ascii="Times New Roman" w:cs="Times New Roman" w:eastAsia="Times New Roman" w:hAnsi="Times New Roman"/>
          <w:sz w:val="11"/>
          <w:szCs w:val="11"/>
          <w:color w:val="auto"/>
        </w:rPr>
        <w:t xml:space="preserve"> Employee learned of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-432435</wp:posOffset>
            </wp:positionV>
            <wp:extent cx="6707505" cy="99695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2200" w:right="780" w:hanging="285"/>
        <w:spacing w:after="0" w:line="258" w:lineRule="auto"/>
        <w:tabs>
          <w:tab w:leader="none" w:pos="220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Employee shall at all times comply with: (i) all applicable laws, rules and regulations that are related to Employee’s duties and responsibilities assumed hereunder and (ii) all corporate and business policies and procedures of Carlyle and Employer that are applicable to employees in Employer’s U.S. office locations, including, without limitation, the New York Attorney General’s Public Pension Fund Reform Code of Conduct (the “ </w:t>
      </w:r>
      <w:r>
        <w:rPr>
          <w:rFonts w:ascii="Times New Roman" w:cs="Times New Roman" w:eastAsia="Times New Roman" w:hAnsi="Times New Roman"/>
          <w:sz w:val="19"/>
          <w:szCs w:val="19"/>
          <w:i w:val="1"/>
          <w:iCs w:val="1"/>
          <w:color w:val="auto"/>
        </w:rPr>
        <w:t>Pension Code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 Conduct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2200" w:right="840" w:hanging="285"/>
        <w:spacing w:after="0" w:line="268" w:lineRule="auto"/>
        <w:tabs>
          <w:tab w:leader="none" w:pos="220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shall not, without the prior written approval of Employer in its sole discretion, receive compensation or any direct or indirect financial benefit for services rendered during the Term to any Person other than Employer.</w:t>
      </w:r>
    </w:p>
    <w:p>
      <w:pPr>
        <w:spacing w:after="0" w:line="156" w:lineRule="exact"/>
        <w:rPr>
          <w:rFonts w:ascii="Times New Roman" w:cs="Times New Roman" w:eastAsia="Times New Roman" w:hAnsi="Times New Roman"/>
          <w:sz w:val="19"/>
          <w:szCs w:val="19"/>
          <w:color w:val="auto"/>
        </w:rPr>
      </w:pPr>
    </w:p>
    <w:p>
      <w:pPr>
        <w:ind w:left="2200" w:right="780" w:hanging="285"/>
        <w:spacing w:after="0" w:line="258" w:lineRule="auto"/>
        <w:tabs>
          <w:tab w:leader="none" w:pos="220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Employee’s execution of this Agreement, Employee shall execute and deliver to Carlyle the certification attached hereto as </w:t>
      </w:r>
      <w:r>
        <w:rPr>
          <w:rFonts w:ascii="Times New Roman" w:cs="Times New Roman" w:eastAsia="Times New Roman" w:hAnsi="Times New Roman"/>
          <w:sz w:val="19"/>
          <w:szCs w:val="19"/>
          <w:u w:val="single" w:color="auto"/>
          <w:color w:val="auto"/>
        </w:rPr>
        <w:t>Schedule B</w:t>
      </w:r>
      <w:r>
        <w:rPr>
          <w:rFonts w:ascii="Times New Roman" w:cs="Times New Roman" w:eastAsia="Times New Roman" w:hAnsi="Times New Roman"/>
          <w:sz w:val="19"/>
          <w:szCs w:val="19"/>
          <w:color w:val="auto"/>
        </w:rPr>
        <w:t>. Employee understands and acknowledges that Employer and Carlyle are relying on the certifications and covenants set forth therein as a basis for their compliance with the Pension Code of Conduct and that the accuracy of, and Employee’s continued compliance with, such certifications and covenants are conditions to Employee’s continued employment.</w:t>
      </w:r>
    </w:p>
    <w:p>
      <w:pPr>
        <w:spacing w:after="0" w:line="156" w:lineRule="exact"/>
        <w:rPr>
          <w:rFonts w:ascii="Times New Roman" w:cs="Times New Roman" w:eastAsia="Times New Roman" w:hAnsi="Times New Roman"/>
          <w:sz w:val="19"/>
          <w:szCs w:val="19"/>
          <w:color w:val="auto"/>
        </w:rPr>
      </w:pPr>
    </w:p>
    <w:p>
      <w:pPr>
        <w:ind w:left="760" w:right="900" w:firstLine="579"/>
        <w:spacing w:after="0" w:line="257" w:lineRule="auto"/>
        <w:tabs>
          <w:tab w:leader="none" w:pos="191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Location</w:t>
      </w:r>
      <w:r>
        <w:rPr>
          <w:rFonts w:ascii="Times New Roman" w:cs="Times New Roman" w:eastAsia="Times New Roman" w:hAnsi="Times New Roman"/>
          <w:sz w:val="19"/>
          <w:szCs w:val="19"/>
          <w:color w:val="auto"/>
        </w:rPr>
        <w:t xml:space="preserve">. Employee’s office shall be located at Employer’s offices in the Office Location,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subject to Employer’s policies applicable to employees of Employee’s level of Title in the Office Location as in effect from time to time and which may be changed in Employer’s sole discretion, Employee also may have a hybrid working arrangement pursuant to which Employee may perform a portion Employee’s duties from Employee’s residence in the Office Location area. Employee is expected to travel during the Term to the extent reasonably necessary to conduct Carlyle business, contingent upon any worldwide travel restrictions and Employer’s then current policy regarding employee business travel.</w:t>
      </w:r>
    </w:p>
    <w:p>
      <w:pPr>
        <w:spacing w:after="0" w:line="168" w:lineRule="exact"/>
        <w:rPr>
          <w:rFonts w:ascii="Times New Roman" w:cs="Times New Roman" w:eastAsia="Times New Roman" w:hAnsi="Times New Roman"/>
          <w:sz w:val="19"/>
          <w:szCs w:val="19"/>
          <w:color w:val="auto"/>
        </w:rPr>
      </w:pPr>
    </w:p>
    <w:p>
      <w:pPr>
        <w:ind w:left="760" w:right="1040" w:firstLine="579"/>
        <w:spacing w:after="0" w:line="286" w:lineRule="auto"/>
        <w:tabs>
          <w:tab w:leader="none" w:pos="191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xml:space="preserve">. As compensation for Employee’s services, Employer shall pay Employee the following compensation, subject to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below:</w:t>
      </w:r>
    </w:p>
    <w:p>
      <w:pPr>
        <w:spacing w:after="0" w:line="127" w:lineRule="exact"/>
        <w:rPr>
          <w:rFonts w:ascii="Times New Roman" w:cs="Times New Roman" w:eastAsia="Times New Roman" w:hAnsi="Times New Roman"/>
          <w:sz w:val="19"/>
          <w:szCs w:val="19"/>
          <w:color w:val="auto"/>
        </w:rPr>
      </w:pPr>
    </w:p>
    <w:p>
      <w:pPr>
        <w:ind w:left="2200" w:right="800" w:hanging="285"/>
        <w:spacing w:after="0" w:line="268" w:lineRule="auto"/>
        <w:tabs>
          <w:tab w:leader="none" w:pos="2200"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Employer shall pay to Employee the Base Salary Amount per annum throughout the Term (payable in accordance with Employer’s payroll policies, but in no event less frequently than once every month). The Base Salary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0" w:right="860"/>
        <w:spacing w:after="0" w:line="286" w:lineRule="auto"/>
        <w:rPr>
          <w:sz w:val="20"/>
          <w:szCs w:val="20"/>
          <w:color w:val="auto"/>
        </w:rPr>
      </w:pPr>
      <w:r>
        <w:rPr>
          <w:rFonts w:ascii="Times New Roman" w:cs="Times New Roman" w:eastAsia="Times New Roman" w:hAnsi="Times New Roman"/>
          <w:sz w:val="19"/>
          <w:szCs w:val="19"/>
          <w:color w:val="auto"/>
        </w:rPr>
        <w:t>Amount may be prospectively increased by Employer from time to time in its sole discretion, depending upon Employee’s performance.</w:t>
      </w:r>
    </w:p>
    <w:p>
      <w:pPr>
        <w:spacing w:after="0" w:line="127" w:lineRule="exact"/>
        <w:rPr>
          <w:sz w:val="20"/>
          <w:szCs w:val="20"/>
          <w:color w:val="auto"/>
        </w:rPr>
      </w:pPr>
    </w:p>
    <w:p>
      <w:pPr>
        <w:ind w:left="2200" w:right="820" w:hanging="285"/>
        <w:spacing w:after="0" w:line="262" w:lineRule="auto"/>
        <w:tabs>
          <w:tab w:leader="none" w:pos="22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Employer intends to pay bonuses to Employee from time to time as described below and as determined by Employer,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Employee is employed by Employer at the time of payment of such bonuses (except as otherwise indicated in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hereto) and the other terms and conditions for payment of such bonuses as described herein are satisfied:</w:t>
      </w:r>
    </w:p>
    <w:p>
      <w:pPr>
        <w:spacing w:after="0" w:line="161" w:lineRule="exact"/>
        <w:rPr>
          <w:rFonts w:ascii="Times New Roman" w:cs="Times New Roman" w:eastAsia="Times New Roman" w:hAnsi="Times New Roman"/>
          <w:sz w:val="19"/>
          <w:szCs w:val="19"/>
          <w:color w:val="auto"/>
        </w:rPr>
      </w:pPr>
    </w:p>
    <w:p>
      <w:pPr>
        <w:ind w:left="2780" w:right="840" w:hanging="289"/>
        <w:spacing w:after="0" w:line="256" w:lineRule="auto"/>
        <w:tabs>
          <w:tab w:leader="none" w:pos="27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2023 Guaranteed Bonus </w:t>
      </w:r>
      <w:r>
        <w:rPr>
          <w:rFonts w:ascii="Times New Roman" w:cs="Times New Roman" w:eastAsia="Times New Roman" w:hAnsi="Times New Roman"/>
          <w:sz w:val="19"/>
          <w:szCs w:val="19"/>
          <w:color w:val="auto"/>
        </w:rPr>
        <w:t>. Employee will be paid the 2023 Guaranteed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Bonus Amount as an annual bonus for calendar year 2023, payable at the time other employees of Employee’s level of Title are paid annual bonuses for calendar year 2023, but in no event later than March 15, 2024;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discretionary bonuses paid before December 31, 2023 will first count against the 2023 Guaranteed Bonus Amount (excluding any amounts previously paid in respect of the Make Whole Bonus Amount). For the avoidance of doubt, the Guaranteed Bonus Amount will be prorated to reflect months worked.</w:t>
      </w:r>
    </w:p>
    <w:p>
      <w:pPr>
        <w:spacing w:after="0" w:line="207" w:lineRule="exact"/>
        <w:rPr>
          <w:rFonts w:ascii="Times New Roman" w:cs="Times New Roman" w:eastAsia="Times New Roman" w:hAnsi="Times New Roman"/>
          <w:sz w:val="19"/>
          <w:szCs w:val="19"/>
          <w:color w:val="auto"/>
        </w:rPr>
      </w:pPr>
    </w:p>
    <w:p>
      <w:pPr>
        <w:ind w:left="2780" w:hanging="289"/>
        <w:spacing w:after="0"/>
        <w:tabs>
          <w:tab w:leader="none" w:pos="2780"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2024 Guaranteed Bonus </w:t>
      </w:r>
      <w:r>
        <w:rPr>
          <w:rFonts w:ascii="Times New Roman" w:cs="Times New Roman" w:eastAsia="Times New Roman" w:hAnsi="Times New Roman"/>
          <w:sz w:val="19"/>
          <w:szCs w:val="19"/>
          <w:color w:val="auto"/>
        </w:rPr>
        <w:t>. Employee will be paid the 2024 Guaranteed</w:t>
      </w:r>
    </w:p>
    <w:p>
      <w:pPr>
        <w:sectPr>
          <w:pgSz w:w="11900" w:h="16840" w:orient="portrait"/>
          <w:cols w:equalWidth="0" w:num="1">
            <w:col w:w="9020"/>
          </w:cols>
          <w:pgMar w:left="1440" w:top="556" w:right="1440" w:bottom="198" w:gutter="0" w:footer="0" w:header="0"/>
        </w:sectPr>
      </w:pPr>
    </w:p>
    <w:bookmarkStart w:id="194" w:name="page195"/>
    <w:bookmarkEnd w:id="194"/>
    <w:p>
      <w:pPr>
        <w:ind w:left="2780" w:right="880"/>
        <w:spacing w:after="0" w:line="183" w:lineRule="auto"/>
        <w:rPr>
          <w:sz w:val="20"/>
          <w:szCs w:val="20"/>
          <w:color w:val="auto"/>
        </w:rPr>
      </w:pPr>
      <w:r>
        <w:rPr>
          <w:rFonts w:ascii="Times New Roman" w:cs="Times New Roman" w:eastAsia="Times New Roman" w:hAnsi="Times New Roman"/>
          <w:sz w:val="13"/>
          <w:szCs w:val="13"/>
          <w:color w:val="auto"/>
        </w:rPr>
        <w:t>Bonus Amount as an annual bonus for cal</w:t>
      </w:r>
      <w:r>
        <w:rPr>
          <w:rFonts w:ascii="Times New Roman" w:cs="Times New Roman" w:eastAsia="Times New Roman" w:hAnsi="Times New Roman"/>
          <w:sz w:val="21"/>
          <w:szCs w:val="21"/>
          <w:color w:val="auto"/>
          <w:vertAlign w:val="superscript"/>
        </w:rPr>
        <w:t>e</w:t>
      </w:r>
      <w:r>
        <w:rPr>
          <w:rFonts w:ascii="Times New Roman" w:cs="Times New Roman" w:eastAsia="Times New Roman" w:hAnsi="Times New Roman"/>
          <w:sz w:val="13"/>
          <w:szCs w:val="13"/>
          <w:color w:val="auto"/>
        </w:rPr>
        <w:t>ndar year 2024, payable at the time other employees of Employee’s l vel of Title are paid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-180340</wp:posOffset>
            </wp:positionV>
            <wp:extent cx="6707505" cy="99695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2780" w:right="1000"/>
        <w:spacing w:after="0" w:line="256" w:lineRule="auto"/>
        <w:rPr>
          <w:sz w:val="20"/>
          <w:szCs w:val="20"/>
          <w:color w:val="auto"/>
        </w:rPr>
      </w:pPr>
      <w:r>
        <w:rPr>
          <w:rFonts w:ascii="Times New Roman" w:cs="Times New Roman" w:eastAsia="Times New Roman" w:hAnsi="Times New Roman"/>
          <w:sz w:val="19"/>
          <w:szCs w:val="19"/>
          <w:color w:val="auto"/>
        </w:rPr>
        <w:t xml:space="preserve">bonuses for calendar year 2024, but in no event later than March 15, 2025;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any discretionary bonuses paid from January 1, 2024 through December 31, 2024, inclusive, will first count against the 2024 Guaranteed Bonus Amount (excluding any amounts previously paid in respect of the Make Whole Bonus Amount).</w:t>
      </w:r>
    </w:p>
    <w:p>
      <w:pPr>
        <w:spacing w:after="0" w:line="214" w:lineRule="exact"/>
        <w:rPr>
          <w:sz w:val="20"/>
          <w:szCs w:val="20"/>
          <w:color w:val="auto"/>
        </w:rPr>
      </w:pPr>
    </w:p>
    <w:p>
      <w:pPr>
        <w:ind w:left="2780" w:right="780" w:hanging="289"/>
        <w:spacing w:after="0" w:line="255" w:lineRule="auto"/>
        <w:tabs>
          <w:tab w:leader="none" w:pos="278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Eligibility for Discretionary Bonuses Following Calendar Year 2024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periods following calendar year 2024, all bonuses will be payable to Employee at Employer’s discretion in connection with Employer’s annual discretionary year-end performance-based bonus program. Any discretionary bonus shall be payable in Currency in accordance with Employer’s policies and procedures, and all or a portion of any such discretionary bonus may be paid in restricted stock units (at the election of Employer), but in no event shall any such discretionary bonus be paid later than March 15 of the following year.</w:t>
      </w:r>
    </w:p>
    <w:p>
      <w:pPr>
        <w:spacing w:after="0" w:line="203" w:lineRule="exact"/>
        <w:rPr>
          <w:rFonts w:ascii="Times New Roman" w:cs="Times New Roman" w:eastAsia="Times New Roman" w:hAnsi="Times New Roman"/>
          <w:sz w:val="19"/>
          <w:szCs w:val="19"/>
          <w:color w:val="auto"/>
        </w:rPr>
      </w:pPr>
    </w:p>
    <w:p>
      <w:pPr>
        <w:ind w:left="2780" w:right="860" w:hanging="289"/>
        <w:spacing w:after="0" w:line="257" w:lineRule="auto"/>
        <w:tabs>
          <w:tab w:leader="none" w:pos="273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Make-Whole Bonus </w:t>
      </w:r>
      <w:r>
        <w:rPr>
          <w:rFonts w:ascii="Times New Roman" w:cs="Times New Roman" w:eastAsia="Times New Roman" w:hAnsi="Times New Roman"/>
          <w:sz w:val="19"/>
          <w:szCs w:val="19"/>
          <w:color w:val="auto"/>
        </w:rPr>
        <w:t>. Employer shall pay the Make-Whole Bonus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Amount to Employee on Employer’s next regularly scheduled payroll date that is 90 days after the Commencement Date. Employee understands and agrees that if at any time prior to the first anniversary</w:t>
      </w:r>
    </w:p>
    <w:p>
      <w:pPr>
        <w:spacing w:after="0" w:line="2" w:lineRule="exact"/>
        <w:rPr>
          <w:sz w:val="20"/>
          <w:szCs w:val="20"/>
          <w:color w:val="auto"/>
        </w:rPr>
      </w:pPr>
    </w:p>
    <w:p>
      <w:pPr>
        <w:ind w:left="2780" w:right="780"/>
        <w:spacing w:after="0" w:line="262" w:lineRule="auto"/>
        <w:rPr>
          <w:sz w:val="20"/>
          <w:szCs w:val="20"/>
          <w:color w:val="auto"/>
        </w:rPr>
      </w:pPr>
      <w:r>
        <w:rPr>
          <w:rFonts w:ascii="Times New Roman" w:cs="Times New Roman" w:eastAsia="Times New Roman" w:hAnsi="Times New Roman"/>
          <w:sz w:val="19"/>
          <w:szCs w:val="19"/>
          <w:color w:val="auto"/>
        </w:rPr>
        <w:t xml:space="preserve">of the Commencement Date, Employee terminates Employee’s employment pursuant to </w:t>
      </w:r>
      <w:r>
        <w:rPr>
          <w:rFonts w:ascii="Times New Roman" w:cs="Times New Roman" w:eastAsia="Times New Roman" w:hAnsi="Times New Roman"/>
          <w:sz w:val="19"/>
          <w:szCs w:val="19"/>
          <w:u w:val="single" w:color="auto"/>
          <w:color w:val="auto"/>
        </w:rPr>
        <w:t>Section 6.c.ii.</w:t>
      </w:r>
      <w:r>
        <w:rPr>
          <w:rFonts w:ascii="Times New Roman" w:cs="Times New Roman" w:eastAsia="Times New Roman" w:hAnsi="Times New Roman"/>
          <w:sz w:val="19"/>
          <w:szCs w:val="19"/>
          <w:color w:val="auto"/>
        </w:rPr>
        <w:t xml:space="preserve"> or Employer terminates Employee’s employment pursuant to Section </w:t>
      </w:r>
      <w:r>
        <w:rPr>
          <w:rFonts w:ascii="Times New Roman" w:cs="Times New Roman" w:eastAsia="Times New Roman" w:hAnsi="Times New Roman"/>
          <w:sz w:val="19"/>
          <w:szCs w:val="19"/>
          <w:u w:val="single" w:color="auto"/>
          <w:color w:val="auto"/>
        </w:rPr>
        <w:t>6.b.ii.</w:t>
      </w:r>
      <w:r>
        <w:rPr>
          <w:rFonts w:ascii="Times New Roman" w:cs="Times New Roman" w:eastAsia="Times New Roman" w:hAnsi="Times New Roman"/>
          <w:sz w:val="19"/>
          <w:szCs w:val="19"/>
          <w:color w:val="auto"/>
        </w:rPr>
        <w:t>, then, in each case,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80" w:right="780"/>
        <w:spacing w:after="0" w:line="258" w:lineRule="auto"/>
        <w:rPr>
          <w:sz w:val="20"/>
          <w:szCs w:val="20"/>
          <w:color w:val="auto"/>
        </w:rPr>
      </w:pPr>
      <w:r>
        <w:rPr>
          <w:rFonts w:ascii="Times New Roman" w:cs="Times New Roman" w:eastAsia="Times New Roman" w:hAnsi="Times New Roman"/>
          <w:sz w:val="19"/>
          <w:szCs w:val="19"/>
          <w:color w:val="auto"/>
        </w:rPr>
        <w:t xml:space="preserve">Employee shall repay to Employer the full Make-Whole Bonus Amount received by Employee pursuant to this </w:t>
      </w:r>
      <w:r>
        <w:rPr>
          <w:rFonts w:ascii="Times New Roman" w:cs="Times New Roman" w:eastAsia="Times New Roman" w:hAnsi="Times New Roman"/>
          <w:sz w:val="19"/>
          <w:szCs w:val="19"/>
          <w:u w:val="single" w:color="auto"/>
          <w:color w:val="auto"/>
        </w:rPr>
        <w:t>Section 4 b. iv</w:t>
      </w:r>
      <w:r>
        <w:rPr>
          <w:rFonts w:ascii="Times New Roman" w:cs="Times New Roman" w:eastAsia="Times New Roman" w:hAnsi="Times New Roman"/>
          <w:sz w:val="19"/>
          <w:szCs w:val="19"/>
          <w:color w:val="auto"/>
        </w:rPr>
        <w:t xml:space="preserve"> within 30 days following the date of termination of Employee’s employment. The Make-Whole Bonus Amount shall not be payable by Employer if Employee’s employment terminates for any reason, whether such termination is by Employer or by Employee, prior to the date on which the Make-Whole Bonus Amount is paid to Employee.</w:t>
      </w:r>
    </w:p>
    <w:p>
      <w:pPr>
        <w:spacing w:after="0" w:line="156" w:lineRule="exact"/>
        <w:rPr>
          <w:sz w:val="20"/>
          <w:szCs w:val="20"/>
          <w:color w:val="auto"/>
        </w:rPr>
      </w:pPr>
    </w:p>
    <w:p>
      <w:pPr>
        <w:ind w:left="2200" w:right="800" w:hanging="285"/>
        <w:spacing w:after="0" w:line="262" w:lineRule="auto"/>
        <w:tabs>
          <w:tab w:leader="none" w:pos="22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Employee shall be eligible for reimbursement for all reasonable expenses for travel, lodging, entertainment and other business expenses in connection with Employer’s or Carlyle’s business, subject to Carlyle’s business expense reimbursement policies applicable to employees in the Office Location.</w:t>
      </w:r>
    </w:p>
    <w:p>
      <w:pPr>
        <w:spacing w:after="0" w:line="151" w:lineRule="exact"/>
        <w:rPr>
          <w:rFonts w:ascii="Times New Roman" w:cs="Times New Roman" w:eastAsia="Times New Roman" w:hAnsi="Times New Roman"/>
          <w:sz w:val="19"/>
          <w:szCs w:val="19"/>
          <w:color w:val="auto"/>
        </w:rPr>
      </w:pPr>
    </w:p>
    <w:p>
      <w:pPr>
        <w:ind w:left="2200" w:right="820" w:hanging="285"/>
        <w:spacing w:after="0" w:line="258" w:lineRule="auto"/>
        <w:tabs>
          <w:tab w:leader="none" w:pos="22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Employee shall, as incidences of employment, be eligible to participate in Employer’s employee benefit plans and programs, including those providing health, insurance, retirement and vacation benefits, to the same extent as offered to other employees with Employee’s tenure and level of Title for the Office Location, subject to the terms and eligibility requirements thereof and as such plans and programs may be amended from time to time in Employer’s sole discretion.</w:t>
      </w:r>
    </w:p>
    <w:p>
      <w:pPr>
        <w:spacing w:after="0" w:line="156" w:lineRule="exact"/>
        <w:rPr>
          <w:rFonts w:ascii="Times New Roman" w:cs="Times New Roman" w:eastAsia="Times New Roman" w:hAnsi="Times New Roman"/>
          <w:sz w:val="19"/>
          <w:szCs w:val="19"/>
          <w:color w:val="auto"/>
        </w:rPr>
      </w:pPr>
    </w:p>
    <w:p>
      <w:pPr>
        <w:ind w:left="2200" w:right="1140" w:hanging="285"/>
        <w:spacing w:after="0" w:line="269" w:lineRule="auto"/>
        <w:tabs>
          <w:tab w:leader="none" w:pos="22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securities and other laws, Employee may be permitted (but not obligated) during the Term to make personal</w:t>
      </w:r>
    </w:p>
    <w:p>
      <w:pPr>
        <w:ind w:left="2200" w:right="780"/>
        <w:spacing w:after="0" w:line="253" w:lineRule="auto"/>
        <w:rPr>
          <w:sz w:val="20"/>
          <w:szCs w:val="20"/>
          <w:color w:val="auto"/>
        </w:rPr>
      </w:pPr>
      <w:r>
        <w:rPr>
          <w:rFonts w:ascii="Times New Roman" w:cs="Times New Roman" w:eastAsia="Times New Roman" w:hAnsi="Times New Roman"/>
          <w:sz w:val="19"/>
          <w:szCs w:val="19"/>
          <w:color w:val="auto"/>
        </w:rPr>
        <w:t xml:space="preserve">investments directly in investments made by Carlyle and its investment funds during the Term without fees or carried interest (unless otherwise specified in the applicable subscription documents),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the amounts available for personal investment by Employee shall be determined by Carlyle in a manner consistent with Carlyle’s policies established for coinvestments by other employees at the level of Title in the Office Location, including an expense recovery allocation. Coinvestments with respect to investments made by a particular Carlyle investment fund may require Employee to make a commitment to invest in all investments acquired by such fund during the</w:t>
      </w:r>
    </w:p>
    <w:p>
      <w:pPr>
        <w:sectPr>
          <w:pgSz w:w="11900" w:h="16840" w:orient="portrait"/>
          <w:cols w:equalWidth="0" w:num="1">
            <w:col w:w="9020"/>
          </w:cols>
          <w:pgMar w:left="1440" w:top="556" w:right="1440" w:bottom="120" w:gutter="0" w:footer="0" w:header="0"/>
        </w:sectPr>
      </w:pPr>
    </w:p>
    <w:bookmarkStart w:id="195" w:name="page196"/>
    <w:bookmarkEnd w:id="195"/>
    <w:p>
      <w:pPr>
        <w:ind w:left="2200" w:right="1000"/>
        <w:spacing w:after="0" w:line="197" w:lineRule="auto"/>
        <w:rPr>
          <w:sz w:val="20"/>
          <w:szCs w:val="20"/>
          <w:color w:val="auto"/>
        </w:rPr>
      </w:pPr>
      <w:r>
        <w:rPr>
          <w:rFonts w:ascii="Times New Roman" w:cs="Times New Roman" w:eastAsia="Times New Roman" w:hAnsi="Times New Roman"/>
          <w:sz w:val="19"/>
          <w:szCs w:val="19"/>
          <w:color w:val="auto"/>
        </w:rPr>
        <w:t>Term, in accordance with internal coinvestment policies adopted by Carlyle with respect to such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-219075</wp:posOffset>
            </wp:positionV>
            <wp:extent cx="6707505" cy="99695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149" w:lineRule="exact"/>
        <w:rPr>
          <w:sz w:val="20"/>
          <w:szCs w:val="20"/>
          <w:color w:val="auto"/>
        </w:rPr>
      </w:pPr>
    </w:p>
    <w:p>
      <w:pPr>
        <w:ind w:left="760" w:right="800" w:firstLine="579"/>
        <w:spacing w:after="0" w:line="258" w:lineRule="auto"/>
        <w:tabs>
          <w:tab w:leader="none" w:pos="191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Background Investigation</w:t>
      </w:r>
      <w:r>
        <w:rPr>
          <w:rFonts w:ascii="Times New Roman" w:cs="Times New Roman" w:eastAsia="Times New Roman" w:hAnsi="Times New Roman"/>
          <w:sz w:val="19"/>
          <w:szCs w:val="19"/>
          <w:color w:val="auto"/>
        </w:rPr>
        <w:t xml:space="preserve"> . Employee’s employment is contingent upon Employer’s satisfactory completion of its background investigation of Employee, which shall be completed within 90 days of the Commencement Date. In addition, Employer may require that a background investigation be conducted by an independent third party. Following the Commencement Date, Employee may be subject to periodic background checks from time to time at Employer’s sole discretion. An unsatisfactory background investigation, a delay in the process due to lack of response from Employee for requested information or falsification, misrepresentation or omission on Employee’s resume, new hire paperwork or other work records will result in the termination of the offer of employment and in the event Employee’s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840"/>
        <w:spacing w:after="0" w:line="286" w:lineRule="auto"/>
        <w:rPr>
          <w:sz w:val="20"/>
          <w:szCs w:val="20"/>
          <w:color w:val="auto"/>
        </w:rPr>
      </w:pPr>
      <w:r>
        <w:rPr>
          <w:rFonts w:ascii="Times New Roman" w:cs="Times New Roman" w:eastAsia="Times New Roman" w:hAnsi="Times New Roman"/>
          <w:sz w:val="19"/>
          <w:szCs w:val="19"/>
          <w:color w:val="auto"/>
        </w:rPr>
        <w:t>employment has commenced, Employee’s employment shall be terminated and such termination shall be deemed to be for Cause (as defined herein).</w:t>
      </w:r>
    </w:p>
    <w:p>
      <w:pPr>
        <w:spacing w:after="0" w:line="127" w:lineRule="exact"/>
        <w:rPr>
          <w:sz w:val="20"/>
          <w:szCs w:val="20"/>
          <w:color w:val="auto"/>
        </w:rPr>
      </w:pPr>
    </w:p>
    <w:p>
      <w:pPr>
        <w:ind w:left="760" w:right="800" w:firstLine="579"/>
        <w:spacing w:after="0" w:line="258" w:lineRule="auto"/>
        <w:tabs>
          <w:tab w:leader="none" w:pos="1912"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If Employee does not commence employment with Employer, for any reason, by the Commencement Date (including because any non-competition, garden leave, notice period, or similar covenants applicable to Employee with any former employer have not expired or been waived, or Employer’s earlier withdrawal of this Agreement for any reason), this Agreement and any related agreement entered into between Employee and Carlyle shall be null and void and no amounts shall be payable to Employee by Employer hereunder or thereunder. For the avoidance of doubt, Employee will not be an employee of Employer or Carlyle unless and until Employee actually begins employment on the Commencement Date. Employee’s employment with Employer shall be terminable at any time during the Term as follows:</w:t>
      </w:r>
    </w:p>
    <w:p>
      <w:pPr>
        <w:spacing w:after="0" w:line="154" w:lineRule="exact"/>
        <w:rPr>
          <w:rFonts w:ascii="Times New Roman" w:cs="Times New Roman" w:eastAsia="Times New Roman" w:hAnsi="Times New Roman"/>
          <w:sz w:val="19"/>
          <w:szCs w:val="19"/>
          <w:color w:val="auto"/>
        </w:rPr>
      </w:pPr>
    </w:p>
    <w:p>
      <w:pPr>
        <w:ind w:left="2200" w:hanging="285"/>
        <w:spacing w:after="0"/>
        <w:tabs>
          <w:tab w:leader="none" w:pos="22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automatically upon Employee’s death;</w:t>
      </w:r>
    </w:p>
    <w:p>
      <w:pPr>
        <w:spacing w:after="0" w:line="201" w:lineRule="exact"/>
        <w:rPr>
          <w:rFonts w:ascii="Times New Roman" w:cs="Times New Roman" w:eastAsia="Times New Roman" w:hAnsi="Times New Roman"/>
          <w:sz w:val="19"/>
          <w:szCs w:val="19"/>
          <w:color w:val="auto"/>
        </w:rPr>
      </w:pPr>
    </w:p>
    <w:p>
      <w:pPr>
        <w:ind w:left="2200" w:right="800" w:hanging="285"/>
        <w:spacing w:after="0" w:line="286" w:lineRule="auto"/>
        <w:tabs>
          <w:tab w:leader="none" w:pos="22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Employer, subject only to such notification requirements as are required by this </w:t>
      </w:r>
      <w:r>
        <w:rPr>
          <w:rFonts w:ascii="Times New Roman" w:cs="Times New Roman" w:eastAsia="Times New Roman" w:hAnsi="Times New Roman"/>
          <w:sz w:val="19"/>
          <w:szCs w:val="19"/>
          <w:u w:val="single" w:color="auto"/>
          <w:color w:val="auto"/>
        </w:rPr>
        <w:t>Section 6.b.</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ind w:left="2780" w:right="780" w:hanging="289"/>
        <w:spacing w:after="0" w:line="260" w:lineRule="auto"/>
        <w:tabs>
          <w:tab w:leader="none" w:pos="2780"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Employee’s incapacitation by accident, sickness or other circumstance that renders Employee mentally or physically incapable of performing the duties and services required of Employee hereunder for a period of at least 180 days during any 12-month period, subject to the requirements of the Americans With Disabilities Act or any similar applicable law;</w:t>
      </w:r>
    </w:p>
    <w:p>
      <w:pPr>
        <w:spacing w:after="0" w:line="164" w:lineRule="exact"/>
        <w:rPr>
          <w:rFonts w:ascii="Times New Roman" w:cs="Times New Roman" w:eastAsia="Times New Roman" w:hAnsi="Times New Roman"/>
          <w:sz w:val="19"/>
          <w:szCs w:val="19"/>
          <w:color w:val="auto"/>
        </w:rPr>
      </w:pPr>
    </w:p>
    <w:p>
      <w:pPr>
        <w:ind w:left="2780" w:right="780" w:hanging="289"/>
        <w:spacing w:after="0" w:line="255" w:lineRule="auto"/>
        <w:tabs>
          <w:tab w:leader="none" w:pos="2780" w:val="left"/>
        </w:tabs>
        <w:numPr>
          <w:ilvl w:val="2"/>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for “Cause”, which for purposes of this Agreement means that Employee has: (A) engaged in gross negligence or willful misconduct in the performance of the duties required of Employee hereunder; (B) willfully engaged in conduct that Employee knows or, based on facts known to Employee, should know, is materially</w:t>
      </w:r>
    </w:p>
    <w:p>
      <w:pPr>
        <w:spacing w:after="0" w:line="3" w:lineRule="exact"/>
        <w:rPr>
          <w:sz w:val="20"/>
          <w:szCs w:val="20"/>
          <w:color w:val="auto"/>
        </w:rPr>
      </w:pPr>
    </w:p>
    <w:p>
      <w:pPr>
        <w:ind w:left="2780" w:right="780"/>
        <w:spacing w:after="0" w:line="254" w:lineRule="auto"/>
        <w:rPr>
          <w:sz w:val="20"/>
          <w:szCs w:val="20"/>
          <w:color w:val="auto"/>
        </w:rPr>
      </w:pPr>
      <w:r>
        <w:rPr>
          <w:rFonts w:ascii="Times New Roman" w:cs="Times New Roman" w:eastAsia="Times New Roman" w:hAnsi="Times New Roman"/>
          <w:sz w:val="19"/>
          <w:szCs w:val="19"/>
          <w:color w:val="auto"/>
        </w:rPr>
        <w:t xml:space="preserve">injurious to Employer or any of its affiliates; (C) materially breached any provision of this Agreement (other than </w:t>
      </w:r>
      <w:r>
        <w:rPr>
          <w:rFonts w:ascii="Times New Roman" w:cs="Times New Roman" w:eastAsia="Times New Roman" w:hAnsi="Times New Roman"/>
          <w:sz w:val="19"/>
          <w:szCs w:val="19"/>
          <w:u w:val="single" w:color="auto"/>
          <w:color w:val="auto"/>
        </w:rPr>
        <w:t>Section 8.c.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8.d.</w:t>
      </w:r>
      <w:r>
        <w:rPr>
          <w:rFonts w:ascii="Times New Roman" w:cs="Times New Roman" w:eastAsia="Times New Roman" w:hAnsi="Times New Roman"/>
          <w:sz w:val="19"/>
          <w:szCs w:val="19"/>
          <w:color w:val="auto"/>
        </w:rPr>
        <w:t>, which are addressed in sub-section (F) below); (D) been convicted of, or entered a plea bargain or settlement admitting guilt for, (x) fraud, embezzlement or any other felony or (y) any misdemeanor involving moral turpitude, in each case under the laws of the United States or of any state or municipality or the District of Columbia or any other country or any jurisdiction of any other country (but specifically excluding for purposes of both clause (x) and (y), minor traffic infractions); (E) been the subject of any judicial or administrative order obtained or issued by the U.S. Securities and Exchange Commission or similar agency or tribunal of any country, for any securities violation involving insider trading, fraud, misappropriation, dishonesty or willful misconduct (including, for example, any such order consented to by Employee in which findings of facts or any legal conclusions establishing liability are neither</w:t>
      </w:r>
    </w:p>
    <w:p>
      <w:pPr>
        <w:sectPr>
          <w:pgSz w:w="11900" w:h="16840" w:orient="portrait"/>
          <w:cols w:equalWidth="0" w:num="1">
            <w:col w:w="9020"/>
          </w:cols>
          <w:pgMar w:left="1440" w:top="556" w:right="1440" w:bottom="101"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5</w:t>
      </w:r>
    </w:p>
    <w:p>
      <w:pPr>
        <w:sectPr>
          <w:pgSz w:w="11900" w:h="16840" w:orient="portrait"/>
          <w:cols w:equalWidth="0" w:num="1">
            <w:col w:w="9020"/>
          </w:cols>
          <w:pgMar w:left="1440" w:top="809" w:right="1440" w:bottom="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780" w:right="780"/>
        <w:spacing w:after="0" w:line="286" w:lineRule="auto"/>
        <w:rPr>
          <w:sz w:val="20"/>
          <w:szCs w:val="20"/>
          <w:color w:val="auto"/>
        </w:rPr>
      </w:pPr>
      <w:r>
        <w:rPr>
          <w:rFonts w:ascii="Times New Roman" w:cs="Times New Roman" w:eastAsia="Times New Roman" w:hAnsi="Times New Roman"/>
          <w:sz w:val="19"/>
          <w:szCs w:val="19"/>
          <w:color w:val="auto"/>
        </w:rPr>
        <w:t xml:space="preserve">admitted nor denied); or (F) breached any provision of </w:t>
      </w:r>
      <w:r>
        <w:rPr>
          <w:rFonts w:ascii="Times New Roman" w:cs="Times New Roman" w:eastAsia="Times New Roman" w:hAnsi="Times New Roman"/>
          <w:sz w:val="19"/>
          <w:szCs w:val="19"/>
          <w:u w:val="single" w:color="auto"/>
          <w:color w:val="auto"/>
        </w:rPr>
        <w:t>Section 8.c.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8.d</w:t>
      </w:r>
      <w:r>
        <w:rPr>
          <w:rFonts w:ascii="Times New Roman" w:cs="Times New Roman" w:eastAsia="Times New Roman" w:hAnsi="Times New Roman"/>
          <w:sz w:val="19"/>
          <w:szCs w:val="19"/>
          <w:color w:val="auto"/>
        </w:rPr>
        <w:t>; or</w:t>
      </w:r>
    </w:p>
    <w:p>
      <w:pPr>
        <w:spacing w:after="0" w:line="127" w:lineRule="exact"/>
        <w:rPr>
          <w:sz w:val="20"/>
          <w:szCs w:val="20"/>
          <w:color w:val="auto"/>
        </w:rPr>
      </w:pPr>
    </w:p>
    <w:p>
      <w:pPr>
        <w:ind w:left="2780" w:right="800" w:hanging="289"/>
        <w:spacing w:after="0" w:line="266" w:lineRule="auto"/>
        <w:tabs>
          <w:tab w:leader="none" w:pos="278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other reason whatsoever, upon 30 days’ notice to Employee, or immediately if Employer pays Employee 30 days’ compensation as severance pay in exchange for execution of a separation agreement including a Release; and</w:t>
      </w:r>
    </w:p>
    <w:p>
      <w:pPr>
        <w:spacing w:after="0" w:line="147" w:lineRule="exact"/>
        <w:rPr>
          <w:rFonts w:ascii="Times New Roman" w:cs="Times New Roman" w:eastAsia="Times New Roman" w:hAnsi="Times New Roman"/>
          <w:sz w:val="19"/>
          <w:szCs w:val="19"/>
          <w:color w:val="auto"/>
        </w:rPr>
      </w:pPr>
    </w:p>
    <w:p>
      <w:pPr>
        <w:ind w:left="2200" w:right="1000" w:hanging="285"/>
        <w:spacing w:after="0" w:line="286" w:lineRule="auto"/>
        <w:tabs>
          <w:tab w:leader="none" w:pos="22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Employee, at any time during the Term, subject only to such notification requirements as are required by this </w:t>
      </w:r>
      <w:r>
        <w:rPr>
          <w:rFonts w:ascii="Times New Roman" w:cs="Times New Roman" w:eastAsia="Times New Roman" w:hAnsi="Times New Roman"/>
          <w:sz w:val="19"/>
          <w:szCs w:val="19"/>
          <w:u w:val="single" w:color="auto"/>
          <w:color w:val="auto"/>
        </w:rPr>
        <w:t>Section 6.c.</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19"/>
          <w:szCs w:val="19"/>
          <w:color w:val="auto"/>
        </w:rPr>
      </w:pPr>
    </w:p>
    <w:p>
      <w:pPr>
        <w:ind w:left="2780" w:right="780" w:hanging="289"/>
        <w:spacing w:after="0" w:line="257" w:lineRule="auto"/>
        <w:tabs>
          <w:tab w:leader="none" w:pos="278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w:t>
      </w:r>
      <w:r>
        <w:rPr>
          <w:rFonts w:ascii="Times New Roman" w:cs="Times New Roman" w:eastAsia="Times New Roman" w:hAnsi="Times New Roman"/>
          <w:sz w:val="19"/>
          <w:szCs w:val="19"/>
          <w:i w:val="1"/>
          <w:iCs w:val="1"/>
          <w:color w:val="auto"/>
        </w:rPr>
        <w:t>Good Reason</w:t>
      </w:r>
      <w:r>
        <w:rPr>
          <w:rFonts w:ascii="Times New Roman" w:cs="Times New Roman" w:eastAsia="Times New Roman" w:hAnsi="Times New Roman"/>
          <w:sz w:val="19"/>
          <w:szCs w:val="19"/>
          <w:color w:val="auto"/>
        </w:rPr>
        <w:t xml:space="preserve"> , which means: (A) a material breach of this Agreement by Employer or (B) a significant, sustained reduction in, or adverse modification of, the nature and scope of Employee’s authority, duties and privileges during the Term (whether or not accompanied by a change in title), but in each case only if (I) Employer has received written notice from Employee of Employee’s intent to terminate Employee’s employment for Good Reason and specifying in detail the basis for such termination within 60 days following the first occurrence of the event alleged to constitute Good Reason, (II) such Good Reason has not been corrected or cured by Employer within 30 days after Employer’s receipt of such notice and (III) Employee terminates Employee’s employment with Employer within 30 days following the expiration of such 30-day cure period; or</w:t>
      </w:r>
    </w:p>
    <w:p>
      <w:pPr>
        <w:spacing w:after="0" w:line="154" w:lineRule="exact"/>
        <w:rPr>
          <w:sz w:val="20"/>
          <w:szCs w:val="20"/>
          <w:color w:val="auto"/>
        </w:rPr>
      </w:pPr>
    </w:p>
    <w:p>
      <w:pPr>
        <w:ind w:left="2780" w:right="1100" w:hanging="289"/>
        <w:spacing w:after="0" w:line="286" w:lineRule="auto"/>
        <w:tabs>
          <w:tab w:leader="none" w:pos="278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any other reason whatsoever, upon notice to Employer given in accordance with </w:t>
      </w: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hereof.</w:t>
      </w:r>
    </w:p>
    <w:p>
      <w:pPr>
        <w:spacing w:after="0" w:line="127" w:lineRule="exact"/>
        <w:rPr>
          <w:rFonts w:ascii="Times New Roman" w:cs="Times New Roman" w:eastAsia="Times New Roman" w:hAnsi="Times New Roman"/>
          <w:sz w:val="19"/>
          <w:szCs w:val="19"/>
          <w:color w:val="auto"/>
        </w:rPr>
      </w:pPr>
    </w:p>
    <w:p>
      <w:pPr>
        <w:ind w:left="1920" w:hanging="581"/>
        <w:spacing w:after="0"/>
        <w:tabs>
          <w:tab w:leader="none" w:pos="19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2500" w:right="1000" w:hanging="9"/>
        <w:spacing w:after="0" w:line="269" w:lineRule="auto"/>
        <w:tabs>
          <w:tab w:leader="none" w:pos="3076"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Employee’s employment for any reason, Employee shall be entitled to receive: (i) any unpaid portion of the Base</w:t>
      </w:r>
    </w:p>
    <w:p>
      <w:pPr>
        <w:ind w:left="2500"/>
        <w:spacing w:after="0"/>
        <w:rPr>
          <w:sz w:val="20"/>
          <w:szCs w:val="20"/>
          <w:color w:val="auto"/>
        </w:rPr>
      </w:pPr>
      <w:r>
        <w:rPr>
          <w:rFonts w:ascii="Times New Roman" w:cs="Times New Roman" w:eastAsia="Times New Roman" w:hAnsi="Times New Roman"/>
          <w:sz w:val="19"/>
          <w:szCs w:val="19"/>
          <w:color w:val="auto"/>
        </w:rPr>
        <w:t>Salary Amount that has been earned and accrued through the effective date</w:t>
      </w:r>
    </w:p>
    <w:p>
      <w:pPr>
        <w:spacing w:after="0" w:line="10" w:lineRule="exact"/>
        <w:rPr>
          <w:sz w:val="20"/>
          <w:szCs w:val="20"/>
          <w:color w:val="auto"/>
        </w:rPr>
      </w:pPr>
    </w:p>
    <w:p>
      <w:pPr>
        <w:ind w:left="2500" w:right="780"/>
        <w:spacing w:after="0" w:line="253" w:lineRule="auto"/>
        <w:rPr>
          <w:sz w:val="20"/>
          <w:szCs w:val="20"/>
          <w:color w:val="auto"/>
        </w:rPr>
      </w:pPr>
      <w:r>
        <w:rPr>
          <w:rFonts w:ascii="Times New Roman" w:cs="Times New Roman" w:eastAsia="Times New Roman" w:hAnsi="Times New Roman"/>
          <w:sz w:val="19"/>
          <w:szCs w:val="19"/>
          <w:color w:val="auto"/>
        </w:rPr>
        <w:t xml:space="preserve">of such termination; (ii) reimbursement pursuant to </w:t>
      </w:r>
      <w:r>
        <w:rPr>
          <w:rFonts w:ascii="Times New Roman" w:cs="Times New Roman" w:eastAsia="Times New Roman" w:hAnsi="Times New Roman"/>
          <w:sz w:val="19"/>
          <w:szCs w:val="19"/>
          <w:u w:val="single" w:color="auto"/>
          <w:color w:val="auto"/>
        </w:rPr>
        <w:t>Section 4.c.</w:t>
      </w:r>
      <w:r>
        <w:rPr>
          <w:rFonts w:ascii="Times New Roman" w:cs="Times New Roman" w:eastAsia="Times New Roman" w:hAnsi="Times New Roman"/>
          <w:sz w:val="19"/>
          <w:szCs w:val="19"/>
          <w:color w:val="auto"/>
        </w:rPr>
        <w:t xml:space="preserve"> for business expenses incurred by Employee during the Term; and (iii) any vested amount accrued and arising from Employee’s participation in, or benefits accrued under any employee benefit plans, programs or arrangements, which amounts shall be payable in accordance with the terms and conditions of such employee benefit plans, programs or arrangements, and, except in the case of a termination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6.b.ii.</w:t>
      </w:r>
      <w:r>
        <w:rPr>
          <w:rFonts w:ascii="Times New Roman" w:cs="Times New Roman" w:eastAsia="Times New Roman" w:hAnsi="Times New Roman"/>
          <w:sz w:val="19"/>
          <w:szCs w:val="19"/>
          <w:color w:val="auto"/>
        </w:rPr>
        <w:t>, amounts accrued and arising from any equity-based incentive plan. Except as otherwise expressly required by law (e.g., COBRA) or as specifically provided herein, all of Employee’s rights to salary, severance, benefits, bonuses and other compensatory amounts hereunder (if any) shall cease upon the termination of Employee’s employment hereunder. In the event that Employee’s employment is terminated by Employer for any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40" w:orient="portrait"/>
          <w:cols w:equalWidth="0" w:num="1">
            <w:col w:w="9020"/>
          </w:cols>
          <w:pgMar w:left="1440" w:top="809" w:right="1440" w:bottom="12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00" w:right="1220"/>
        <w:spacing w:after="0" w:line="286" w:lineRule="auto"/>
        <w:rPr>
          <w:sz w:val="20"/>
          <w:szCs w:val="20"/>
          <w:color w:val="auto"/>
        </w:rPr>
      </w:pPr>
      <w:r>
        <w:rPr>
          <w:rFonts w:ascii="Times New Roman" w:cs="Times New Roman" w:eastAsia="Times New Roman" w:hAnsi="Times New Roman"/>
          <w:sz w:val="19"/>
          <w:szCs w:val="19"/>
          <w:color w:val="auto"/>
        </w:rPr>
        <w:t xml:space="preserve">reason, Employee’s sole and exclusive remedy shall be to receive the payments and benefits described in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w:t>
      </w:r>
    </w:p>
    <w:p>
      <w:pPr>
        <w:sectPr>
          <w:pgSz w:w="11900" w:h="16840" w:orient="portrait"/>
          <w:cols w:equalWidth="0" w:num="1">
            <w:col w:w="9020"/>
          </w:cols>
          <w:pgMar w:left="1440" w:top="809" w:right="1440" w:bottom="122" w:gutter="0" w:footer="0" w:header="0"/>
          <w:type w:val="continuous"/>
        </w:sectPr>
      </w:pPr>
    </w:p>
    <w:bookmarkStart w:id="197" w:name="page198"/>
    <w:bookmarkEnd w:id="197"/>
    <w:p>
      <w:pPr>
        <w:ind w:left="2500" w:right="880" w:hanging="9"/>
        <w:spacing w:after="0" w:line="262" w:lineRule="auto"/>
        <w:tabs>
          <w:tab w:leader="none" w:pos="307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 xml:space="preserve">If at any time on or before the first anniversary of the Commencement Date (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Employee commenced employment with Employer on the Commencement Date): (i) Employee terminates</w:t>
      </w:r>
    </w:p>
    <w:p>
      <w:pPr>
        <w:spacing w:after="0" w:line="3" w:lineRule="exact"/>
        <w:rPr>
          <w:sz w:val="20"/>
          <w:szCs w:val="20"/>
          <w:color w:val="auto"/>
        </w:rPr>
      </w:pPr>
    </w:p>
    <w:p>
      <w:pPr>
        <w:ind w:left="2500" w:right="780"/>
        <w:spacing w:after="0" w:line="253" w:lineRule="auto"/>
        <w:rPr>
          <w:sz w:val="20"/>
          <w:szCs w:val="20"/>
          <w:color w:val="auto"/>
        </w:rPr>
      </w:pPr>
      <w:r>
        <w:rPr>
          <w:rFonts w:ascii="Times New Roman" w:cs="Times New Roman" w:eastAsia="Times New Roman" w:hAnsi="Times New Roman"/>
          <w:sz w:val="19"/>
          <w:szCs w:val="19"/>
          <w:color w:val="auto"/>
        </w:rPr>
        <w:t xml:space="preserve">Employee’s employment pursuant to </w:t>
      </w:r>
      <w:r>
        <w:rPr>
          <w:rFonts w:ascii="Times New Roman" w:cs="Times New Roman" w:eastAsia="Times New Roman" w:hAnsi="Times New Roman"/>
          <w:sz w:val="19"/>
          <w:szCs w:val="19"/>
          <w:u w:val="single" w:color="auto"/>
          <w:color w:val="auto"/>
        </w:rPr>
        <w:t>Section 6.c.i.</w:t>
      </w:r>
      <w:r>
        <w:rPr>
          <w:rFonts w:ascii="Times New Roman" w:cs="Times New Roman" w:eastAsia="Times New Roman" w:hAnsi="Times New Roman"/>
          <w:sz w:val="19"/>
          <w:szCs w:val="19"/>
          <w:color w:val="auto"/>
        </w:rPr>
        <w:t xml:space="preserve"> and Employer could not have terminated Employee’s employment for Cause pursuant to </w:t>
      </w:r>
      <w:r>
        <w:rPr>
          <w:rFonts w:ascii="Times New Roman" w:cs="Times New Roman" w:eastAsia="Times New Roman" w:hAnsi="Times New Roman"/>
          <w:sz w:val="19"/>
          <w:szCs w:val="19"/>
          <w:u w:val="single" w:color="auto"/>
          <w:color w:val="auto"/>
        </w:rPr>
        <w:t>Section 6.b.ii.</w:t>
      </w:r>
      <w:r>
        <w:rPr>
          <w:rFonts w:ascii="Times New Roman" w:cs="Times New Roman" w:eastAsia="Times New Roman" w:hAnsi="Times New Roman"/>
          <w:sz w:val="19"/>
          <w:szCs w:val="19"/>
          <w:color w:val="auto"/>
        </w:rPr>
        <w:t xml:space="preserve"> or (ii) </w:t>
      </w:r>
      <w:r>
        <w:rPr>
          <w:rFonts w:ascii="Arial" w:cs="Arial" w:eastAsia="Arial" w:hAnsi="Arial"/>
          <w:sz w:val="19"/>
          <w:szCs w:val="19"/>
          <w:color w:val="auto"/>
        </w:rPr>
        <w:t> </w:t>
      </w:r>
      <w:r>
        <w:rPr>
          <w:rFonts w:ascii="Times New Roman" w:cs="Times New Roman" w:eastAsia="Times New Roman" w:hAnsi="Times New Roman"/>
          <w:sz w:val="19"/>
          <w:szCs w:val="19"/>
          <w:color w:val="auto"/>
        </w:rPr>
        <w:t xml:space="preserve">Employer terminates Employee’s employment pursuant to </w:t>
      </w:r>
      <w:r>
        <w:rPr>
          <w:rFonts w:ascii="Times New Roman" w:cs="Times New Roman" w:eastAsia="Times New Roman" w:hAnsi="Times New Roman"/>
          <w:sz w:val="19"/>
          <w:szCs w:val="19"/>
          <w:u w:val="single" w:color="auto"/>
          <w:color w:val="auto"/>
        </w:rPr>
        <w:t>Section 6.b.iii.</w:t>
      </w:r>
      <w:r>
        <w:rPr>
          <w:rFonts w:ascii="Times New Roman" w:cs="Times New Roman" w:eastAsia="Times New Roman" w:hAnsi="Times New Roman"/>
          <w:sz w:val="19"/>
          <w:szCs w:val="19"/>
          <w:color w:val="auto"/>
        </w:rPr>
        <w:t xml:space="preserve"> , then, in either case, subject to Employee timely signing and not revoking a release of claims in a form reasonably acceptable to Employer that releases Employer and its affiliates from further claims and liabilities relating to Employee’s employment and the termination of Employee’s employment (other than claims for indemnification pursuant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 (the “ </w:t>
      </w:r>
      <w:r>
        <w:rPr>
          <w:rFonts w:ascii="Times New Roman" w:cs="Times New Roman" w:eastAsia="Times New Roman" w:hAnsi="Times New Roman"/>
          <w:sz w:val="19"/>
          <w:szCs w:val="19"/>
          <w:i w:val="1"/>
          <w:iCs w:val="1"/>
          <w:u w:val="single" w:color="auto"/>
          <w:color w:val="auto"/>
        </w:rPr>
        <w:t>Release</w:t>
      </w:r>
      <w:r>
        <w:rPr>
          <w:rFonts w:ascii="Times New Roman" w:cs="Times New Roman" w:eastAsia="Times New Roman" w:hAnsi="Times New Roman"/>
          <w:sz w:val="19"/>
          <w:szCs w:val="19"/>
          <w:color w:val="auto"/>
        </w:rPr>
        <w:t xml:space="preserve">”), Employer shall pay (in addition to the payments and benefits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cash severance to Employee, within 60 days after the date of such termination, in a lump sum amount equal to the sum of (x) the unpaid portion of the Base Salary Amount that Employer would have paid Employee from the date of such termination through the first anniversary of the Commencement Date if Employee’s employment had not terminated, </w:t>
      </w:r>
      <w:r>
        <w:rPr>
          <w:rFonts w:ascii="Times New Roman" w:cs="Times New Roman" w:eastAsia="Times New Roman" w:hAnsi="Times New Roman"/>
          <w:sz w:val="19"/>
          <w:szCs w:val="19"/>
          <w:i w:val="1"/>
          <w:iCs w:val="1"/>
          <w:color w:val="auto"/>
        </w:rPr>
        <w:t>plus</w:t>
      </w:r>
    </w:p>
    <w:p>
      <w:pPr>
        <w:spacing w:after="0" w:line="1" w:lineRule="exact"/>
        <w:rPr>
          <w:sz w:val="20"/>
          <w:szCs w:val="20"/>
          <w:color w:val="auto"/>
        </w:rPr>
      </w:pPr>
    </w:p>
    <w:p>
      <w:pPr>
        <w:ind w:left="2500" w:right="960" w:hanging="9"/>
        <w:spacing w:after="0" w:line="250" w:lineRule="auto"/>
        <w:tabs>
          <w:tab w:leader="none" w:pos="277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excess, if any, of the sum of the 2023 Guaranteed Bonus Amount and 2024 Guaranteed Bonus Amount over the cumulative amount of all</w:t>
      </w:r>
    </w:p>
    <w:p>
      <w:pPr>
        <w:spacing w:after="0" w:line="1" w:lineRule="exact"/>
        <w:rPr>
          <w:sz w:val="20"/>
          <w:szCs w:val="20"/>
          <w:color w:val="auto"/>
        </w:rPr>
      </w:pPr>
    </w:p>
    <w:p>
      <w:pPr>
        <w:ind w:left="2500" w:right="880"/>
        <w:spacing w:after="0" w:line="255" w:lineRule="auto"/>
        <w:rPr>
          <w:sz w:val="20"/>
          <w:szCs w:val="20"/>
          <w:color w:val="auto"/>
        </w:rPr>
      </w:pPr>
      <w:r>
        <w:rPr>
          <w:rFonts w:ascii="Times New Roman" w:cs="Times New Roman" w:eastAsia="Times New Roman" w:hAnsi="Times New Roman"/>
          <w:sz w:val="19"/>
          <w:szCs w:val="19"/>
          <w:color w:val="auto"/>
        </w:rPr>
        <w:t xml:space="preserve">bonuses actually paid to Employee pursuant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through the effective date of such termination (including, without limitation, amounts previously paid in respect of the 2023 Guaranteed Bonus Amount and the 2024 Guaranteed Bonus Amount from the Commencement Date through such date of employment termination, but excluding any amounts previously paid in respect of the Make Whole Bonus Amount).</w:t>
      </w:r>
    </w:p>
    <w:p>
      <w:pPr>
        <w:spacing w:after="0" w:line="206" w:lineRule="exact"/>
        <w:rPr>
          <w:sz w:val="20"/>
          <w:szCs w:val="20"/>
          <w:color w:val="auto"/>
        </w:rPr>
      </w:pPr>
    </w:p>
    <w:p>
      <w:pPr>
        <w:ind w:left="2500" w:right="840" w:hanging="9"/>
        <w:spacing w:after="0" w:line="256" w:lineRule="auto"/>
        <w:tabs>
          <w:tab w:leader="none" w:pos="307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after the first anniversary of the Commencement Date and on or before the second anniversary of the Commencement Date (provided that Employee commenced employment with Employer on the Commencement Date): (i) Employee terminates Employee’s employment</w:t>
      </w:r>
    </w:p>
    <w:p>
      <w:pPr>
        <w:spacing w:after="0" w:line="2" w:lineRule="exact"/>
        <w:rPr>
          <w:sz w:val="20"/>
          <w:szCs w:val="20"/>
          <w:color w:val="auto"/>
        </w:rPr>
      </w:pPr>
    </w:p>
    <w:p>
      <w:pPr>
        <w:ind w:left="2500"/>
        <w:spacing w:after="0"/>
        <w:tabs>
          <w:tab w:leader="none" w:pos="3520" w:val="left"/>
        </w:tabs>
        <w:rPr>
          <w:sz w:val="20"/>
          <w:szCs w:val="20"/>
          <w:color w:val="auto"/>
        </w:rPr>
      </w:pPr>
      <w:r>
        <w:rPr>
          <w:rFonts w:ascii="Times New Roman" w:cs="Times New Roman" w:eastAsia="Times New Roman" w:hAnsi="Times New Roman"/>
          <w:sz w:val="19"/>
          <w:szCs w:val="19"/>
          <w:color w:val="auto"/>
        </w:rPr>
        <w:t>pursuant to</w:t>
      </w:r>
      <w:r>
        <w:rPr>
          <w:sz w:val="20"/>
          <w:szCs w:val="20"/>
          <w:color w:val="auto"/>
        </w:rPr>
        <w:tab/>
      </w:r>
      <w:r>
        <w:rPr>
          <w:rFonts w:ascii="Times New Roman" w:cs="Times New Roman" w:eastAsia="Times New Roman" w:hAnsi="Times New Roman"/>
          <w:sz w:val="19"/>
          <w:szCs w:val="19"/>
          <w:u w:val="single" w:color="auto"/>
          <w:color w:val="auto"/>
        </w:rPr>
        <w:t xml:space="preserve">Section 6.c.i. </w:t>
      </w:r>
      <w:r>
        <w:rPr>
          <w:rFonts w:ascii="Times New Roman" w:cs="Times New Roman" w:eastAsia="Times New Roman" w:hAnsi="Times New Roman"/>
          <w:sz w:val="19"/>
          <w:szCs w:val="19"/>
          <w:color w:val="auto"/>
        </w:rPr>
        <w:t>and Employer could not have terminated</w:t>
      </w:r>
    </w:p>
    <w:tbl>
      <w:tblPr>
        <w:tblLayout w:type="fixed"/>
        <w:tblInd w:w="2500" w:type="dxa"/>
        <w:tblCellMar>
          <w:top w:w="0" w:type="dxa"/>
          <w:left w:w="0" w:type="dxa"/>
          <w:bottom w:w="0" w:type="dxa"/>
          <w:right w:w="0" w:type="dxa"/>
        </w:tblCellMar>
      </w:tblPr>
      <w:tr>
        <w:trPr>
          <w:trHeight w:val="205"/>
        </w:trPr>
        <w:tc>
          <w:tcPr>
            <w:tcW w:w="4260" w:type="dxa"/>
            <w:vAlign w:val="bottom"/>
          </w:tcPr>
          <w:p>
            <w:pPr>
              <w:spacing w:after="0" w:line="204" w:lineRule="exact"/>
              <w:rPr>
                <w:sz w:val="20"/>
                <w:szCs w:val="20"/>
                <w:color w:val="auto"/>
              </w:rPr>
            </w:pPr>
            <w:r>
              <w:rPr>
                <w:rFonts w:ascii="Times New Roman" w:cs="Times New Roman" w:eastAsia="Times New Roman" w:hAnsi="Times New Roman"/>
                <w:sz w:val="19"/>
                <w:szCs w:val="19"/>
                <w:color w:val="auto"/>
              </w:rPr>
              <w:t>Employee’s employment for Cause pursuant to</w:t>
            </w:r>
          </w:p>
        </w:tc>
        <w:tc>
          <w:tcPr>
            <w:tcW w:w="1520" w:type="dxa"/>
            <w:vAlign w:val="bottom"/>
            <w:gridSpan w:val="3"/>
          </w:tcPr>
          <w:p>
            <w:pPr>
              <w:spacing w:after="0" w:line="204" w:lineRule="exact"/>
              <w:rPr>
                <w:sz w:val="20"/>
                <w:szCs w:val="20"/>
                <w:color w:val="auto"/>
              </w:rPr>
            </w:pPr>
            <w:r>
              <w:rPr>
                <w:rFonts w:ascii="Times New Roman" w:cs="Times New Roman" w:eastAsia="Times New Roman" w:hAnsi="Times New Roman"/>
                <w:sz w:val="19"/>
                <w:szCs w:val="19"/>
                <w:color w:val="auto"/>
              </w:rPr>
              <w:t>Section 6.b.ii.  or</w:t>
            </w:r>
          </w:p>
        </w:tc>
      </w:tr>
      <w:tr>
        <w:trPr>
          <w:trHeight w:val="20"/>
        </w:trPr>
        <w:tc>
          <w:tcPr>
            <w:tcW w:w="4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8"/>
        </w:trPr>
        <w:tc>
          <w:tcPr>
            <w:tcW w:w="5160" w:type="dxa"/>
            <w:vAlign w:val="bottom"/>
            <w:gridSpan w:val="2"/>
          </w:tcPr>
          <w:p>
            <w:pPr>
              <w:spacing w:after="0" w:line="208" w:lineRule="exact"/>
              <w:rPr>
                <w:sz w:val="20"/>
                <w:szCs w:val="20"/>
                <w:color w:val="auto"/>
              </w:rPr>
            </w:pPr>
            <w:r>
              <w:rPr>
                <w:rFonts w:ascii="Times New Roman" w:cs="Times New Roman" w:eastAsia="Times New Roman" w:hAnsi="Times New Roman"/>
                <w:sz w:val="19"/>
                <w:szCs w:val="19"/>
                <w:color w:val="auto"/>
              </w:rPr>
              <w:t>(ii)</w:t>
            </w:r>
            <w:r>
              <w:rPr>
                <w:rFonts w:ascii="Arial" w:cs="Arial" w:eastAsia="Arial" w:hAnsi="Arial"/>
                <w:sz w:val="19"/>
                <w:szCs w:val="19"/>
                <w:color w:val="auto"/>
              </w:rPr>
              <w:t> </w:t>
            </w:r>
            <w:r>
              <w:rPr>
                <w:rFonts w:ascii="Times New Roman" w:cs="Times New Roman" w:eastAsia="Times New Roman" w:hAnsi="Times New Roman"/>
                <w:sz w:val="19"/>
                <w:szCs w:val="19"/>
                <w:color w:val="auto"/>
              </w:rPr>
              <w:t>Employer terminates Employee’s employment pursuant to</w:t>
            </w:r>
          </w:p>
        </w:tc>
        <w:tc>
          <w:tcPr>
            <w:tcW w:w="620" w:type="dxa"/>
            <w:vAlign w:val="bottom"/>
            <w:tcBorders>
              <w:bottom w:val="single" w:sz="8" w:color="auto"/>
            </w:tcBorders>
            <w:gridSpan w:val="2"/>
          </w:tcPr>
          <w:p>
            <w:pPr>
              <w:spacing w:after="0" w:line="208" w:lineRule="exact"/>
              <w:rPr>
                <w:sz w:val="20"/>
                <w:szCs w:val="20"/>
                <w:color w:val="auto"/>
              </w:rPr>
            </w:pPr>
            <w:r>
              <w:rPr>
                <w:rFonts w:ascii="Times New Roman" w:cs="Times New Roman" w:eastAsia="Times New Roman" w:hAnsi="Times New Roman"/>
                <w:sz w:val="19"/>
                <w:szCs w:val="19"/>
                <w:color w:val="auto"/>
              </w:rPr>
              <w:t>Section</w:t>
            </w:r>
          </w:p>
        </w:tc>
      </w:tr>
    </w:tbl>
    <w:p>
      <w:pPr>
        <w:spacing w:after="0" w:line="11" w:lineRule="exact"/>
        <w:rPr>
          <w:sz w:val="20"/>
          <w:szCs w:val="20"/>
          <w:color w:val="auto"/>
        </w:rPr>
      </w:pPr>
    </w:p>
    <w:p>
      <w:pPr>
        <w:ind w:left="2500" w:right="820"/>
        <w:spacing w:after="0" w:line="257" w:lineRule="auto"/>
        <w:rPr>
          <w:sz w:val="20"/>
          <w:szCs w:val="20"/>
          <w:color w:val="auto"/>
        </w:rPr>
      </w:pPr>
      <w:r>
        <w:rPr>
          <w:rFonts w:ascii="Times New Roman" w:cs="Times New Roman" w:eastAsia="Times New Roman" w:hAnsi="Times New Roman"/>
          <w:sz w:val="19"/>
          <w:szCs w:val="19"/>
          <w:u w:val="single" w:color="auto"/>
          <w:color w:val="auto"/>
        </w:rPr>
        <w:t>6.b.iii.</w:t>
      </w:r>
      <w:r>
        <w:rPr>
          <w:rFonts w:ascii="Times New Roman" w:cs="Times New Roman" w:eastAsia="Times New Roman" w:hAnsi="Times New Roman"/>
          <w:sz w:val="19"/>
          <w:szCs w:val="19"/>
          <w:color w:val="auto"/>
        </w:rPr>
        <w:t xml:space="preserve">, then, in either case, subject to Employee timely signing and not revoking a Release, Employer shall pay (in addition to the payments and benefits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 cash severance to Employee, within 60 days after the date of such termination, in a lump sum amount equal to the sum of (x) 25% of the Base Salary Amount,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excess, if any, of the sum of the 2023 Guaranteed Bonus Amount and 2024 Guaranteed Bonus Amount over the cumulative amount of all bonuses actually paid to Employee pursuant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through the effective date of such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00" w:right="940"/>
        <w:spacing w:after="0" w:line="259" w:lineRule="auto"/>
        <w:rPr>
          <w:sz w:val="20"/>
          <w:szCs w:val="20"/>
          <w:color w:val="auto"/>
        </w:rPr>
      </w:pPr>
      <w:r>
        <w:rPr>
          <w:rFonts w:ascii="Times New Roman" w:cs="Times New Roman" w:eastAsia="Times New Roman" w:hAnsi="Times New Roman"/>
          <w:sz w:val="19"/>
          <w:szCs w:val="19"/>
          <w:color w:val="auto"/>
        </w:rPr>
        <w:t>termination (including, without limitation, amounts previously paid in respect of the 2023 Guaranteed Bonus Amount and the 2024 Guaranteed Bonus Amount from the Commencement Date through such date of employment termination, but excluding any amounts previously paid in respect of the Make Whole Bonus Amount).</w:t>
      </w:r>
    </w:p>
    <w:p>
      <w:pPr>
        <w:spacing w:after="0" w:line="202" w:lineRule="exact"/>
        <w:rPr>
          <w:sz w:val="20"/>
          <w:szCs w:val="20"/>
          <w:color w:val="auto"/>
        </w:rPr>
      </w:pPr>
    </w:p>
    <w:p>
      <w:pPr>
        <w:ind w:left="2500" w:right="800" w:hanging="9"/>
        <w:spacing w:after="0" w:line="258" w:lineRule="auto"/>
        <w:tabs>
          <w:tab w:leader="none" w:pos="307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after the second anniversary of the Commencement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Employee commenced employment with Employer on the Commencement Date): (i) Employee terminates Employee’s</w:t>
      </w:r>
    </w:p>
    <w:p>
      <w:pPr>
        <w:spacing w:after="0" w:line="2" w:lineRule="exact"/>
        <w:rPr>
          <w:sz w:val="20"/>
          <w:szCs w:val="20"/>
          <w:color w:val="auto"/>
        </w:rPr>
      </w:pPr>
    </w:p>
    <w:p>
      <w:pPr>
        <w:ind w:left="2500" w:right="780"/>
        <w:spacing w:after="0" w:line="255" w:lineRule="auto"/>
        <w:rPr>
          <w:sz w:val="20"/>
          <w:szCs w:val="20"/>
          <w:color w:val="auto"/>
        </w:rPr>
      </w:pPr>
      <w:r>
        <w:rPr>
          <w:rFonts w:ascii="Times New Roman" w:cs="Times New Roman" w:eastAsia="Times New Roman" w:hAnsi="Times New Roman"/>
          <w:sz w:val="19"/>
          <w:szCs w:val="19"/>
          <w:color w:val="auto"/>
        </w:rPr>
        <w:t xml:space="preserve">employment pursuant to </w:t>
      </w:r>
      <w:r>
        <w:rPr>
          <w:rFonts w:ascii="Times New Roman" w:cs="Times New Roman" w:eastAsia="Times New Roman" w:hAnsi="Times New Roman"/>
          <w:sz w:val="19"/>
          <w:szCs w:val="19"/>
          <w:u w:val="single" w:color="auto"/>
          <w:color w:val="auto"/>
        </w:rPr>
        <w:t>Section 6.c.i.</w:t>
      </w:r>
      <w:r>
        <w:rPr>
          <w:rFonts w:ascii="Times New Roman" w:cs="Times New Roman" w:eastAsia="Times New Roman" w:hAnsi="Times New Roman"/>
          <w:sz w:val="19"/>
          <w:szCs w:val="19"/>
          <w:color w:val="auto"/>
        </w:rPr>
        <w:t xml:space="preserve"> and Employer could not have terminated Employee’s employment for Cause pursuant to </w:t>
      </w:r>
      <w:r>
        <w:rPr>
          <w:rFonts w:ascii="Times New Roman" w:cs="Times New Roman" w:eastAsia="Times New Roman" w:hAnsi="Times New Roman"/>
          <w:sz w:val="19"/>
          <w:szCs w:val="19"/>
          <w:u w:val="single" w:color="auto"/>
          <w:color w:val="auto"/>
        </w:rPr>
        <w:t>Section 6.b.ii.</w:t>
      </w:r>
      <w:r>
        <w:rPr>
          <w:rFonts w:ascii="Times New Roman" w:cs="Times New Roman" w:eastAsia="Times New Roman" w:hAnsi="Times New Roman"/>
          <w:sz w:val="19"/>
          <w:szCs w:val="19"/>
          <w:color w:val="auto"/>
        </w:rPr>
        <w:t xml:space="preserve"> or (ii) Employer terminates Employee’s employment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6.b.iii.</w:t>
      </w:r>
      <w:r>
        <w:rPr>
          <w:rFonts w:ascii="Times New Roman" w:cs="Times New Roman" w:eastAsia="Times New Roman" w:hAnsi="Times New Roman"/>
          <w:sz w:val="19"/>
          <w:szCs w:val="19"/>
          <w:color w:val="auto"/>
        </w:rPr>
        <w:t xml:space="preserve">, then, in either case, subject to Employee timely signing and not revoking the Release, Employer shall pay (in addition to the payments and benefits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 cash severance to Employee, within 60</w:t>
      </w:r>
    </w:p>
    <w:p>
      <w:pPr>
        <w:sectPr>
          <w:pgSz w:w="11900" w:h="16840" w:orient="portrait"/>
          <w:cols w:equalWidth="0" w:num="1">
            <w:col w:w="9020"/>
          </w:cols>
          <w:pgMar w:left="1440" w:top="616" w:right="1440" w:bottom="68" w:gutter="0" w:footer="0" w:header="0"/>
        </w:sectPr>
      </w:pPr>
    </w:p>
    <w:bookmarkStart w:id="198" w:name="page199"/>
    <w:bookmarkEnd w:id="198"/>
    <w:p>
      <w:pPr>
        <w:ind w:left="2500" w:right="800"/>
        <w:spacing w:after="0" w:line="223" w:lineRule="auto"/>
        <w:rPr>
          <w:sz w:val="20"/>
          <w:szCs w:val="20"/>
          <w:color w:val="auto"/>
        </w:rPr>
      </w:pPr>
      <w:r>
        <w:rPr>
          <w:rFonts w:ascii="Times New Roman" w:cs="Times New Roman" w:eastAsia="Times New Roman" w:hAnsi="Times New Roman"/>
          <w:sz w:val="19"/>
          <w:szCs w:val="19"/>
          <w:color w:val="auto"/>
        </w:rPr>
        <w:t>days after the date of such termination, in a lump sum amount that is equal to 25% of the Base Salary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-248920</wp:posOffset>
            </wp:positionV>
            <wp:extent cx="6707505" cy="99695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150" w:lineRule="exact"/>
        <w:rPr>
          <w:sz w:val="20"/>
          <w:szCs w:val="20"/>
          <w:color w:val="auto"/>
        </w:rPr>
      </w:pPr>
    </w:p>
    <w:p>
      <w:pPr>
        <w:ind w:left="3060" w:hanging="569"/>
        <w:spacing w:after="0"/>
        <w:tabs>
          <w:tab w:leader="none" w:pos="30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sole liability of Employer under this Agreement upon a</w:t>
      </w:r>
    </w:p>
    <w:p>
      <w:pPr>
        <w:spacing w:after="0" w:line="32" w:lineRule="exact"/>
        <w:rPr>
          <w:sz w:val="20"/>
          <w:szCs w:val="20"/>
          <w:color w:val="auto"/>
        </w:rPr>
      </w:pPr>
    </w:p>
    <w:p>
      <w:pPr>
        <w:ind w:left="2500" w:right="780"/>
        <w:spacing w:after="0" w:line="255" w:lineRule="auto"/>
        <w:rPr>
          <w:sz w:val="20"/>
          <w:szCs w:val="20"/>
          <w:color w:val="auto"/>
        </w:rPr>
      </w:pPr>
      <w:r>
        <w:rPr>
          <w:rFonts w:ascii="Times New Roman" w:cs="Times New Roman" w:eastAsia="Times New Roman" w:hAnsi="Times New Roman"/>
          <w:sz w:val="19"/>
          <w:szCs w:val="19"/>
          <w:color w:val="auto"/>
        </w:rPr>
        <w:t xml:space="preserve">termination of Employee’s employment (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Employee commenced employment with Employer on the Commencement Date) shall be: (i) to pay the amounts expressly provided for in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as being due and owed upon such termination and (ii) to comply with any other obligations under this Agreement that expressly survive termination of Employee’s employment or pursuant to any other written agreements between Employee and Employer or pursuant to any employee benefit plan.</w:t>
      </w:r>
    </w:p>
    <w:p>
      <w:pPr>
        <w:spacing w:after="0" w:line="162" w:lineRule="exact"/>
        <w:rPr>
          <w:sz w:val="20"/>
          <w:szCs w:val="20"/>
          <w:color w:val="auto"/>
        </w:rPr>
      </w:pPr>
    </w:p>
    <w:p>
      <w:pPr>
        <w:ind w:left="2500" w:right="780" w:hanging="9"/>
        <w:spacing w:after="0" w:line="255" w:lineRule="auto"/>
        <w:tabs>
          <w:tab w:leader="none" w:pos="3076"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that Employee is required to deliver a signed Release as a pre-condition to receiving payments under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such signed Release must be delivered to Employer by no later than forty-five (45) days following the date of termination of Employee’s employment. If Employee fails to sign and deliver the Release on or prior to such date or timely revokes acceptance of the Release thereafter, Employee shall not be entitled to any severance benefits under this Agreement. In any case where the forty-five (45) day period following the date of termination of Employee’s employment straddles two separate calendar years, any payments of “nonqualified deferred compensation” (within the meaning of Section 409A) included in the severance benefits shall be made in the later calendar year, regardless of when the signed Release is delivered by Employee to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20" w:hanging="581"/>
        <w:spacing w:after="0"/>
        <w:tabs>
          <w:tab w:leader="none" w:pos="19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Records and Confidential Data</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2200" w:right="820" w:hanging="285"/>
        <w:spacing w:after="0" w:line="258" w:lineRule="auto"/>
        <w:tabs>
          <w:tab w:leader="none" w:pos="220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memoranda, notices, files, records and other documents made or compiled by Employee during the Term in the ordinary course of business or made available to Employee concerning the business of Carlyle (including, without limitation, any “best practices” materials made available to Employee), shall be Employer’s property and shall be delivered to Employer promptly following its request therefor or automatically promptly following the end of the Term.</w:t>
      </w:r>
    </w:p>
    <w:p>
      <w:pPr>
        <w:spacing w:after="0" w:line="156" w:lineRule="exact"/>
        <w:rPr>
          <w:rFonts w:ascii="Times New Roman" w:cs="Times New Roman" w:eastAsia="Times New Roman" w:hAnsi="Times New Roman"/>
          <w:sz w:val="19"/>
          <w:szCs w:val="19"/>
          <w:color w:val="auto"/>
        </w:rPr>
      </w:pPr>
    </w:p>
    <w:p>
      <w:pPr>
        <w:ind w:left="2200" w:right="780" w:hanging="285"/>
        <w:spacing w:after="0" w:line="255" w:lineRule="auto"/>
        <w:tabs>
          <w:tab w:leader="none" w:pos="220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Employee acknowledges that, in and as a result of Employee’s employment hereunder, Employee will be making use of and/or acquiring confidential or proprietary information, knowledge and data developed by Carlyle and its affiliates that is of a special and unique nature and value to Carlyle, including, but not limited to, financial, tax, privileged or economic information relating to Carlyle (including, for this purpose, any affiliates, members, partners and employees) or any other confidential or proprietary information relating to the business, strategic, advertising, marketing, trade practices or investment activities of Carlyle or any affiliates, members or any portfolio investments held by any investment fund controlled by Carlyle or its affiliates (collectively, “ </w:t>
      </w:r>
      <w:r>
        <w:rPr>
          <w:rFonts w:ascii="Times New Roman" w:cs="Times New Roman" w:eastAsia="Times New Roman" w:hAnsi="Times New Roman"/>
          <w:sz w:val="19"/>
          <w:szCs w:val="19"/>
          <w:i w:val="1"/>
          <w:iCs w:val="1"/>
          <w:color w:val="auto"/>
        </w:rPr>
        <w:t>Confidential Information</w:t>
      </w:r>
      <w:r>
        <w:rPr>
          <w:rFonts w:ascii="Times New Roman" w:cs="Times New Roman" w:eastAsia="Times New Roman" w:hAnsi="Times New Roman"/>
          <w:sz w:val="19"/>
          <w:szCs w:val="19"/>
          <w:color w:val="auto"/>
        </w:rPr>
        <w:t xml:space="preserve"> ”). Employee shall not at any time, directly or indirectly, disclose to any Person (other than Carlyle) or use for any purpose other than in accordance with Employee’s employment with Carlyle, any Confidential Information (regardless of whether such information qualifies as a “trade secret” under applicable law) that has been obtained by or disclosed to Employee as a result of Employee’s employment by Employer unless: (i) authorized in writing by Employer; (ii) such information, knowledge or data is or becomes available to the public generally without</w:t>
      </w:r>
    </w:p>
    <w:p>
      <w:pPr>
        <w:sectPr>
          <w:pgSz w:w="11900" w:h="16840" w:orient="portrait"/>
          <w:cols w:equalWidth="0" w:num="1">
            <w:col w:w="9020"/>
          </w:cols>
          <w:pgMar w:left="1440" w:top="556" w:right="1440" w:bottom="53" w:gutter="0" w:footer="0" w:header="0"/>
        </w:sectPr>
      </w:pPr>
    </w:p>
    <w:bookmarkStart w:id="199" w:name="page200"/>
    <w:bookmarkEnd w:id="199"/>
    <w:p>
      <w:pPr>
        <w:ind w:left="2200" w:right="860"/>
        <w:spacing w:after="0" w:line="229" w:lineRule="auto"/>
        <w:rPr>
          <w:sz w:val="20"/>
          <w:szCs w:val="20"/>
          <w:color w:val="auto"/>
        </w:rPr>
      </w:pPr>
      <w:r>
        <w:rPr>
          <w:rFonts w:ascii="Times New Roman" w:cs="Times New Roman" w:eastAsia="Times New Roman" w:hAnsi="Times New Roman"/>
          <w:sz w:val="19"/>
          <w:szCs w:val="19"/>
          <w:color w:val="auto"/>
        </w:rPr>
        <w:t xml:space="preserve">breach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(iii) disclosure is required to be made pursuant to an order of any court or government agency, subpoena or legal process;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-255905</wp:posOffset>
            </wp:positionV>
            <wp:extent cx="6707505" cy="99695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2200" w:right="840"/>
        <w:spacing w:after="0" w:line="254" w:lineRule="auto"/>
        <w:rPr>
          <w:sz w:val="20"/>
          <w:szCs w:val="20"/>
          <w:color w:val="auto"/>
        </w:rPr>
      </w:pPr>
      <w:r>
        <w:rPr>
          <w:rFonts w:ascii="Times New Roman" w:cs="Times New Roman" w:eastAsia="Times New Roman" w:hAnsi="Times New Roman"/>
          <w:sz w:val="19"/>
          <w:szCs w:val="19"/>
          <w:color w:val="auto"/>
        </w:rPr>
        <w:t xml:space="preserve">disclosure is made to officers, directors or affiliates of Employer or Carlyle (and the officers and directors of such affiliates) or to auditors, counsel, or other professional advisors to Employer or Carlyle; or (v) disclosure is required by a court, mediator or arbitrator in connection with any litigation or dispute between Employer and Employee. Employee shall immediately supply Employer with a copy of any legal process delivered to Employee requesting Confidential Information. Prior to any disclosure of Confidential Information, Employee shall seek to obtain an order reasonably acceptable to Employer protecting the confidentiality of such information (and shall not disclose such Confidential Information until such a protective order satisfactory to Employer has been obtained), and notify Employer as soon as reasonably practicable (and in any event at least ten (10) Business Days in advance of disclosing such Confidential Information) of such disclosure. Employee agrees that Employee’s obligations under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may be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0" w:right="800"/>
        <w:spacing w:after="0" w:line="286" w:lineRule="auto"/>
        <w:rPr>
          <w:sz w:val="20"/>
          <w:szCs w:val="20"/>
          <w:color w:val="auto"/>
        </w:rPr>
      </w:pPr>
      <w:r>
        <w:rPr>
          <w:rFonts w:ascii="Times New Roman" w:cs="Times New Roman" w:eastAsia="Times New Roman" w:hAnsi="Times New Roman"/>
          <w:sz w:val="19"/>
          <w:szCs w:val="19"/>
          <w:color w:val="auto"/>
        </w:rPr>
        <w:t xml:space="preserve">enforced by specific performance and that breaches or prospective breaches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may be enjoined.</w:t>
      </w:r>
    </w:p>
    <w:p>
      <w:pPr>
        <w:spacing w:after="0" w:line="127" w:lineRule="exact"/>
        <w:rPr>
          <w:sz w:val="20"/>
          <w:szCs w:val="20"/>
          <w:color w:val="auto"/>
        </w:rPr>
      </w:pPr>
    </w:p>
    <w:p>
      <w:pPr>
        <w:ind w:left="2200" w:right="940" w:hanging="285"/>
        <w:spacing w:after="0" w:line="262" w:lineRule="auto"/>
        <w:tabs>
          <w:tab w:leader="none" w:pos="22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not disclose publicly any information about Carlyle’s private placement fundraising efforts, or the name of any fund vehicle that has not had a final closing of commitments, and will not discuss (or authorize others to discuss) any such private placement fundraising information with any reporter or representative of any press or other public media.</w:t>
      </w:r>
    </w:p>
    <w:p>
      <w:pPr>
        <w:spacing w:after="0" w:line="151" w:lineRule="exact"/>
        <w:rPr>
          <w:rFonts w:ascii="Times New Roman" w:cs="Times New Roman" w:eastAsia="Times New Roman" w:hAnsi="Times New Roman"/>
          <w:sz w:val="19"/>
          <w:szCs w:val="19"/>
          <w:color w:val="auto"/>
        </w:rPr>
      </w:pPr>
    </w:p>
    <w:p>
      <w:pPr>
        <w:ind w:left="2200" w:right="780" w:hanging="285"/>
        <w:spacing w:after="0" w:line="254" w:lineRule="auto"/>
        <w:tabs>
          <w:tab w:leader="none" w:pos="22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represents that Employee’s execution and delivery of this Agreement to Employer as of the Effective Date does not and that Employee’s commencement of Employee’s employment by Employer on the Commencement Date will not violate or breach any agreement to which Employee is a party with any former employer or other service recipient, including, but not limited to, any non-competition or non-solicitation agreement, any agreement to keep in confidence or refrain from using information acquired by Employee prior to Employee’s employment by Employer or any other restrictive covenant contained in any agreement to which Employee is a party with any former employer or other service recipient. Employee agrees that Employee will not perform any work, engage in any activities or provide any services with, to, for or on behalf of Employer prior to the Commencement Date, or otherwise take any actions (or inaction) that would violate any agreements or covenants between Employee and any former employer or other service recipient. Employee represents and agrees that Employee’s entry into this Agreement and the payment of any amounts hereunder by Employer will not violate any agreements or covenants between Employee and any former employer (or other counter-party). Employee further agrees that during Employee’s employment by Employer, Employee will not violate any provision in any agreement to which Employee is a party or any covenant in any agreement to which Employee is a party related to non-competition, non-solicitation or confidentiality, including any such agreements or covenants Employee entered into with any former employer (or other counter-party). Employee agrees that Employee will not improperly make use of or disclose any confidential information or trade secrets of any former employer or other third party, nor will Employee bring onto the premises of Employer or use any unpublished documents or any property belonging to any former employer or other third party, in violation of any agreements with such former employer or third party.</w:t>
      </w:r>
    </w:p>
    <w:p>
      <w:pPr>
        <w:spacing w:after="0" w:line="172" w:lineRule="exact"/>
        <w:rPr>
          <w:rFonts w:ascii="Times New Roman" w:cs="Times New Roman" w:eastAsia="Times New Roman" w:hAnsi="Times New Roman"/>
          <w:sz w:val="19"/>
          <w:szCs w:val="19"/>
          <w:color w:val="auto"/>
        </w:rPr>
      </w:pPr>
    </w:p>
    <w:p>
      <w:pPr>
        <w:jc w:val="both"/>
        <w:ind w:left="2200" w:right="1020" w:hanging="285"/>
        <w:spacing w:after="0" w:line="286" w:lineRule="auto"/>
        <w:tabs>
          <w:tab w:leader="none" w:pos="22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indemnifies Employer and its affiliates and holds them harmless from any losses, expenses (including, but not limited to, attorneys’ fees and</w:t>
      </w:r>
    </w:p>
    <w:p>
      <w:pPr>
        <w:sectPr>
          <w:pgSz w:w="11900" w:h="16840" w:orient="portrait"/>
          <w:cols w:equalWidth="0" w:num="1">
            <w:col w:w="9020"/>
          </w:cols>
          <w:pgMar w:left="1440" w:top="556" w:right="1440" w:bottom="0" w:gutter="0" w:footer="0" w:header="0"/>
        </w:sectPr>
      </w:pPr>
    </w:p>
    <w:bookmarkStart w:id="200" w:name="page201"/>
    <w:bookmarkEnd w:id="200"/>
    <w:p>
      <w:pPr>
        <w:ind w:left="2200" w:right="860"/>
        <w:spacing w:after="0" w:line="256" w:lineRule="auto"/>
        <w:rPr>
          <w:sz w:val="20"/>
          <w:szCs w:val="20"/>
          <w:color w:val="auto"/>
        </w:rPr>
      </w:pPr>
      <w:r>
        <w:rPr>
          <w:rFonts w:ascii="Times New Roman" w:cs="Times New Roman" w:eastAsia="Times New Roman" w:hAnsi="Times New Roman"/>
          <w:sz w:val="19"/>
          <w:szCs w:val="19"/>
          <w:color w:val="auto"/>
        </w:rPr>
        <w:t xml:space="preserve">costs) or damages incurred as a result of Employee’s actual or alleged violation or breach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 Employee shall also pay for any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-287020</wp:posOffset>
            </wp:positionV>
            <wp:extent cx="6707505" cy="99695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9"/>
          <w:szCs w:val="19"/>
          <w:color w:val="auto"/>
        </w:rPr>
        <w:t>expenses (including, but not limited to, attorneys’ fees and costs) or damages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0" w:right="1380"/>
        <w:spacing w:after="0" w:line="286" w:lineRule="auto"/>
        <w:rPr>
          <w:sz w:val="20"/>
          <w:szCs w:val="20"/>
          <w:color w:val="auto"/>
        </w:rPr>
      </w:pPr>
      <w:r>
        <w:rPr>
          <w:rFonts w:ascii="Times New Roman" w:cs="Times New Roman" w:eastAsia="Times New Roman" w:hAnsi="Times New Roman"/>
          <w:sz w:val="19"/>
          <w:szCs w:val="19"/>
          <w:color w:val="auto"/>
        </w:rPr>
        <w:t xml:space="preserve">Employee personally incurs as a result of Employee’s actual or alleged violation or breach of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both"/>
        <w:ind w:left="2200" w:right="820" w:hanging="285"/>
        <w:spacing w:after="0" w:line="258" w:lineRule="auto"/>
        <w:tabs>
          <w:tab w:leader="none" w:pos="22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Employee agrees that upon accepting employment with a different employer, and in any event prior to commencing employment with such employer, Employee will disclose to</w:t>
      </w:r>
    </w:p>
    <w:p>
      <w:pPr>
        <w:spacing w:after="0" w:line="3" w:lineRule="exact"/>
        <w:rPr>
          <w:sz w:val="20"/>
          <w:szCs w:val="20"/>
          <w:color w:val="auto"/>
        </w:rPr>
      </w:pPr>
    </w:p>
    <w:p>
      <w:pPr>
        <w:ind w:left="2200" w:right="1020"/>
        <w:spacing w:after="0" w:line="256" w:lineRule="auto"/>
        <w:rPr>
          <w:sz w:val="20"/>
          <w:szCs w:val="20"/>
          <w:color w:val="auto"/>
        </w:rPr>
      </w:pPr>
      <w:r>
        <w:rPr>
          <w:rFonts w:ascii="Times New Roman" w:cs="Times New Roman" w:eastAsia="Times New Roman" w:hAnsi="Times New Roman"/>
          <w:sz w:val="19"/>
          <w:szCs w:val="19"/>
          <w:color w:val="auto"/>
        </w:rPr>
        <w:t xml:space="preserve">such employer Employee’s obligations under this Agreement, including Employee’s obligations under this </w:t>
      </w:r>
      <w:r>
        <w:rPr>
          <w:rFonts w:ascii="Times New Roman" w:cs="Times New Roman" w:eastAsia="Times New Roman" w:hAnsi="Times New Roman"/>
          <w:sz w:val="19"/>
          <w:szCs w:val="19"/>
          <w:u w:val="single" w:color="auto"/>
          <w:color w:val="auto"/>
        </w:rPr>
        <w:t>Section 8 (“Records and Confidential</w:t>
      </w:r>
    </w:p>
    <w:p>
      <w:pPr>
        <w:spacing w:after="0" w:line="1" w:lineRule="exact"/>
        <w:rPr>
          <w:sz w:val="20"/>
          <w:szCs w:val="20"/>
          <w:color w:val="auto"/>
        </w:rPr>
      </w:pPr>
    </w:p>
    <w:p>
      <w:pPr>
        <w:jc w:val="both"/>
        <w:ind w:left="2200" w:right="800"/>
        <w:spacing w:after="0" w:line="256" w:lineRule="auto"/>
        <w:rPr>
          <w:sz w:val="20"/>
          <w:szCs w:val="20"/>
          <w:color w:val="auto"/>
        </w:rPr>
      </w:pP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and under </w:t>
      </w:r>
      <w:r>
        <w:rPr>
          <w:rFonts w:ascii="Times New Roman" w:cs="Times New Roman" w:eastAsia="Times New Roman" w:hAnsi="Times New Roman"/>
          <w:sz w:val="19"/>
          <w:szCs w:val="19"/>
          <w:u w:val="single" w:color="auto"/>
          <w:color w:val="auto"/>
        </w:rPr>
        <w:t>Sections 11 (“Non-Competition”)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 (“Non-Solicitation”)</w:t>
      </w:r>
      <w:r>
        <w:rPr>
          <w:rFonts w:ascii="Times New Roman" w:cs="Times New Roman" w:eastAsia="Times New Roman" w:hAnsi="Times New Roman"/>
          <w:sz w:val="19"/>
          <w:szCs w:val="19"/>
          <w:color w:val="auto"/>
        </w:rPr>
        <w:t>, and Employee hereby agrees that Employer may confirm such disclosure with such employer, and that Employee will provide the necessary contact information for such confirmation promptly following request therefor by Employer.</w:t>
      </w:r>
    </w:p>
    <w:p>
      <w:pPr>
        <w:spacing w:after="0" w:line="157" w:lineRule="exact"/>
        <w:rPr>
          <w:sz w:val="20"/>
          <w:szCs w:val="20"/>
          <w:color w:val="auto"/>
        </w:rPr>
      </w:pPr>
    </w:p>
    <w:p>
      <w:pPr>
        <w:ind w:left="2200" w:right="800" w:hanging="285"/>
        <w:spacing w:after="0" w:line="255" w:lineRule="auto"/>
        <w:tabs>
          <w:tab w:leader="none" w:pos="220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(i) no provision of this Agreement prohibits or restricts any employee from reporting possible violations of law or other whistleblower information to a government regulator or governmental agency (including the right to receive an award for information provided to any such government agencies); (ii) Carlyle’s consent is not required for such disclosure to a regulator or governmental agency; and (iii) notice to Carlyle is not required in the case of such whistleblower disclosure to a government regulator or government agency. Notwithstanding the foregoing, under no circumstance is Employee authorized to disclose information covered by Carlyle’s attorney-client privilege or attorney work product without Carlyle’s prior written consent. The obligations under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shall survive the termination or expiration of this Agreement and any termination of Employee’s employment.</w:t>
      </w:r>
    </w:p>
    <w:p>
      <w:pPr>
        <w:spacing w:after="0" w:line="175" w:lineRule="exact"/>
        <w:rPr>
          <w:rFonts w:ascii="Times New Roman" w:cs="Times New Roman" w:eastAsia="Times New Roman" w:hAnsi="Times New Roman"/>
          <w:sz w:val="19"/>
          <w:szCs w:val="19"/>
          <w:color w:val="auto"/>
        </w:rPr>
      </w:pPr>
    </w:p>
    <w:p>
      <w:pPr>
        <w:ind w:left="1920" w:hanging="581"/>
        <w:spacing w:after="0"/>
        <w:tabs>
          <w:tab w:leader="none" w:pos="19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w:t>
      </w:r>
    </w:p>
    <w:p>
      <w:pPr>
        <w:spacing w:after="0" w:line="201" w:lineRule="exact"/>
        <w:rPr>
          <w:rFonts w:ascii="Times New Roman" w:cs="Times New Roman" w:eastAsia="Times New Roman" w:hAnsi="Times New Roman"/>
          <w:sz w:val="19"/>
          <w:szCs w:val="19"/>
          <w:color w:val="auto"/>
        </w:rPr>
      </w:pPr>
    </w:p>
    <w:p>
      <w:pPr>
        <w:ind w:left="2200" w:right="880" w:hanging="285"/>
        <w:spacing w:after="0" w:line="256" w:lineRule="auto"/>
        <w:tabs>
          <w:tab w:leader="none" w:pos="220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Employer will cause each investment fund to which Employee provides investment advice to indemnify, defend (limited to reasonable attorneys’ fees and costs) and hold Employee harmless for all losses, costs, expenses or liabilities based upon or related to acts, decisions or omissions made by</w:t>
      </w:r>
    </w:p>
    <w:p>
      <w:pPr>
        <w:spacing w:after="0" w:line="3" w:lineRule="exact"/>
        <w:rPr>
          <w:sz w:val="20"/>
          <w:szCs w:val="20"/>
          <w:color w:val="auto"/>
        </w:rPr>
      </w:pPr>
    </w:p>
    <w:p>
      <w:pPr>
        <w:ind w:left="2200" w:right="880"/>
        <w:spacing w:after="0" w:line="255" w:lineRule="auto"/>
        <w:rPr>
          <w:sz w:val="20"/>
          <w:szCs w:val="20"/>
          <w:color w:val="auto"/>
        </w:rPr>
      </w:pPr>
      <w:r>
        <w:rPr>
          <w:rFonts w:ascii="Times New Roman" w:cs="Times New Roman" w:eastAsia="Times New Roman" w:hAnsi="Times New Roman"/>
          <w:sz w:val="19"/>
          <w:szCs w:val="19"/>
          <w:color w:val="auto"/>
        </w:rPr>
        <w:t xml:space="preserve">Employee in good faith during the Term while performing services on behalf of such investment fund within the scope of Employee’s employment for Employer,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such acts, decisions or omissions do not constitute fraud, willful misconduct or gross negligence. </w:t>
      </w:r>
      <w:r>
        <w:rPr>
          <w:rFonts w:ascii="Times New Roman" w:cs="Times New Roman" w:eastAsia="Times New Roman" w:hAnsi="Times New Roman"/>
          <w:sz w:val="19"/>
          <w:szCs w:val="19"/>
          <w:i w:val="1"/>
          <w:iCs w:val="1"/>
          <w:color w:val="auto"/>
        </w:rPr>
        <w:t>Provided further that</w:t>
      </w:r>
      <w:r>
        <w:rPr>
          <w:rFonts w:ascii="Times New Roman" w:cs="Times New Roman" w:eastAsia="Times New Roman" w:hAnsi="Times New Roman"/>
          <w:sz w:val="19"/>
          <w:szCs w:val="19"/>
          <w:color w:val="auto"/>
        </w:rPr>
        <w:t xml:space="preserve"> as a condition to indemnification in any proceeding in which Employee seeks indemnification, Employee shall be required to: (i) keep Carlyle or its designated counsel fully informed of the progress, relevant facts, issues and events of such proceeding; (ii) cooperate with Carlyle and its counsel in the defense of any such proceeding in accordance with this Agreement; (iii) provide truthful testimony in and diligently pursue defense of such proceeding; and (iv) refrain from settling such proceeding without Carlyle’s</w:t>
      </w:r>
    </w:p>
    <w:p>
      <w:pPr>
        <w:sectPr>
          <w:pgSz w:w="11900" w:h="16840" w:orient="portrait"/>
          <w:cols w:equalWidth="0" w:num="1">
            <w:col w:w="9020"/>
          </w:cols>
          <w:pgMar w:left="1440" w:top="556"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40" w:orient="portrait"/>
          <w:cols w:equalWidth="0" w:num="1">
            <w:col w:w="9020"/>
          </w:cols>
          <w:pgMar w:left="1440" w:top="556" w:right="1440" w:bottom="1440" w:gutter="0" w:footer="0" w:header="0"/>
          <w:type w:val="continuous"/>
        </w:sectPr>
      </w:pPr>
    </w:p>
    <w:bookmarkStart w:id="201" w:name="page202"/>
    <w:bookmarkEnd w:id="201"/>
    <w:p>
      <w:pPr>
        <w:ind w:left="2200" w:right="780"/>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 xml:space="preserve">approval and unless such settlement has a full and unconditional release of Carlyle and Employee and imposes no payment obligations on Carlyle (to Employee or any other Person). The obligations of such investment funds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survive any termination of Employee’s employment. The indemnification of Employee hereunder shall be secondary to and in excess of any and all payment to which Employee is entitled pursuant to any insurance policy issued to or for the benefit of Employee, Carlyle and/or any Carlyle portfolio company.</w:t>
      </w:r>
    </w:p>
    <w:p>
      <w:pPr>
        <w:spacing w:after="0" w:line="157" w:lineRule="exact"/>
        <w:rPr>
          <w:sz w:val="20"/>
          <w:szCs w:val="20"/>
          <w:color w:val="auto"/>
        </w:rPr>
      </w:pPr>
    </w:p>
    <w:p>
      <w:pPr>
        <w:ind w:left="2200" w:right="860" w:hanging="285"/>
        <w:spacing w:after="0" w:line="255" w:lineRule="auto"/>
        <w:tabs>
          <w:tab w:leader="none" w:pos="22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indemnification obligations of each investment fund to which Employee provides investment advice shall be subject to the conditions that such acts, decisions or omissions made by Employee do not constitute fraud, willful misconduct or gross negligence. If, when and to the extent that any investment fund to which Employee provides investment advice determines that Employee would not be permitted to be so indemnified under applicable law, the investment fund to which Employee provides investment advice shall be entitled to be reimbursed by Employee (who hereby agrees to reimburse each investment fund to which Employee provides investment advice) for all such amounts paid prior to that determination. It is understood and agreed that the foregoing agreement by Employee shall be deemed to satisfy any requirement that Employee provide any investment fund to which Employee provides investment advice with an undertaking to repay any advanced amounts if it is determined that Employee is not entitled to indemnification under applicable law.</w:t>
      </w:r>
    </w:p>
    <w:p>
      <w:pPr>
        <w:spacing w:after="0" w:line="167" w:lineRule="exact"/>
        <w:rPr>
          <w:rFonts w:ascii="Times New Roman" w:cs="Times New Roman" w:eastAsia="Times New Roman" w:hAnsi="Times New Roman"/>
          <w:sz w:val="19"/>
          <w:szCs w:val="19"/>
          <w:color w:val="auto"/>
        </w:rPr>
      </w:pPr>
    </w:p>
    <w:p>
      <w:pPr>
        <w:ind w:left="2200" w:right="840" w:hanging="285"/>
        <w:spacing w:after="0" w:line="258" w:lineRule="auto"/>
        <w:tabs>
          <w:tab w:leader="none" w:pos="22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indemnification made by a Carlyle investment fund with respect to Employee, then such investment fund shall be subrogated to the extent of such payment to all of the rights of recovery of Employee, including the rights of Employee under any insurance policies. Employee shall cooperate with each investment fund to which Employee provides investment advice, execute all papers reasonably required and do everything that may be reasonably necessary to secure such rights, including the execution of such documents necessary to enable each investment fund to which Employee provides investment advice effectively to bring suit to enforce such rights.</w:t>
      </w:r>
    </w:p>
    <w:p>
      <w:pPr>
        <w:spacing w:after="0" w:line="154" w:lineRule="exact"/>
        <w:rPr>
          <w:rFonts w:ascii="Times New Roman" w:cs="Times New Roman" w:eastAsia="Times New Roman" w:hAnsi="Times New Roman"/>
          <w:sz w:val="19"/>
          <w:szCs w:val="19"/>
          <w:color w:val="auto"/>
        </w:rPr>
      </w:pPr>
    </w:p>
    <w:p>
      <w:pPr>
        <w:ind w:left="2200" w:hanging="285"/>
        <w:spacing w:after="0"/>
        <w:tabs>
          <w:tab w:leader="none" w:pos="22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such investment fund to which Employee provides</w:t>
      </w:r>
    </w:p>
    <w:p>
      <w:pPr>
        <w:spacing w:after="0" w:line="32" w:lineRule="exact"/>
        <w:rPr>
          <w:sz w:val="20"/>
          <w:szCs w:val="20"/>
          <w:color w:val="auto"/>
        </w:rPr>
      </w:pPr>
    </w:p>
    <w:p>
      <w:pPr>
        <w:ind w:left="2200" w:right="920"/>
        <w:spacing w:after="0" w:line="262" w:lineRule="auto"/>
        <w:rPr>
          <w:sz w:val="20"/>
          <w:szCs w:val="20"/>
          <w:color w:val="auto"/>
        </w:rPr>
      </w:pPr>
      <w:r>
        <w:rPr>
          <w:rFonts w:ascii="Times New Roman" w:cs="Times New Roman" w:eastAsia="Times New Roman" w:hAnsi="Times New Roman"/>
          <w:sz w:val="19"/>
          <w:szCs w:val="19"/>
          <w:color w:val="auto"/>
        </w:rPr>
        <w:t xml:space="preserve">investment advice under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shall survive any termination of this Agreement.</w:t>
      </w:r>
    </w:p>
    <w:p>
      <w:pPr>
        <w:spacing w:after="0" w:line="161" w:lineRule="exact"/>
        <w:rPr>
          <w:sz w:val="20"/>
          <w:szCs w:val="20"/>
          <w:color w:val="auto"/>
        </w:rPr>
      </w:pPr>
    </w:p>
    <w:p>
      <w:pPr>
        <w:ind w:left="760" w:right="800" w:firstLine="579"/>
        <w:spacing w:after="0" w:line="260" w:lineRule="auto"/>
        <w:tabs>
          <w:tab w:leader="none" w:pos="191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Employee covenants and agrees that, both during and at all times following Employee’s employment with Employer, except as prohibited by applicable law, Employee shall not make any communication (in writing, orally or otherwise) that is disparaging about Carlyle or Carlyle’s affiliates, investment funds or portfolio companies or any of their respective principals, directors, businesses, partners, officers or agents. For purposes of this Agreement, a communication that is disparaging includes, but is not limited to, any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860"/>
        <w:spacing w:after="0" w:line="258" w:lineRule="auto"/>
        <w:rPr>
          <w:sz w:val="20"/>
          <w:szCs w:val="20"/>
          <w:color w:val="auto"/>
        </w:rPr>
      </w:pPr>
      <w:r>
        <w:rPr>
          <w:rFonts w:ascii="Times New Roman" w:cs="Times New Roman" w:eastAsia="Times New Roman" w:hAnsi="Times New Roman"/>
          <w:sz w:val="19"/>
          <w:szCs w:val="19"/>
          <w:color w:val="auto"/>
        </w:rPr>
        <w:t>communication that is critical or derogatory or that may reasonably be expected to tend to injure the reputation or business of Carlyle or such Person. Employee agrees and acknowledges that the foregoing non-disparagement covenant is a material inducement to Carlyle to enter into this</w:t>
      </w:r>
    </w:p>
    <w:p>
      <w:pPr>
        <w:spacing w:after="0" w:line="2" w:lineRule="exact"/>
        <w:rPr>
          <w:sz w:val="20"/>
          <w:szCs w:val="20"/>
          <w:color w:val="auto"/>
        </w:rPr>
      </w:pPr>
    </w:p>
    <w:p>
      <w:pPr>
        <w:ind w:left="760" w:right="820"/>
        <w:spacing w:after="0" w:line="254" w:lineRule="auto"/>
        <w:rPr>
          <w:sz w:val="20"/>
          <w:szCs w:val="20"/>
          <w:color w:val="auto"/>
        </w:rPr>
      </w:pPr>
      <w:r>
        <w:rPr>
          <w:rFonts w:ascii="Times New Roman" w:cs="Times New Roman" w:eastAsia="Times New Roman" w:hAnsi="Times New Roman"/>
          <w:sz w:val="19"/>
          <w:szCs w:val="19"/>
          <w:color w:val="auto"/>
        </w:rPr>
        <w:t xml:space="preserve">Agreement and, as such, it is agreed by the parties that any violation of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by Employee will constitute a material breach of this Agreement. Employee further agrees that the remedy at law for any breach of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may be inadequate, and that Carlyle shall, in addition to whatever other remedies it may have at law or in equity, be entitled (without posting bond or other security) to injunctive or other equitable relief, as deemed appropriate by any such court or tribunal of competent jurisdiction, to prevent a breach of Employee’s obligations as set forth in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Notwithstanding the foregoing, Employee shall not be deemed to have</w:t>
      </w:r>
    </w:p>
    <w:p>
      <w:pPr>
        <w:sectPr>
          <w:pgSz w:w="11900" w:h="16840" w:orient="portrait"/>
          <w:cols w:equalWidth="0" w:num="1">
            <w:col w:w="9020"/>
          </w:cols>
          <w:pgMar w:left="1440" w:top="1109" w:right="1440" w:bottom="46" w:gutter="0" w:footer="0" w:header="0"/>
        </w:sectPr>
      </w:pPr>
    </w:p>
    <w:bookmarkStart w:id="202" w:name="page203"/>
    <w:bookmarkEnd w:id="202"/>
    <w:p>
      <w:pPr>
        <w:ind w:left="760" w:right="1000"/>
        <w:spacing w:after="0" w:line="236" w:lineRule="auto"/>
        <w:rPr>
          <w:sz w:val="20"/>
          <w:szCs w:val="20"/>
          <w:color w:val="auto"/>
        </w:rPr>
      </w:pPr>
      <w:r>
        <w:rPr>
          <w:rFonts w:ascii="Times New Roman" w:cs="Times New Roman" w:eastAsia="Times New Roman" w:hAnsi="Times New Roman"/>
          <w:sz w:val="19"/>
          <w:szCs w:val="19"/>
          <w:color w:val="auto"/>
        </w:rPr>
        <w:t xml:space="preserve">violated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in the case of any communication that is made: (a) pursuant to a court order, subpoena or legal process; (b) to a court, mediator, government agency or arbitrator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-264160</wp:posOffset>
            </wp:positionV>
            <wp:extent cx="6707505" cy="99695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760" w:right="860"/>
        <w:spacing w:after="0" w:line="258" w:lineRule="auto"/>
        <w:rPr>
          <w:sz w:val="20"/>
          <w:szCs w:val="20"/>
          <w:color w:val="auto"/>
        </w:rPr>
      </w:pPr>
      <w:r>
        <w:rPr>
          <w:rFonts w:ascii="Times New Roman" w:cs="Times New Roman" w:eastAsia="Times New Roman" w:hAnsi="Times New Roman"/>
          <w:sz w:val="19"/>
          <w:szCs w:val="19"/>
          <w:color w:val="auto"/>
        </w:rPr>
        <w:t xml:space="preserve">connection with any litigation or dispute between Employer and Employee; or (c) exclusively to Employer in the course of Employer’s supervision or review of Employee’s job performance. The obligations under this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shall survive the expiration or termination of this Agreement.</w:t>
      </w:r>
    </w:p>
    <w:p>
      <w:pPr>
        <w:spacing w:after="0" w:line="155" w:lineRule="exact"/>
        <w:rPr>
          <w:sz w:val="20"/>
          <w:szCs w:val="20"/>
          <w:color w:val="auto"/>
        </w:rPr>
      </w:pPr>
    </w:p>
    <w:p>
      <w:pPr>
        <w:ind w:left="760" w:right="780" w:firstLine="579"/>
        <w:spacing w:after="0" w:line="262" w:lineRule="auto"/>
        <w:tabs>
          <w:tab w:leader="none" w:pos="191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In consideration of the benefits and promises provided herein, Employee covenants and agrees that, both during Employee’s employment with Employer and, if</w:t>
      </w:r>
    </w:p>
    <w:p>
      <w:pPr>
        <w:spacing w:after="0" w:line="1" w:lineRule="exact"/>
        <w:rPr>
          <w:sz w:val="20"/>
          <w:szCs w:val="20"/>
          <w:color w:val="auto"/>
        </w:rPr>
      </w:pPr>
    </w:p>
    <w:p>
      <w:pPr>
        <w:ind w:left="760" w:right="780"/>
        <w:spacing w:after="0" w:line="252" w:lineRule="auto"/>
        <w:rPr>
          <w:sz w:val="20"/>
          <w:szCs w:val="20"/>
          <w:color w:val="auto"/>
        </w:rPr>
      </w:pPr>
      <w:r>
        <w:rPr>
          <w:rFonts w:ascii="Times New Roman" w:cs="Times New Roman" w:eastAsia="Times New Roman" w:hAnsi="Times New Roman"/>
          <w:sz w:val="19"/>
          <w:szCs w:val="19"/>
          <w:color w:val="auto"/>
        </w:rPr>
        <w:t xml:space="preserve">Employer terminates Employee’s employment with Employer pursuant to </w:t>
      </w:r>
      <w:r>
        <w:rPr>
          <w:rFonts w:ascii="Times New Roman" w:cs="Times New Roman" w:eastAsia="Times New Roman" w:hAnsi="Times New Roman"/>
          <w:sz w:val="19"/>
          <w:szCs w:val="19"/>
          <w:u w:val="single" w:color="auto"/>
          <w:color w:val="auto"/>
        </w:rPr>
        <w:t>Section 6.b.ii.</w:t>
      </w:r>
      <w:r>
        <w:rPr>
          <w:rFonts w:ascii="Times New Roman" w:cs="Times New Roman" w:eastAsia="Times New Roman" w:hAnsi="Times New Roman"/>
          <w:sz w:val="19"/>
          <w:szCs w:val="19"/>
          <w:color w:val="auto"/>
        </w:rPr>
        <w:t xml:space="preserve"> or if Employee voluntarily terminates Employee’s employment with Employer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6.c.ii.</w:t>
      </w:r>
      <w:r>
        <w:rPr>
          <w:rFonts w:ascii="Times New Roman" w:cs="Times New Roman" w:eastAsia="Times New Roman" w:hAnsi="Times New Roman"/>
          <w:sz w:val="19"/>
          <w:szCs w:val="19"/>
          <w:color w:val="auto"/>
        </w:rPr>
        <w:t xml:space="preserve">, in either case, for the applicable period shown on </w:t>
      </w:r>
      <w:r>
        <w:rPr>
          <w:rFonts w:ascii="Times New Roman" w:cs="Times New Roman" w:eastAsia="Times New Roman" w:hAnsi="Times New Roman"/>
          <w:sz w:val="19"/>
          <w:szCs w:val="19"/>
          <w:u w:val="single" w:color="auto"/>
          <w:color w:val="auto"/>
        </w:rPr>
        <w:t>Attachment 2</w:t>
      </w:r>
      <w:r>
        <w:rPr>
          <w:rFonts w:ascii="Times New Roman" w:cs="Times New Roman" w:eastAsia="Times New Roman" w:hAnsi="Times New Roman"/>
          <w:sz w:val="19"/>
          <w:szCs w:val="19"/>
          <w:color w:val="auto"/>
        </w:rPr>
        <w:t xml:space="preserve"> hereto (determined based on Employee’s corresponding title and level on the date on which, as applicable, Employer terminates Employee’s employment or Employee notifies Employer of Employee’s intent to voluntarily terminate Employee’s employment) following the date of the termination of Employee’s employment with Employer or, if earlier and to the extent applicable, the date on which Employee notifies Employer of Employee’s intent to voluntarily terminate Employee’s employment (such period, as applicable, the “ </w:t>
      </w:r>
      <w:r>
        <w:rPr>
          <w:rFonts w:ascii="Times New Roman" w:cs="Times New Roman" w:eastAsia="Times New Roman" w:hAnsi="Times New Roman"/>
          <w:sz w:val="19"/>
          <w:szCs w:val="19"/>
          <w:i w:val="1"/>
          <w:iCs w:val="1"/>
          <w:color w:val="auto"/>
        </w:rPr>
        <w:t>Non-Competition Period</w:t>
      </w:r>
      <w:r>
        <w:rPr>
          <w:rFonts w:ascii="Times New Roman" w:cs="Times New Roman" w:eastAsia="Times New Roman" w:hAnsi="Times New Roman"/>
          <w:sz w:val="19"/>
          <w:szCs w:val="19"/>
          <w:color w:val="auto"/>
        </w:rPr>
        <w:t xml:space="preserve"> ”), Employee will not, directly or indirectly, without the prior written consent of Employer, provide services to a “Competing Investment Business” (as defined below). The Non-Competition Period shall run</w:t>
      </w:r>
    </w:p>
    <w:tbl>
      <w:tblPr>
        <w:tblLayout w:type="fixed"/>
        <w:tblInd w:w="760" w:type="dxa"/>
        <w:tblCellMar>
          <w:top w:w="0" w:type="dxa"/>
          <w:left w:w="0" w:type="dxa"/>
          <w:bottom w:w="0" w:type="dxa"/>
          <w:right w:w="0" w:type="dxa"/>
        </w:tblCellMar>
      </w:tblPr>
      <w:tr>
        <w:trPr>
          <w:trHeight w:val="192"/>
        </w:trPr>
        <w:tc>
          <w:tcPr>
            <w:tcW w:w="42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concurrently with any “Notice Period” (as defined in</w:t>
            </w:r>
          </w:p>
        </w:tc>
        <w:tc>
          <w:tcPr>
            <w:tcW w:w="324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9"/>
                <w:szCs w:val="19"/>
                <w:color w:val="auto"/>
              </w:rPr>
              <w:t>Section 17 ) and shall not be extended by</w:t>
            </w: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0"/>
        </w:trPr>
        <w:tc>
          <w:tcPr>
            <w:tcW w:w="4220" w:type="dxa"/>
            <w:vAlign w:val="bottom"/>
          </w:tcPr>
          <w:p>
            <w:pPr>
              <w:spacing w:after="0"/>
              <w:rPr>
                <w:sz w:val="20"/>
                <w:szCs w:val="20"/>
                <w:color w:val="auto"/>
              </w:rPr>
            </w:pPr>
            <w:r>
              <w:rPr>
                <w:rFonts w:ascii="Times New Roman" w:cs="Times New Roman" w:eastAsia="Times New Roman" w:hAnsi="Times New Roman"/>
                <w:sz w:val="19"/>
                <w:szCs w:val="19"/>
                <w:color w:val="auto"/>
              </w:rPr>
              <w:t>the Notice Period. For purposes of this Agreement, a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9"/>
                <w:szCs w:val="19"/>
                <w:i w:val="1"/>
                <w:iCs w:val="1"/>
                <w:color w:val="auto"/>
              </w:rPr>
              <w:t xml:space="preserve">Competing Investment Business </w:t>
            </w:r>
            <w:r>
              <w:rPr>
                <w:rFonts w:ascii="Times New Roman" w:cs="Times New Roman" w:eastAsia="Times New Roman" w:hAnsi="Times New Roman"/>
                <w:sz w:val="19"/>
                <w:szCs w:val="19"/>
                <w:color w:val="auto"/>
              </w:rPr>
              <w:t>” shall</w:t>
            </w: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1" w:lineRule="exact"/>
        <w:rPr>
          <w:sz w:val="20"/>
          <w:szCs w:val="20"/>
          <w:color w:val="auto"/>
        </w:rPr>
      </w:pPr>
    </w:p>
    <w:p>
      <w:pPr>
        <w:ind w:left="760" w:right="860"/>
        <w:spacing w:after="0" w:line="255" w:lineRule="auto"/>
        <w:rPr>
          <w:sz w:val="20"/>
          <w:szCs w:val="20"/>
          <w:color w:val="auto"/>
        </w:rPr>
      </w:pPr>
      <w:r>
        <w:rPr>
          <w:rFonts w:ascii="Times New Roman" w:cs="Times New Roman" w:eastAsia="Times New Roman" w:hAnsi="Times New Roman"/>
          <w:sz w:val="19"/>
          <w:szCs w:val="19"/>
          <w:color w:val="auto"/>
        </w:rPr>
        <w:t>mean any alternative asset management investment advisory business (whether stand-alone or part of a larger organization) or other business engaging in similar investment sponsorship activity (such as providing investment advisory services for the benefit of a special purpose acquisition company) and shall include, without limitation, any business engaging in the activities and business strategies of the investment funds, vehicles and accounts and other investment products, services and lines of business operated by or within Carlyle’s business during the term of Employee’s employment. Employee acknowledges and agrees that Carlyle’s business is worldwide in scope and therefore this restriction governs Employee’s activities anywhere in the world where Employee (i) provided services; (ii) directly or indirectly supervised or managed business operations and/or employees; and/or (iii) maintained client or investor relationships, in each case on behalf of Carlyle’s business. Employee shall be deemed to be “providing services” to a Competing Investment Business if Employee provides services directly or indirectly, whether individually or through or by another person or an entity in which</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780"/>
        <w:spacing w:after="0" w:line="254" w:lineRule="auto"/>
        <w:rPr>
          <w:sz w:val="20"/>
          <w:szCs w:val="20"/>
          <w:color w:val="auto"/>
        </w:rPr>
      </w:pPr>
      <w:r>
        <w:rPr>
          <w:rFonts w:ascii="Times New Roman" w:cs="Times New Roman" w:eastAsia="Times New Roman" w:hAnsi="Times New Roman"/>
          <w:sz w:val="19"/>
          <w:szCs w:val="19"/>
          <w:color w:val="auto"/>
        </w:rPr>
        <w:t xml:space="preserve">Employee is a director (or the equivalent), officer, employee, consultant, representative, agent or otherwise, to a Competing Investment Business. Employee shall not be deemed to be “providing services” to a Competing Investment Business if (A) the Competing Investment Business is a publicly traded entity and Employee’s only relationship with such entity is an equity stake of five percent (5%) or less or (B) Employee indirectly holds an equity interest of five percent (5%) or less of the interests in a Competing Investment Business that is providing services through a fund or similar investment vehicle in which Employee is a limited partner (or functional equivalent) with no direction or control over the investments of such fund or other investment vehicle. The restrictions contained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do not prevent Employee from (I) managing Employee’s personal investment activities that are not a Competing Investment Business and for which Employee receives no compensation in any form or (II) participating in charitable, community, literary and artistic activities, subject to </w:t>
      </w:r>
      <w:r>
        <w:rPr>
          <w:rFonts w:ascii="Times New Roman" w:cs="Times New Roman" w:eastAsia="Times New Roman" w:hAnsi="Times New Roman"/>
          <w:sz w:val="19"/>
          <w:szCs w:val="19"/>
          <w:u w:val="single" w:color="auto"/>
          <w:color w:val="auto"/>
        </w:rPr>
        <w:t>Section 1(c)</w:t>
      </w:r>
      <w:r>
        <w:rPr>
          <w:rFonts w:ascii="Times New Roman" w:cs="Times New Roman" w:eastAsia="Times New Roman" w:hAnsi="Times New Roman"/>
          <w:sz w:val="19"/>
          <w:szCs w:val="19"/>
          <w:color w:val="auto"/>
        </w:rPr>
        <w:t xml:space="preserve"> hereof. Employee agrees that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may briefly limit Employee’s ability to earn a livelihood in a business similar to Carlyle’s business, but Employee nevertheless hereby agrees and hereby acknowledges that the consideration provided to Employee in this Agreement is adequate to support the restrictions contained herein. Employee further agrees that the restrictions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are reasonable and necessary to protect Carlyle’s confidential information (including trade secrets), goodwill and other legitimate business needs. In the event that any court or tribunal of competent jurisdiction shall determine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to be unenforceable or invalid for any reason, Employee and Carlyle agree that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be interpreted to extend only over the maximum period of time, geographic area and scope of activities for which it may be enforceable, as determined by such court or tribunal. Employee agrees and acknowledges that</w:t>
      </w:r>
    </w:p>
    <w:p>
      <w:pPr>
        <w:sectPr>
          <w:pgSz w:w="11900" w:h="16840" w:orient="portrait"/>
          <w:cols w:equalWidth="0" w:num="1">
            <w:col w:w="9020"/>
          </w:cols>
          <w:pgMar w:left="1440" w:top="556" w:right="1440" w:bottom="189" w:gutter="0" w:footer="0" w:header="0"/>
        </w:sectPr>
      </w:pPr>
    </w:p>
    <w:bookmarkStart w:id="203" w:name="page204"/>
    <w:bookmarkEnd w:id="203"/>
    <w:p>
      <w:pPr>
        <w:ind w:left="760" w:right="780"/>
        <w:spacing w:after="0" w:line="284" w:lineRule="auto"/>
        <w:rPr>
          <w:sz w:val="20"/>
          <w:szCs w:val="20"/>
          <w:color w:val="auto"/>
        </w:rPr>
      </w:pPr>
      <w:r>
        <w:rPr>
          <w:rFonts w:ascii="Times New Roman" w:cs="Times New Roman" w:eastAsia="Times New Roman" w:hAnsi="Times New Roman"/>
          <w:sz w:val="15"/>
          <w:szCs w:val="15"/>
          <w:color w:val="auto"/>
        </w:rPr>
        <w:t>the</w:t>
      </w:r>
      <w:r>
        <w:rPr>
          <w:rFonts w:ascii="Times New Roman" w:cs="Times New Roman" w:eastAsia="Times New Roman" w:hAnsi="Times New Roman"/>
          <w:sz w:val="27"/>
          <w:szCs w:val="27"/>
          <w:color w:val="auto"/>
          <w:vertAlign w:val="subscript"/>
        </w:rPr>
        <w:t>Agreement</w:t>
      </w:r>
      <w:r>
        <w:rPr>
          <w:rFonts w:ascii="Times New Roman" w:cs="Times New Roman" w:eastAsia="Times New Roman" w:hAnsi="Times New Roman"/>
          <w:sz w:val="15"/>
          <w:szCs w:val="15"/>
          <w:color w:val="auto"/>
        </w:rPr>
        <w:t>foregoing</w:t>
      </w:r>
      <w:r>
        <w:rPr>
          <w:rFonts w:ascii="Times New Roman" w:cs="Times New Roman" w:eastAsia="Times New Roman" w:hAnsi="Times New Roman"/>
          <w:sz w:val="27"/>
          <w:szCs w:val="27"/>
          <w:color w:val="auto"/>
          <w:vertAlign w:val="subscript"/>
        </w:rPr>
        <w:t>and,</w:t>
      </w:r>
      <w:r>
        <w:rPr>
          <w:rFonts w:ascii="Times New Roman" w:cs="Times New Roman" w:eastAsia="Times New Roman" w:hAnsi="Times New Roman"/>
          <w:sz w:val="15"/>
          <w:szCs w:val="15"/>
          <w:color w:val="auto"/>
        </w:rPr>
        <w:t>non</w:t>
      </w:r>
      <w:r>
        <w:rPr>
          <w:rFonts w:ascii="Times New Roman" w:cs="Times New Roman" w:eastAsia="Times New Roman" w:hAnsi="Times New Roman"/>
          <w:sz w:val="27"/>
          <w:szCs w:val="27"/>
          <w:color w:val="auto"/>
          <w:vertAlign w:val="subscript"/>
        </w:rPr>
        <w:t>as</w:t>
      </w:r>
      <w:r>
        <w:rPr>
          <w:rFonts w:ascii="Times New Roman" w:cs="Times New Roman" w:eastAsia="Times New Roman" w:hAnsi="Times New Roman"/>
          <w:sz w:val="15"/>
          <w:szCs w:val="15"/>
          <w:color w:val="auto"/>
        </w:rPr>
        <w:t>-competition</w:t>
      </w:r>
      <w:r>
        <w:rPr>
          <w:rFonts w:ascii="Times New Roman" w:cs="Times New Roman" w:eastAsia="Times New Roman" w:hAnsi="Times New Roman"/>
          <w:sz w:val="27"/>
          <w:szCs w:val="27"/>
          <w:color w:val="auto"/>
          <w:vertAlign w:val="subscript"/>
        </w:rPr>
        <w:t>such,itisagreed</w:t>
      </w:r>
      <w:r>
        <w:rPr>
          <w:rFonts w:ascii="Times New Roman" w:cs="Times New Roman" w:eastAsia="Times New Roman" w:hAnsi="Times New Roman"/>
          <w:sz w:val="15"/>
          <w:szCs w:val="15"/>
          <w:color w:val="auto"/>
        </w:rPr>
        <w:t>covenant</w:t>
      </w:r>
      <w:r>
        <w:rPr>
          <w:rFonts w:ascii="Times New Roman" w:cs="Times New Roman" w:eastAsia="Times New Roman" w:hAnsi="Times New Roman"/>
          <w:sz w:val="27"/>
          <w:szCs w:val="27"/>
          <w:color w:val="auto"/>
          <w:vertAlign w:val="subscript"/>
        </w:rPr>
        <w:t>byCarlyle</w:t>
      </w:r>
      <w:r>
        <w:rPr>
          <w:rFonts w:ascii="Times New Roman" w:cs="Times New Roman" w:eastAsia="Times New Roman" w:hAnsi="Times New Roman"/>
          <w:sz w:val="15"/>
          <w:szCs w:val="15"/>
          <w:color w:val="auto"/>
        </w:rPr>
        <w:t>isamaterial</w:t>
      </w:r>
      <w:r>
        <w:rPr>
          <w:rFonts w:ascii="Times New Roman" w:cs="Times New Roman" w:eastAsia="Times New Roman" w:hAnsi="Times New Roman"/>
          <w:sz w:val="27"/>
          <w:szCs w:val="27"/>
          <w:color w:val="auto"/>
          <w:vertAlign w:val="subscript"/>
        </w:rPr>
        <w:t>andEmployee</w:t>
      </w:r>
      <w:r>
        <w:rPr>
          <w:rFonts w:ascii="Times New Roman" w:cs="Times New Roman" w:eastAsia="Times New Roman" w:hAnsi="Times New Roman"/>
          <w:sz w:val="15"/>
          <w:szCs w:val="15"/>
          <w:color w:val="auto"/>
        </w:rPr>
        <w:t>inducement</w:t>
      </w:r>
      <w:r>
        <w:rPr>
          <w:rFonts w:ascii="Times New Roman" w:cs="Times New Roman" w:eastAsia="Times New Roman" w:hAnsi="Times New Roman"/>
          <w:sz w:val="27"/>
          <w:szCs w:val="27"/>
          <w:color w:val="auto"/>
          <w:vertAlign w:val="subscript"/>
        </w:rPr>
        <w:t>tha</w:t>
      </w:r>
      <w:r>
        <w:rPr>
          <w:rFonts w:ascii="Times New Roman" w:cs="Times New Roman" w:eastAsia="Times New Roman" w:hAnsi="Times New Roman"/>
          <w:sz w:val="15"/>
          <w:szCs w:val="15"/>
          <w:color w:val="auto"/>
        </w:rPr>
        <w:t xml:space="preserve"> t o</w:t>
      </w:r>
      <w:r>
        <w:rPr>
          <w:rFonts w:ascii="Times New Roman" w:cs="Times New Roman" w:eastAsia="Times New Roman" w:hAnsi="Times New Roman"/>
          <w:sz w:val="27"/>
          <w:szCs w:val="27"/>
          <w:color w:val="auto"/>
          <w:vertAlign w:val="subscript"/>
        </w:rPr>
        <w:t>any</w:t>
      </w:r>
      <w:r>
        <w:rPr>
          <w:rFonts w:ascii="Times New Roman" w:cs="Times New Roman" w:eastAsia="Times New Roman" w:hAnsi="Times New Roman"/>
          <w:sz w:val="15"/>
          <w:szCs w:val="15"/>
          <w:color w:val="auto"/>
        </w:rPr>
        <w:t>Carlyle</w:t>
      </w:r>
      <w:r>
        <w:rPr>
          <w:rFonts w:ascii="Times New Roman" w:cs="Times New Roman" w:eastAsia="Times New Roman" w:hAnsi="Times New Roman"/>
          <w:sz w:val="27"/>
          <w:szCs w:val="27"/>
          <w:color w:val="auto"/>
          <w:vertAlign w:val="subscript"/>
        </w:rPr>
        <w:t>breach</w:t>
      </w:r>
      <w:r>
        <w:rPr>
          <w:rFonts w:ascii="Times New Roman" w:cs="Times New Roman" w:eastAsia="Times New Roman" w:hAnsi="Times New Roman"/>
          <w:sz w:val="15"/>
          <w:szCs w:val="15"/>
          <w:color w:val="auto"/>
        </w:rPr>
        <w:t xml:space="preserve">to </w:t>
      </w:r>
      <w:r>
        <w:rPr>
          <w:rFonts w:ascii="Times New Roman" w:cs="Times New Roman" w:eastAsia="Times New Roman" w:hAnsi="Times New Roman"/>
          <w:sz w:val="27"/>
          <w:szCs w:val="27"/>
          <w:color w:val="auto"/>
          <w:vertAlign w:val="subscript"/>
        </w:rPr>
        <w:t>or</w:t>
      </w:r>
      <w:r>
        <w:rPr>
          <w:rFonts w:ascii="Times New Roman" w:cs="Times New Roman" w:eastAsia="Times New Roman" w:hAnsi="Times New Roman"/>
          <w:sz w:val="15"/>
          <w:szCs w:val="15"/>
          <w:color w:val="auto"/>
        </w:rPr>
        <w:t xml:space="preserve">en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5"/>
          <w:szCs w:val="15"/>
          <w:color w:val="auto"/>
        </w:rPr>
        <w:t>er</w:t>
      </w:r>
      <w:r>
        <w:rPr>
          <w:rFonts w:ascii="Times New Roman" w:cs="Times New Roman" w:eastAsia="Times New Roman" w:hAnsi="Times New Roman"/>
          <w:sz w:val="27"/>
          <w:szCs w:val="27"/>
          <w:color w:val="auto"/>
          <w:vertAlign w:val="subscript"/>
        </w:rPr>
        <w:t>hreatened</w:t>
      </w:r>
      <w:r>
        <w:rPr>
          <w:rFonts w:ascii="Times New Roman" w:cs="Times New Roman" w:eastAsia="Times New Roman" w:hAnsi="Times New Roman"/>
          <w:sz w:val="15"/>
          <w:szCs w:val="15"/>
          <w:color w:val="auto"/>
        </w:rPr>
        <w:t>intothis breach of this non-competition restriction by Employee may result in substantial, continuing and irreparable injury to Carlyle and will constitute a material breach of this Agreement and shall entitle Carlyle to cease making any payment pursuant to this Agreement, among other remedies. In the event of Employee’s breach or threatened breach of this this non-competition restriction, Employee agrees and acknowledges that Carlyle shall be entitled to forfeiture and/or clawback of the economic and/or equity interests Employee has received from Carlyle, in addition to whatever other remedies at law Carlyle may have. Employee and Carlyle further agree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-1198880</wp:posOffset>
            </wp:positionV>
            <wp:extent cx="6707505" cy="99695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760" w:right="780"/>
        <w:spacing w:after="0" w:line="253" w:lineRule="auto"/>
        <w:rPr>
          <w:sz w:val="20"/>
          <w:szCs w:val="20"/>
          <w:color w:val="auto"/>
        </w:rPr>
      </w:pPr>
      <w:r>
        <w:rPr>
          <w:rFonts w:ascii="Times New Roman" w:cs="Times New Roman" w:eastAsia="Times New Roman" w:hAnsi="Times New Roman"/>
          <w:sz w:val="19"/>
          <w:szCs w:val="19"/>
          <w:color w:val="auto"/>
        </w:rPr>
        <w:t xml:space="preserve">remedy at law for any breach or threatened breach of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by Employee may be inadequate, and that Carlyle shall, in addition to whatever other remedies Carlyle may have at law or in equity, be entitled (without posting bond or other security) to injunctive relief, specific performance and/or other equitable relief, as deemed appropriate by any court or tribunal of competent jurisdiction, to prevent a breach of Employee’s obligations as set forth in this </w:t>
      </w:r>
      <w:r>
        <w:rPr>
          <w:rFonts w:ascii="Times New Roman" w:cs="Times New Roman" w:eastAsia="Times New Roman" w:hAnsi="Times New Roman"/>
          <w:sz w:val="19"/>
          <w:szCs w:val="19"/>
          <w:u w:val="single" w:color="auto"/>
          <w:color w:val="auto"/>
        </w:rPr>
        <w:t>Section</w:t>
      </w:r>
    </w:p>
    <w:p>
      <w:pPr>
        <w:spacing w:after="0" w:line="1" w:lineRule="exact"/>
        <w:rPr>
          <w:sz w:val="20"/>
          <w:szCs w:val="20"/>
          <w:color w:val="auto"/>
        </w:rPr>
      </w:pPr>
    </w:p>
    <w:p>
      <w:pPr>
        <w:ind w:left="760" w:right="1240"/>
        <w:spacing w:after="0" w:line="262" w:lineRule="auto"/>
        <w:rPr>
          <w:sz w:val="20"/>
          <w:szCs w:val="20"/>
          <w:color w:val="auto"/>
        </w:rPr>
      </w:pP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The obligations under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shall survive the termination of Employee’s employment and the expiration or termination of this Agreement.</w:t>
      </w:r>
    </w:p>
    <w:p>
      <w:pPr>
        <w:spacing w:after="0" w:line="149" w:lineRule="exact"/>
        <w:rPr>
          <w:sz w:val="20"/>
          <w:szCs w:val="20"/>
          <w:color w:val="auto"/>
        </w:rPr>
      </w:pPr>
    </w:p>
    <w:p>
      <w:pPr>
        <w:ind w:left="760" w:right="840" w:firstLine="579"/>
        <w:spacing w:after="0" w:line="260" w:lineRule="auto"/>
        <w:tabs>
          <w:tab w:leader="none" w:pos="191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 Employee covenants and agrees that, both during the Term of Employee’s employment with Employer and for a period of twelve months after the last day that Employee is employed by Employer or an affiliate thereof (regardless of the reason for the termination of Employee’s employment), Employee will not, directly or indirectly, without the prior written consent of Carlyle: (a) participate in any capacity, including as an investor or an advisor, in any transaction that Carlyle or any of its affiliates was actively considering investing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760"/>
        <w:spacing w:after="0" w:line="254" w:lineRule="auto"/>
        <w:rPr>
          <w:sz w:val="20"/>
          <w:szCs w:val="20"/>
          <w:color w:val="auto"/>
        </w:rPr>
      </w:pPr>
      <w:r>
        <w:rPr>
          <w:rFonts w:ascii="Times New Roman" w:cs="Times New Roman" w:eastAsia="Times New Roman" w:hAnsi="Times New Roman"/>
          <w:sz w:val="19"/>
          <w:szCs w:val="19"/>
          <w:color w:val="auto"/>
        </w:rPr>
        <w:t xml:space="preserve">in or offering to invest in prior to the date of termination; (b) solicit, contact or identify investors in any investment partnership, fund, vehicle or managed account controlled or advised by Carlyle or its affiliates (to the extent Employee knows that such Person is an investor, directly or indirectly, in such partnership, fund, vehicle or managed account) on behalf of any Person; or (c) recruit, solicit, hire, induce or seek to induce or hire any then-current employee or member of Carlyle or its affiliates to become employed by Employee or any other Person. Employee agrees that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may briefly limit Employee’s ability to earn a livelihood in a business similar to the business conducted by Employer, but Employee nevertheless hereby agrees and hereby acknowledges the consideration provided to Employee in this Agreement is adequate to support the restrictions contained herein. Employee further agrees that the restrictions set forth in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are reasonable and necessary to protect Carlyle’s confidential information (including trade secrets), goodwill and other legitimate business needs. In the event that any court or tribunal of competent jurisdiction shall determine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to be unenforceable or invalid for any reason, Employee and Carlyle agree that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be interpreted to extend only over the maximum period of time, geographic area and scope of activities for which it may be enforceable, as determined by such court or tribunal. Employee agrees and acknowledges that the foregoing non-solicitation covenant is a material inducement to Carlyle to enter into this Agreement and, as such, Carlyle and Employee agree that any breach or threatened breach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by Employee may result in substantial, continuing and irreparable injury to Carlyle and will constitute a material breach of this Agreement and shall entitle Carlyle to cease making any payment pursuant to this Agreement, among other remedies. In the event of Employee’s breach or threatened breach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Employee agrees and acknowledges that Carlyle shall be entitled to forfeiture and/or clawback of the economic and/or equity interests Employee has received from Carlyle, in addition to whatever other remedies at law Carlyle may have. Employee further agrees that the remedy at law for any breach or threatened breach of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may be inadequate, and that Carlyle shall, in addition to whatever other remedies it may have at law or in equity, be entitled (without posting bond or other security) to injunctive relief, specific performance and/or other equitable relief, as deemed appropriate by any court or tribunal of competent jurisdiction, to prevent a breach of Employee’s obligations as set forth in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The obligations under this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shall survive the expiration or termination of this Agreement and the termination of Employee’s employment.</w:t>
      </w:r>
    </w:p>
    <w:p>
      <w:pPr>
        <w:spacing w:after="0" w:line="166" w:lineRule="exact"/>
        <w:rPr>
          <w:sz w:val="20"/>
          <w:szCs w:val="20"/>
          <w:color w:val="auto"/>
        </w:rPr>
      </w:pPr>
    </w:p>
    <w:p>
      <w:pPr>
        <w:ind w:left="760" w:right="900" w:firstLine="579"/>
        <w:spacing w:after="0" w:line="268" w:lineRule="auto"/>
        <w:tabs>
          <w:tab w:leader="none" w:pos="191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Offset</w:t>
      </w:r>
      <w:r>
        <w:rPr>
          <w:rFonts w:ascii="Times New Roman" w:cs="Times New Roman" w:eastAsia="Times New Roman" w:hAnsi="Times New Roman"/>
          <w:sz w:val="19"/>
          <w:szCs w:val="19"/>
          <w:color w:val="auto"/>
        </w:rPr>
        <w:t>. To the fullest extent permitted by law, Carlyle shall have the right to set-off or otherwise withhold, any and all proceeds, distributions and payments (other than wages due to Employee solely by virtue of such Employee’s status as an employee), including without</w:t>
      </w:r>
    </w:p>
    <w:p>
      <w:pPr>
        <w:sectPr>
          <w:pgSz w:w="11900" w:h="16840" w:orient="portrait"/>
          <w:cols w:equalWidth="0" w:num="1">
            <w:col w:w="9020"/>
          </w:cols>
          <w:pgMar w:left="1440" w:top="336" w:right="1440" w:bottom="115" w:gutter="0" w:footer="0" w:header="0"/>
        </w:sectPr>
      </w:pPr>
    </w:p>
    <w:bookmarkStart w:id="204" w:name="page205"/>
    <w:bookmarkEnd w:id="204"/>
    <w:p>
      <w:pPr>
        <w:ind w:left="760" w:right="800"/>
        <w:spacing w:after="0" w:line="190" w:lineRule="auto"/>
        <w:rPr>
          <w:sz w:val="20"/>
          <w:szCs w:val="20"/>
          <w:color w:val="auto"/>
        </w:rPr>
      </w:pPr>
      <w:r>
        <w:rPr>
          <w:rFonts w:ascii="Times New Roman" w:cs="Times New Roman" w:eastAsia="Times New Roman" w:hAnsi="Times New Roman"/>
          <w:sz w:val="19"/>
          <w:szCs w:val="19"/>
          <w:color w:val="auto"/>
        </w:rPr>
        <w:t>limitation, bonus payments, equity-based awards and any amounts representing such Employee’s direct and indirect share of distributions or incentive fees otherwise payable from any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-210820</wp:posOffset>
            </wp:positionV>
            <wp:extent cx="6707505" cy="99695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760" w:right="820"/>
        <w:spacing w:after="0" w:line="256" w:lineRule="auto"/>
        <w:rPr>
          <w:sz w:val="20"/>
          <w:szCs w:val="20"/>
          <w:color w:val="auto"/>
        </w:rPr>
      </w:pPr>
      <w:r>
        <w:rPr>
          <w:rFonts w:ascii="Times New Roman" w:cs="Times New Roman" w:eastAsia="Times New Roman" w:hAnsi="Times New Roman"/>
          <w:sz w:val="19"/>
          <w:szCs w:val="19"/>
          <w:color w:val="auto"/>
        </w:rPr>
        <w:t>related fund or entity (including Carlyle’s investment or coinvestment funds), in order to recover any amounts due to Carlyle from Employee, including damages as a result of breach of any contractual obligation that Employee has to Employer.</w:t>
      </w:r>
    </w:p>
    <w:p>
      <w:pPr>
        <w:spacing w:after="0" w:line="155" w:lineRule="exact"/>
        <w:rPr>
          <w:sz w:val="20"/>
          <w:szCs w:val="20"/>
          <w:color w:val="auto"/>
        </w:rPr>
      </w:pPr>
    </w:p>
    <w:p>
      <w:pPr>
        <w:ind w:left="760" w:right="780" w:firstLine="579"/>
        <w:spacing w:after="0" w:line="266" w:lineRule="auto"/>
        <w:tabs>
          <w:tab w:leader="none" w:pos="1912"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 The validity of this Agreement and any of the terms or provisions, as well as the rights and duties of the parties hereunder, shall be governed by the laws of the Governing Jurisdiction, without reference to any conflict of law or choice of law principles in the Governing Jurisdiction that might apply the law of another jurisdiction.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760" w:right="880" w:firstLine="579"/>
        <w:spacing w:after="0" w:line="262" w:lineRule="auto"/>
        <w:tabs>
          <w:tab w:leader="none" w:pos="1912"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multiple original counterparts, each of which shall be deemed an original and all of which together shall constitute one and the same document. Signature pages in “.pdf” form or other electronic signatures (including signatures via DocuSign) shall be deemed original signatures of this Agreement.</w:t>
      </w:r>
    </w:p>
    <w:p>
      <w:pPr>
        <w:spacing w:after="0" w:line="150" w:lineRule="exact"/>
        <w:rPr>
          <w:rFonts w:ascii="Times New Roman" w:cs="Times New Roman" w:eastAsia="Times New Roman" w:hAnsi="Times New Roman"/>
          <w:sz w:val="19"/>
          <w:szCs w:val="19"/>
          <w:color w:val="auto"/>
        </w:rPr>
      </w:pPr>
    </w:p>
    <w:p>
      <w:pPr>
        <w:ind w:left="1920" w:hanging="581"/>
        <w:spacing w:after="0"/>
        <w:tabs>
          <w:tab w:leader="none" w:pos="19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2200" w:right="920" w:hanging="285"/>
        <w:spacing w:after="0" w:line="254" w:lineRule="auto"/>
        <w:tabs>
          <w:tab w:leader="none" w:pos="220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below or prohibited by applicable law, any dispute, claim or controversy arising in connection with or relating to this Agreement or otherwise in connection with or relating to Employee’s employment with Employer (including any statutory claims), Employee’s carried interest participation (if applicable), Employee’s equity incentive awards in respect of The Carlyle Group Inc. (if applicable) and Employee’s personal coinvestments (if applicable) shall be settled by arbitration in accordance with the Commercial Arbitration Rules of the American Arbitration Association (except as modified herein). No such arbitration proceedings shall be commenced or conducted until at least 60 days after the</w:t>
      </w:r>
    </w:p>
    <w:p>
      <w:pPr>
        <w:spacing w:after="0" w:line="3" w:lineRule="exact"/>
        <w:rPr>
          <w:sz w:val="20"/>
          <w:szCs w:val="20"/>
          <w:color w:val="auto"/>
        </w:rPr>
      </w:pPr>
    </w:p>
    <w:p>
      <w:pPr>
        <w:ind w:left="2200" w:right="780"/>
        <w:spacing w:after="0" w:line="254" w:lineRule="auto"/>
        <w:rPr>
          <w:sz w:val="20"/>
          <w:szCs w:val="20"/>
          <w:color w:val="auto"/>
        </w:rPr>
      </w:pPr>
      <w:r>
        <w:rPr>
          <w:rFonts w:ascii="Times New Roman" w:cs="Times New Roman" w:eastAsia="Times New Roman" w:hAnsi="Times New Roman"/>
          <w:sz w:val="19"/>
          <w:szCs w:val="19"/>
          <w:color w:val="auto"/>
        </w:rPr>
        <w:t xml:space="preserve">parties, in good faith, shall have attempted to resolve such dispute by mutual agreement. The parties hereby agree to endeavor in good faith to resolve any dispute by mutual agreement. If mutual agreement cannot be attained, any disputing party, by written notice to the other (“ </w:t>
      </w:r>
      <w:r>
        <w:rPr>
          <w:rFonts w:ascii="Times New Roman" w:cs="Times New Roman" w:eastAsia="Times New Roman" w:hAnsi="Times New Roman"/>
          <w:sz w:val="19"/>
          <w:szCs w:val="19"/>
          <w:i w:val="1"/>
          <w:iCs w:val="1"/>
          <w:color w:val="auto"/>
        </w:rPr>
        <w:t>Arbitration Notice</w:t>
      </w:r>
      <w:r>
        <w:rPr>
          <w:rFonts w:ascii="Times New Roman" w:cs="Times New Roman" w:eastAsia="Times New Roman" w:hAnsi="Times New Roman"/>
          <w:sz w:val="19"/>
          <w:szCs w:val="19"/>
          <w:color w:val="auto"/>
        </w:rPr>
        <w:t xml:space="preserve"> ”) may commence arbitration proceedings. Such arbitration shall be conducted before a single arbitrator mutually selected by the parties. A court of competent jurisdiction shall appoint any arbitrator who has not been appointed within 60 days after the date of the Arbitration Notice. Judgment may include costs and attorneys’ fees and may be entered in any court of competent jurisdiction. The arbitration shall be conducted in the Arbitration Location or such other location as Employer and Employee may agree, in the English language and all monetary awards shall be in Currency. Arbitration shall be the sole method of resolving disputes not settled by mutual agreement. The determination of the arbitrator shall be final, not subject to appeal, and binding on all parties and may be enforced by appropriate judicial order of any court of competent jurisdiction. The arbitration proceedings contemplated by this Agreement shall be confidential and private to the maximum extent permitted by law, and such confidentiality obligations shall be enforceable by injunction.</w:t>
      </w:r>
    </w:p>
    <w:p>
      <w:pPr>
        <w:spacing w:after="0" w:line="388" w:lineRule="exact"/>
        <w:rPr>
          <w:sz w:val="20"/>
          <w:szCs w:val="20"/>
          <w:color w:val="auto"/>
        </w:rPr>
      </w:pPr>
    </w:p>
    <w:p>
      <w:pPr>
        <w:ind w:left="2200" w:right="940" w:hanging="285"/>
        <w:spacing w:after="0" w:line="258" w:lineRule="auto"/>
        <w:tabs>
          <w:tab w:leader="none" w:pos="22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in the event of any claim or controversy arising in connection with this Agreement for which the remedy is equitable or injunctive relief, unless otherwise prohibited by law, the aggrieved party shall be entitled to seek injunctive or other equitable relief from any court of competent jurisdiction, including where necessary: (i) to compel arbitration;</w:t>
      </w:r>
    </w:p>
    <w:p>
      <w:pPr>
        <w:ind w:left="2480" w:hanging="277"/>
        <w:spacing w:after="0"/>
        <w:tabs>
          <w:tab w:leader="none" w:pos="248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obtain interim measures of protection prior to or pending arbitration;</w:t>
      </w:r>
    </w:p>
    <w:p>
      <w:pPr>
        <w:spacing w:after="0" w:line="10" w:lineRule="exact"/>
        <w:rPr>
          <w:rFonts w:ascii="Times New Roman" w:cs="Times New Roman" w:eastAsia="Times New Roman" w:hAnsi="Times New Roman"/>
          <w:sz w:val="19"/>
          <w:szCs w:val="19"/>
          <w:color w:val="auto"/>
        </w:rPr>
      </w:pPr>
    </w:p>
    <w:p>
      <w:pPr>
        <w:jc w:val="both"/>
        <w:ind w:left="2200" w:right="1400" w:firstLine="3"/>
        <w:spacing w:after="0" w:line="274" w:lineRule="auto"/>
        <w:tabs>
          <w:tab w:leader="none" w:pos="2536"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seek injunctive relief in the courts of any jurisdiction as may be necessary and appropriate to protect the unauthorized disclosure of its</w:t>
      </w:r>
    </w:p>
    <w:p>
      <w:pPr>
        <w:sectPr>
          <w:pgSz w:w="11900" w:h="16840" w:orient="portrait"/>
          <w:cols w:equalWidth="0" w:num="1">
            <w:col w:w="9020"/>
          </w:cols>
          <w:pgMar w:left="1440" w:top="556" w:right="1440" w:bottom="111"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40" w:orient="portrait"/>
          <w:cols w:equalWidth="0" w:num="1">
            <w:col w:w="9020"/>
          </w:cols>
          <w:pgMar w:left="1440" w:top="556" w:right="1440" w:bottom="111" w:gutter="0" w:footer="0" w:header="0"/>
          <w:type w:val="continuous"/>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0" w:right="1100"/>
        <w:spacing w:after="0" w:line="268" w:lineRule="auto"/>
        <w:rPr>
          <w:sz w:val="20"/>
          <w:szCs w:val="20"/>
          <w:color w:val="auto"/>
        </w:rPr>
      </w:pPr>
      <w:r>
        <w:rPr>
          <w:rFonts w:ascii="Times New Roman" w:cs="Times New Roman" w:eastAsia="Times New Roman" w:hAnsi="Times New Roman"/>
          <w:sz w:val="19"/>
          <w:szCs w:val="19"/>
          <w:color w:val="auto"/>
        </w:rPr>
        <w:t xml:space="preserve">proprietary or confidential information, or to enforce the provisions of </w:t>
      </w:r>
      <w:r>
        <w:rPr>
          <w:rFonts w:ascii="Times New Roman" w:cs="Times New Roman" w:eastAsia="Times New Roman" w:hAnsi="Times New Roman"/>
          <w:sz w:val="19"/>
          <w:szCs w:val="19"/>
          <w:u w:val="single" w:color="auto"/>
          <w:color w:val="auto"/>
        </w:rPr>
        <w:t>Sections 8</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w:t>
      </w:r>
      <w:r>
        <w:rPr>
          <w:rFonts w:ascii="Times New Roman" w:cs="Times New Roman" w:eastAsia="Times New Roman" w:hAnsi="Times New Roman"/>
          <w:sz w:val="19"/>
          <w:szCs w:val="19"/>
          <w:color w:val="auto"/>
        </w:rPr>
        <w:t xml:space="preserve"> of this Agreement; and (iv) to enforce any decision of the arbitrator, including the final award.</w:t>
      </w:r>
    </w:p>
    <w:p>
      <w:pPr>
        <w:spacing w:after="0" w:line="144" w:lineRule="exact"/>
        <w:rPr>
          <w:sz w:val="20"/>
          <w:szCs w:val="20"/>
          <w:color w:val="auto"/>
        </w:rPr>
      </w:pPr>
    </w:p>
    <w:p>
      <w:pPr>
        <w:ind w:left="760" w:right="780" w:firstLine="579"/>
        <w:spacing w:after="0" w:line="254" w:lineRule="auto"/>
        <w:tabs>
          <w:tab w:leader="none" w:pos="1912"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Period</w:t>
      </w:r>
      <w:r>
        <w:rPr>
          <w:rFonts w:ascii="Times New Roman" w:cs="Times New Roman" w:eastAsia="Times New Roman" w:hAnsi="Times New Roman"/>
          <w:sz w:val="19"/>
          <w:szCs w:val="19"/>
          <w:color w:val="auto"/>
        </w:rPr>
        <w:t xml:space="preserve"> . Given the importance of Employee’s position with Employer, Employee’s access to and use of Confidential Information (as defined herein) and the irreparable harm that Employee’s departure would likely cause Carlyle, its investor relationships and its business opportunities, Employee agrees that if Employee resigns or retires from employment with Employer in accordance with </w:t>
      </w:r>
      <w:r>
        <w:rPr>
          <w:rFonts w:ascii="Times New Roman" w:cs="Times New Roman" w:eastAsia="Times New Roman" w:hAnsi="Times New Roman"/>
          <w:sz w:val="19"/>
          <w:szCs w:val="19"/>
          <w:u w:val="single" w:color="auto"/>
          <w:color w:val="auto"/>
        </w:rPr>
        <w:t>Section 6.c.</w:t>
      </w:r>
      <w:r>
        <w:rPr>
          <w:rFonts w:ascii="Times New Roman" w:cs="Times New Roman" w:eastAsia="Times New Roman" w:hAnsi="Times New Roman"/>
          <w:sz w:val="19"/>
          <w:szCs w:val="19"/>
          <w:color w:val="auto"/>
        </w:rPr>
        <w:t xml:space="preserve">, Employee will provide Employer with advance written notice of Employee’s intent to so resign or retire of at least the number of months shown on </w:t>
      </w:r>
      <w:r>
        <w:rPr>
          <w:rFonts w:ascii="Times New Roman" w:cs="Times New Roman" w:eastAsia="Times New Roman" w:hAnsi="Times New Roman"/>
          <w:sz w:val="19"/>
          <w:szCs w:val="19"/>
          <w:u w:val="single" w:color="auto"/>
          <w:color w:val="auto"/>
        </w:rPr>
        <w:t>Attachment 2</w:t>
      </w:r>
      <w:r>
        <w:rPr>
          <w:rFonts w:ascii="Times New Roman" w:cs="Times New Roman" w:eastAsia="Times New Roman" w:hAnsi="Times New Roman"/>
          <w:sz w:val="19"/>
          <w:szCs w:val="19"/>
          <w:color w:val="auto"/>
        </w:rPr>
        <w:t xml:space="preserve"> hereto (determined based on Employee’s corresponding title and level on the date on which Employee notifies Employer of Employee’s intent to so resign or retire) (the “</w:t>
      </w:r>
      <w:r>
        <w:rPr>
          <w:rFonts w:ascii="Times New Roman" w:cs="Times New Roman" w:eastAsia="Times New Roman" w:hAnsi="Times New Roman"/>
          <w:sz w:val="19"/>
          <w:szCs w:val="19"/>
          <w:i w:val="1"/>
          <w:iCs w:val="1"/>
          <w:color w:val="auto"/>
        </w:rPr>
        <w:t>Notice Period</w:t>
      </w:r>
      <w:r>
        <w:rPr>
          <w:rFonts w:ascii="Times New Roman" w:cs="Times New Roman" w:eastAsia="Times New Roman" w:hAnsi="Times New Roman"/>
          <w:sz w:val="19"/>
          <w:szCs w:val="19"/>
          <w:color w:val="auto"/>
        </w:rPr>
        <w:t xml:space="preserve"> ”). During the Notice Period, Employee will remain an employee of Employer and will not be free to begin an employment relationship with another Person, absent Employer’s authorized written consent. During the Notice Period, Employer shall continue to pay Employee the Base Salary Amount at the rate then in effect in accordance with Employer’s payroll policies. During the Notice Period, Employee will be eligible to participate in Employer’s benefit plans to the extent permitted by such plans and applicable law. Employee will not otherwise be eligible to receive any other compensation during the Notice Period. During the Notice Period, Employer reserves the right, in its sole discretion, to: (a) change or remove any or all of Employee’s duties;</w:t>
      </w:r>
    </w:p>
    <w:p>
      <w:pPr>
        <w:spacing w:after="0" w:line="7" w:lineRule="exact"/>
        <w:rPr>
          <w:rFonts w:ascii="Times New Roman" w:cs="Times New Roman" w:eastAsia="Times New Roman" w:hAnsi="Times New Roman"/>
          <w:sz w:val="19"/>
          <w:szCs w:val="19"/>
          <w:color w:val="auto"/>
        </w:rPr>
      </w:pPr>
    </w:p>
    <w:p>
      <w:pPr>
        <w:ind w:left="760" w:right="820" w:firstLine="2"/>
        <w:spacing w:after="0" w:line="254" w:lineRule="auto"/>
        <w:tabs>
          <w:tab w:leader="none" w:pos="10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require Employee to remain away from the Employer’s premises; and/or (c) take such other action as determined by Employer to aid and assist in the transition process associated with Employee’s departure. During the Notice Period, Employee must continue to act in a manner consistent with this Agreement and Employee’s duty of loyalty and exclusivity to Employer. Employer, in its sole discretion, may waive all or a portion of the Notice Period and/or the provisions of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xml:space="preserve"> at any time and for any reason or for no reason. For the avoidance of doubt, if Employer waives all or a portion of the Notice Period and/or the provisions of this </w:t>
      </w:r>
      <w:r>
        <w:rPr>
          <w:rFonts w:ascii="Times New Roman" w:cs="Times New Roman" w:eastAsia="Times New Roman" w:hAnsi="Times New Roman"/>
          <w:sz w:val="19"/>
          <w:szCs w:val="19"/>
          <w:u w:val="single" w:color="auto"/>
          <w:color w:val="auto"/>
        </w:rPr>
        <w:t>Section 18</w:t>
      </w:r>
      <w:r>
        <w:rPr>
          <w:rFonts w:ascii="Times New Roman" w:cs="Times New Roman" w:eastAsia="Times New Roman" w:hAnsi="Times New Roman"/>
          <w:sz w:val="19"/>
          <w:szCs w:val="19"/>
          <w:color w:val="auto"/>
        </w:rPr>
        <w:t>, Employee shall not be entitled to any Base Salary Amount or continued participation in Employer’s benefit plans (except as otherwise provided by applicable law) for the portion of the Notice Period that has been waived. To the extent Employer shortens or waives the Notice Period, Employer shall also reduce the Non-Competition Period by the same amount of time.</w:t>
      </w:r>
    </w:p>
    <w:p>
      <w:pPr>
        <w:spacing w:after="0" w:line="171" w:lineRule="exact"/>
        <w:rPr>
          <w:rFonts w:ascii="Times New Roman" w:cs="Times New Roman" w:eastAsia="Times New Roman" w:hAnsi="Times New Roman"/>
          <w:sz w:val="19"/>
          <w:szCs w:val="19"/>
          <w:color w:val="auto"/>
        </w:rPr>
      </w:pPr>
    </w:p>
    <w:p>
      <w:pPr>
        <w:jc w:val="both"/>
        <w:ind w:left="760" w:right="800" w:firstLine="579"/>
        <w:spacing w:after="0" w:line="268" w:lineRule="auto"/>
        <w:tabs>
          <w:tab w:leader="none" w:pos="191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w:t>
      </w:r>
      <w:r>
        <w:rPr>
          <w:rFonts w:ascii="Times New Roman" w:cs="Times New Roman" w:eastAsia="Times New Roman" w:hAnsi="Times New Roman"/>
          <w:sz w:val="19"/>
          <w:szCs w:val="19"/>
          <w:color w:val="auto"/>
        </w:rPr>
        <w:t>. Employer shall receive the benefit of all provisions of this Agreement on its own behalf and as trustee on behalf of all other relevant Carlyle entities and their portfolio companies.</w:t>
      </w:r>
    </w:p>
    <w:p>
      <w:pPr>
        <w:spacing w:after="0" w:line="144" w:lineRule="exact"/>
        <w:rPr>
          <w:sz w:val="20"/>
          <w:szCs w:val="20"/>
          <w:color w:val="auto"/>
        </w:rPr>
      </w:pPr>
    </w:p>
    <w:p>
      <w:pPr>
        <w:ind w:left="760" w:right="860" w:firstLine="576"/>
        <w:spacing w:after="0" w:line="262" w:lineRule="auto"/>
        <w:rPr>
          <w:sz w:val="20"/>
          <w:szCs w:val="20"/>
          <w:color w:val="auto"/>
        </w:rPr>
      </w:pPr>
      <w:r>
        <w:rPr>
          <w:rFonts w:ascii="Times New Roman" w:cs="Times New Roman" w:eastAsia="Times New Roman" w:hAnsi="Times New Roman"/>
          <w:sz w:val="19"/>
          <w:szCs w:val="19"/>
          <w:color w:val="auto"/>
        </w:rPr>
        <w:t xml:space="preserve">19. </w:t>
      </w:r>
      <w:r>
        <w:rPr>
          <w:rFonts w:ascii="Times New Roman" w:cs="Times New Roman" w:eastAsia="Times New Roman" w:hAnsi="Times New Roman"/>
          <w:sz w:val="19"/>
          <w:szCs w:val="19"/>
          <w:u w:val="single" w:color="auto"/>
          <w:color w:val="auto"/>
        </w:rPr>
        <w:t>Defend Trade Secrets Act Disclosure</w:t>
      </w:r>
      <w:r>
        <w:rPr>
          <w:rFonts w:ascii="Times New Roman" w:cs="Times New Roman" w:eastAsia="Times New Roman" w:hAnsi="Times New Roman"/>
          <w:sz w:val="19"/>
          <w:szCs w:val="19"/>
          <w:color w:val="auto"/>
        </w:rPr>
        <w:t xml:space="preserve"> . By Employee’s signature to this Agreement, Employee acknowledges that Employee has received and reviewed The Carlyle Group’s Whistleblower Policy, which is attached hereto as </w:t>
      </w:r>
      <w:r>
        <w:rPr>
          <w:rFonts w:ascii="Times New Roman" w:cs="Times New Roman" w:eastAsia="Times New Roman" w:hAnsi="Times New Roman"/>
          <w:sz w:val="19"/>
          <w:szCs w:val="19"/>
          <w:u w:val="single" w:color="auto"/>
          <w:color w:val="auto"/>
        </w:rPr>
        <w:t>Attachment 3</w:t>
      </w:r>
      <w:r>
        <w:rPr>
          <w:rFonts w:ascii="Times New Roman" w:cs="Times New Roman" w:eastAsia="Times New Roman" w:hAnsi="Times New Roman"/>
          <w:sz w:val="19"/>
          <w:szCs w:val="19"/>
          <w:color w:val="auto"/>
        </w:rPr>
        <w:t xml:space="preserve"> , and which, among other things, provides written notice to Employee of certain immunity provided by the Defend Trade Secrets Act, 18 U.S.C. § 1833(b).</w:t>
      </w:r>
    </w:p>
    <w:p>
      <w:pPr>
        <w:spacing w:after="0" w:line="152" w:lineRule="exact"/>
        <w:rPr>
          <w:sz w:val="20"/>
          <w:szCs w:val="20"/>
          <w:color w:val="auto"/>
        </w:rPr>
      </w:pPr>
    </w:p>
    <w:p>
      <w:pPr>
        <w:ind w:left="760" w:right="880" w:firstLine="579"/>
        <w:spacing w:after="0" w:line="275" w:lineRule="auto"/>
        <w:tabs>
          <w:tab w:leader="none" w:pos="191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required or permitted to be given under this Agreement must be in writing and will be deemed to have been duly given and effective to the Employer when sent by email and confirmed via telephone to the General Counsel or Chief Human Resources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1160"/>
        <w:spacing w:after="0" w:line="268" w:lineRule="auto"/>
        <w:rPr>
          <w:sz w:val="20"/>
          <w:szCs w:val="20"/>
          <w:color w:val="auto"/>
        </w:rPr>
      </w:pPr>
      <w:r>
        <w:rPr>
          <w:rFonts w:ascii="Times New Roman" w:cs="Times New Roman" w:eastAsia="Times New Roman" w:hAnsi="Times New Roman"/>
          <w:sz w:val="19"/>
          <w:szCs w:val="19"/>
          <w:color w:val="auto"/>
        </w:rPr>
        <w:t>Officer; if to Employee, when sent by email to the business or personal email address on file with the Employer and confirmed via telephone to the personal number on record with Employer.</w:t>
      </w:r>
    </w:p>
    <w:p>
      <w:pPr>
        <w:spacing w:after="0" w:line="144" w:lineRule="exact"/>
        <w:rPr>
          <w:sz w:val="20"/>
          <w:szCs w:val="20"/>
          <w:color w:val="auto"/>
        </w:rPr>
      </w:pPr>
    </w:p>
    <w:p>
      <w:pPr>
        <w:ind w:left="1920" w:hanging="581"/>
        <w:spacing w:after="0"/>
        <w:tabs>
          <w:tab w:leader="none" w:pos="19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hereunder will be subject to withholding of</w:t>
      </w:r>
    </w:p>
    <w:p>
      <w:pPr>
        <w:sectPr>
          <w:pgSz w:w="11900" w:h="16840" w:orient="portrait"/>
          <w:cols w:equalWidth="0" w:num="1">
            <w:col w:w="9020"/>
          </w:cols>
          <w:pgMar w:left="1440" w:top="1440" w:right="1440" w:bottom="100" w:gutter="0" w:footer="0" w:header="0"/>
        </w:sectPr>
      </w:pPr>
    </w:p>
    <w:bookmarkStart w:id="206" w:name="page207"/>
    <w:bookmarkEnd w:id="206"/>
    <w:p>
      <w:pPr>
        <w:ind w:left="760" w:right="1020"/>
        <w:spacing w:after="0" w:line="230" w:lineRule="auto"/>
        <w:rPr>
          <w:sz w:val="20"/>
          <w:szCs w:val="20"/>
          <w:color w:val="auto"/>
        </w:rPr>
      </w:pPr>
      <w:r>
        <w:rPr>
          <w:rFonts w:ascii="Times New Roman" w:cs="Times New Roman" w:eastAsia="Times New Roman" w:hAnsi="Times New Roman"/>
          <w:sz w:val="19"/>
          <w:szCs w:val="19"/>
          <w:color w:val="auto"/>
        </w:rPr>
        <w:t>applicable federal, state and local income and employment taxes and other deductions, in each case, as required by law or as elected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-257175</wp:posOffset>
            </wp:positionV>
            <wp:extent cx="6707505" cy="99695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149" w:lineRule="exact"/>
        <w:rPr>
          <w:sz w:val="20"/>
          <w:szCs w:val="20"/>
          <w:color w:val="auto"/>
        </w:rPr>
      </w:pPr>
    </w:p>
    <w:p>
      <w:pPr>
        <w:ind w:left="760" w:right="840" w:firstLine="579"/>
        <w:spacing w:after="0" w:line="256" w:lineRule="auto"/>
        <w:tabs>
          <w:tab w:leader="none" w:pos="191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xml:space="preserve">. Employee’s employment with Employer will be on an “at-will” basis, meaning that either Employee or Employer may terminate Employee’s employment at any time and for any reason or no reason, subject to Employer’s or Employee’s obligations pursuant to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 Further, Employee’s continued employment, as well as Employee’s participation in any benefit programs does not assure Employee of continuing employment with Employer. Employer also reserves the right to modify or amend the terms of its benefit plans at any time for any reason. This policy of at-will employment is the entire agreement as to the duration of Employee’s employment and may only be modified upon an express written approval of Carlyle.</w:t>
      </w:r>
    </w:p>
    <w:p>
      <w:pPr>
        <w:spacing w:after="0" w:line="171" w:lineRule="exact"/>
        <w:rPr>
          <w:rFonts w:ascii="Times New Roman" w:cs="Times New Roman" w:eastAsia="Times New Roman" w:hAnsi="Times New Roman"/>
          <w:sz w:val="19"/>
          <w:szCs w:val="19"/>
          <w:color w:val="auto"/>
        </w:rPr>
      </w:pPr>
    </w:p>
    <w:p>
      <w:pPr>
        <w:ind w:left="760" w:right="860" w:firstLine="579"/>
        <w:spacing w:after="0" w:line="260" w:lineRule="auto"/>
        <w:tabs>
          <w:tab w:leader="none" w:pos="191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w:t>
      </w:r>
      <w:r>
        <w:rPr>
          <w:rFonts w:ascii="Times New Roman" w:cs="Times New Roman" w:eastAsia="Times New Roman" w:hAnsi="Times New Roman"/>
          <w:sz w:val="19"/>
          <w:szCs w:val="19"/>
          <w:color w:val="auto"/>
        </w:rPr>
        <w:t>. Employer shall not, without Employee’s consent, assign any of Employer’s rights, interests, obligations or entitlements under this Agreement to any Person other than a commonly controlled affiliate of Employer in connection with an internal reorganization of Carlyle. This Agreement will be binding on all successors and assigns of Employer and Carlyle. Employee may not assign any of Employee’s rights or obligations under this Agreement.</w:t>
      </w:r>
    </w:p>
    <w:p>
      <w:pPr>
        <w:spacing w:after="0" w:line="152" w:lineRule="exact"/>
        <w:rPr>
          <w:rFonts w:ascii="Times New Roman" w:cs="Times New Roman" w:eastAsia="Times New Roman" w:hAnsi="Times New Roman"/>
          <w:sz w:val="19"/>
          <w:szCs w:val="19"/>
          <w:color w:val="auto"/>
        </w:rPr>
      </w:pPr>
    </w:p>
    <w:p>
      <w:pPr>
        <w:ind w:left="760" w:right="1340" w:firstLine="579"/>
        <w:spacing w:after="0" w:line="286" w:lineRule="auto"/>
        <w:tabs>
          <w:tab w:leader="none" w:pos="191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section headings in this Agreement are for convenience of reference only and will in no event affect the meaning or interpretation of this Agreement.</w:t>
      </w:r>
    </w:p>
    <w:p>
      <w:pPr>
        <w:spacing w:after="0" w:line="127" w:lineRule="exact"/>
        <w:rPr>
          <w:rFonts w:ascii="Times New Roman" w:cs="Times New Roman" w:eastAsia="Times New Roman" w:hAnsi="Times New Roman"/>
          <w:sz w:val="19"/>
          <w:szCs w:val="19"/>
          <w:color w:val="auto"/>
        </w:rPr>
      </w:pPr>
    </w:p>
    <w:p>
      <w:pPr>
        <w:ind w:left="760" w:right="840" w:firstLine="579"/>
        <w:spacing w:after="0" w:line="275" w:lineRule="auto"/>
        <w:tabs>
          <w:tab w:leader="none" w:pos="191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Duration of Terms</w:t>
      </w:r>
      <w:r>
        <w:rPr>
          <w:rFonts w:ascii="Times New Roman" w:cs="Times New Roman" w:eastAsia="Times New Roman" w:hAnsi="Times New Roman"/>
          <w:sz w:val="19"/>
          <w:szCs w:val="19"/>
          <w:color w:val="auto"/>
        </w:rPr>
        <w:t>. The respective rights and obligations of the parties hereunder will survive any termination of Employee’s employment and the termination of the Term to the extent necessary to give effect to such rights and obligations.</w:t>
      </w:r>
    </w:p>
    <w:p>
      <w:pPr>
        <w:spacing w:after="0" w:line="137" w:lineRule="exact"/>
        <w:rPr>
          <w:sz w:val="20"/>
          <w:szCs w:val="20"/>
          <w:color w:val="auto"/>
        </w:rPr>
      </w:pPr>
    </w:p>
    <w:p>
      <w:pPr>
        <w:ind w:left="760" w:right="920" w:firstLine="576"/>
        <w:spacing w:after="0" w:line="260" w:lineRule="auto"/>
        <w:rPr>
          <w:sz w:val="20"/>
          <w:szCs w:val="20"/>
          <w:color w:val="auto"/>
        </w:rPr>
      </w:pPr>
      <w:r>
        <w:rPr>
          <w:rFonts w:ascii="Times New Roman" w:cs="Times New Roman" w:eastAsia="Times New Roman" w:hAnsi="Times New Roman"/>
          <w:sz w:val="19"/>
          <w:szCs w:val="19"/>
          <w:color w:val="auto"/>
        </w:rPr>
        <w:t xml:space="preserve">26.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xml:space="preserve"> . This Agreement and the documents and Attachments referenced herein: (a) constitute the entire agreement among Employer and Employee with respect to the subject matter hereof; (b) supersede any prior agreement or understanding among or between them with respect to such subject matter, except any prior confidentiality agreement or assignment of rights agreement Employee signed for the benefit of Employer or its affiliates; and (c) may not be amended except in a writing signed by both Employer and Employee.</w:t>
      </w:r>
    </w:p>
    <w:p>
      <w:pPr>
        <w:spacing w:after="0" w:line="152" w:lineRule="exact"/>
        <w:rPr>
          <w:sz w:val="20"/>
          <w:szCs w:val="20"/>
          <w:color w:val="auto"/>
        </w:rPr>
      </w:pPr>
    </w:p>
    <w:p>
      <w:pPr>
        <w:ind w:left="760" w:right="840" w:firstLine="579"/>
        <w:spacing w:after="0" w:line="258" w:lineRule="auto"/>
        <w:tabs>
          <w:tab w:leader="none" w:pos="191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intent of the parties is that the payments and benefits that are eligible to be received under this Agreement shall comply with or be exempt from the applicable requirements of Section 409A, and, accordingly, to the maximum extent permitted, this Agreement will be administered and interpreted in accordance with such intent. Each payment made under this Agreement shall be designated as a “separate payment” within the meaning of Section 409A. Except as permitted by Section 409A, (a) Employee’s right to reimbursement or in-kind benefits shall not be subject to liquidation or exchange for another benefit, (b)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780"/>
        <w:spacing w:after="0" w:line="254" w:lineRule="auto"/>
        <w:rPr>
          <w:sz w:val="20"/>
          <w:szCs w:val="20"/>
          <w:color w:val="auto"/>
        </w:rPr>
      </w:pPr>
      <w:r>
        <w:rPr>
          <w:rFonts w:ascii="Times New Roman" w:cs="Times New Roman" w:eastAsia="Times New Roman" w:hAnsi="Times New Roman"/>
          <w:sz w:val="19"/>
          <w:szCs w:val="19"/>
          <w:color w:val="auto"/>
        </w:rPr>
        <w:t>amount of Employee’s expenses eligible for reimbursement, or in-kind benefits provided, during any taxable year shall not affect the expenses eligible for reimbursement, or in-kind benefits to be provided, in any other taxable year and (c) in no event shall any expenses be reimbursed after the last day of the calendar year following the year in which Employee incurred such expenses. In no event whatsoever shall Carlyle be liable for any tax, interest or penalties that may be imposed on Employee by Section 409A. Notwithstanding any provisions of this Agreement to the contrary, if Employee is a “specified employee” (within the meaning of Section 409A and determined pursuant to any policies adopted by Carlyle consistent with Section 409A) at the time of Employee’s separation from service, and if any portion of the payments or benefits to be received by Employee upon separation from service would be considered deferred compensation under Section 409A and cannot be paid or provided to Employee without Employee incurring taxes, interest or penalties under Section 409A, amounts that would otherwise be payable pursuant to this Agreement and benefits that would otherwise be provided pursuant to this Agreement, in each case, during the six-month period immediately following Employee’s separation from service will instead be paid or made available on the earlier of (a) the first Business Day of the seventh month following the date of Employee’s separation from service or</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(b) Employee’s death.</w:t>
      </w:r>
    </w:p>
    <w:p>
      <w:pPr>
        <w:sectPr>
          <w:pgSz w:w="11900" w:h="16840" w:orient="portrait"/>
          <w:cols w:equalWidth="0" w:num="1">
            <w:col w:w="9020"/>
          </w:cols>
          <w:pgMar w:left="1440" w:top="556" w:right="1440" w:bottom="174" w:gutter="0" w:footer="0" w:header="0"/>
        </w:sectPr>
      </w:pPr>
    </w:p>
    <w:bookmarkStart w:id="207" w:name="page208"/>
    <w:bookmarkEnd w:id="207"/>
    <w:p>
      <w:pPr>
        <w:jc w:val="center"/>
        <w:ind w:right="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60" w:right="820" w:firstLine="576"/>
        <w:spacing w:after="0" w:line="286" w:lineRule="auto"/>
        <w:rPr>
          <w:sz w:val="20"/>
          <w:szCs w:val="20"/>
          <w:color w:val="auto"/>
        </w:rPr>
      </w:pPr>
      <w:r>
        <w:rPr>
          <w:rFonts w:ascii="Times New Roman" w:cs="Times New Roman" w:eastAsia="Times New Roman" w:hAnsi="Times New Roman"/>
          <w:sz w:val="19"/>
          <w:szCs w:val="19"/>
          <w:color w:val="auto"/>
        </w:rPr>
        <w:t>IN WITNESS WHEREOF, the undersigned Employer and Employee each have executed this Agreement as of the Effective Date.</w:t>
      </w:r>
    </w:p>
    <w:p>
      <w:pPr>
        <w:spacing w:after="0" w:line="200" w:lineRule="exact"/>
        <w:rPr>
          <w:sz w:val="20"/>
          <w:szCs w:val="20"/>
          <w:color w:val="auto"/>
        </w:rPr>
      </w:pPr>
    </w:p>
    <w:p>
      <w:pPr>
        <w:spacing w:after="0" w:line="214" w:lineRule="exact"/>
        <w:rPr>
          <w:sz w:val="20"/>
          <w:szCs w:val="20"/>
          <w:color w:val="auto"/>
        </w:rPr>
      </w:pPr>
    </w:p>
    <w:tbl>
      <w:tblPr>
        <w:tblLayout w:type="fixed"/>
        <w:tblInd w:w="800" w:type="dxa"/>
        <w:tblCellMar>
          <w:top w:w="0" w:type="dxa"/>
          <w:left w:w="0" w:type="dxa"/>
          <w:bottom w:w="0" w:type="dxa"/>
          <w:right w:w="0" w:type="dxa"/>
        </w:tblCellMar>
      </w:tblPr>
      <w:tr>
        <w:trPr>
          <w:trHeight w:val="218"/>
        </w:trPr>
        <w:tc>
          <w:tcPr>
            <w:tcW w:w="3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w:t>
            </w:r>
          </w:p>
        </w:tc>
        <w:tc>
          <w:tcPr>
            <w:tcW w:w="4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THE CARLYLE GROUP EMPLOYEE CO., L.L.C</w:t>
            </w:r>
          </w:p>
        </w:tc>
        <w:tc>
          <w:tcPr>
            <w:tcW w:w="0" w:type="dxa"/>
            <w:vAlign w:val="bottom"/>
          </w:tcPr>
          <w:p>
            <w:pPr>
              <w:spacing w:after="0"/>
              <w:rPr>
                <w:sz w:val="1"/>
                <w:szCs w:val="1"/>
                <w:color w:val="auto"/>
              </w:rPr>
            </w:pPr>
          </w:p>
        </w:tc>
      </w:tr>
      <w:tr>
        <w:trPr>
          <w:trHeight w:val="251"/>
        </w:trPr>
        <w:tc>
          <w:tcPr>
            <w:tcW w:w="3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220" w:type="dxa"/>
            <w:vAlign w:val="bottom"/>
          </w:tcPr>
          <w:p>
            <w:pPr>
              <w:spacing w:after="0"/>
              <w:rPr>
                <w:sz w:val="23"/>
                <w:szCs w:val="23"/>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By: /s/ Bruce Larson</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20" w:type="dxa"/>
            <w:vAlign w:val="bottom"/>
          </w:tcPr>
          <w:p>
            <w:pPr>
              <w:spacing w:after="0"/>
              <w:rPr>
                <w:sz w:val="24"/>
                <w:szCs w:val="24"/>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Name: Bruce M. Larson</w:t>
            </w:r>
          </w:p>
        </w:tc>
        <w:tc>
          <w:tcPr>
            <w:tcW w:w="0" w:type="dxa"/>
            <w:vAlign w:val="bottom"/>
          </w:tcPr>
          <w:p>
            <w:pPr>
              <w:spacing w:after="0"/>
              <w:rPr>
                <w:sz w:val="1"/>
                <w:szCs w:val="1"/>
                <w:color w:val="auto"/>
              </w:rPr>
            </w:pPr>
          </w:p>
        </w:tc>
      </w:tr>
      <w:tr>
        <w:trPr>
          <w:trHeight w:val="252"/>
        </w:trPr>
        <w:tc>
          <w:tcPr>
            <w:tcW w:w="3220" w:type="dxa"/>
            <w:vAlign w:val="bottom"/>
          </w:tcPr>
          <w:p>
            <w:pPr>
              <w:spacing w:after="0"/>
              <w:rPr>
                <w:sz w:val="21"/>
                <w:szCs w:val="21"/>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Title: Chief Human Resources Officer</w:t>
            </w:r>
          </w:p>
        </w:tc>
        <w:tc>
          <w:tcPr>
            <w:tcW w:w="0" w:type="dxa"/>
            <w:vAlign w:val="bottom"/>
          </w:tcPr>
          <w:p>
            <w:pPr>
              <w:spacing w:after="0"/>
              <w:rPr>
                <w:sz w:val="1"/>
                <w:szCs w:val="1"/>
                <w:color w:val="auto"/>
              </w:rPr>
            </w:pPr>
          </w:p>
        </w:tc>
      </w:tr>
      <w:tr>
        <w:trPr>
          <w:trHeight w:val="450"/>
        </w:trPr>
        <w:tc>
          <w:tcPr>
            <w:tcW w:w="3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EMPLOYE  </w:t>
            </w:r>
            <w:r>
              <w:rPr>
                <w:rFonts w:ascii="Times New Roman" w:cs="Times New Roman" w:eastAsia="Times New Roman" w:hAnsi="Times New Roman"/>
                <w:sz w:val="19"/>
                <w:szCs w:val="19"/>
                <w:color w:val="auto"/>
              </w:rPr>
              <w:t>:</w:t>
            </w:r>
          </w:p>
        </w:tc>
        <w:tc>
          <w:tcPr>
            <w:tcW w:w="40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/s/ Lindsay LoBue</w:t>
            </w: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w:t>
            </w:r>
          </w:p>
        </w:tc>
        <w:tc>
          <w:tcPr>
            <w:tcW w:w="14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9"/>
                <w:szCs w:val="19"/>
                <w:color w:val="auto"/>
              </w:rPr>
              <w:t>Lindsay LoBue</w:t>
            </w:r>
          </w:p>
        </w:tc>
        <w:tc>
          <w:tcPr>
            <w:tcW w:w="2580" w:type="dxa"/>
            <w:vAlign w:val="bottom"/>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32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999" w:right="1440"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40" w:orient="portrait"/>
          <w:cols w:equalWidth="0" w:num="1">
            <w:col w:w="9020"/>
          </w:cols>
          <w:pgMar w:left="1440" w:top="1440" w:right="1440" w:bottom="3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ATTACHMENT 1</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APPENDIX OF KEY TERMS</w:t>
      </w:r>
    </w:p>
    <w:p>
      <w:pPr>
        <w:spacing w:after="0" w:line="204" w:lineRule="exact"/>
        <w:rPr>
          <w:sz w:val="20"/>
          <w:szCs w:val="20"/>
          <w:color w:val="auto"/>
        </w:rPr>
      </w:pPr>
    </w:p>
    <w:p>
      <w:pPr>
        <w:ind w:left="760" w:right="1120" w:firstLine="576"/>
        <w:spacing w:after="0" w:line="266" w:lineRule="auto"/>
        <w:rPr>
          <w:sz w:val="20"/>
          <w:szCs w:val="20"/>
          <w:color w:val="auto"/>
        </w:rPr>
      </w:pPr>
      <w:r>
        <w:rPr>
          <w:rFonts w:ascii="Times New Roman" w:cs="Times New Roman" w:eastAsia="Times New Roman" w:hAnsi="Times New Roman"/>
          <w:sz w:val="19"/>
          <w:szCs w:val="19"/>
          <w:color w:val="auto"/>
        </w:rPr>
        <w:t>This Appendix of Key Terms is considered a part of the employment agreement (the “</w:t>
      </w:r>
      <w:r>
        <w:rPr>
          <w:rFonts w:ascii="Times New Roman" w:cs="Times New Roman" w:eastAsia="Times New Roman" w:hAnsi="Times New Roman"/>
          <w:sz w:val="19"/>
          <w:szCs w:val="19"/>
          <w:i w:val="1"/>
          <w:iCs w:val="1"/>
          <w:color w:val="auto"/>
        </w:rPr>
        <w:t>Employment Agreement</w:t>
      </w:r>
      <w:r>
        <w:rPr>
          <w:rFonts w:ascii="Times New Roman" w:cs="Times New Roman" w:eastAsia="Times New Roman" w:hAnsi="Times New Roman"/>
          <w:sz w:val="19"/>
          <w:szCs w:val="19"/>
          <w:color w:val="auto"/>
        </w:rPr>
        <w:t xml:space="preserve"> ”) to which it is attached for all purposes and is incorporated by reference into the Employment Agreement. For purposes of the Employment Agreement, the following terms shall have the meanings ascribed to them below:</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1.</w:t>
            </w: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Agreement</w:t>
            </w:r>
            <w:r>
              <w:rPr>
                <w:rFonts w:ascii="Times New Roman" w:cs="Times New Roman" w:eastAsia="Times New Roman" w:hAnsi="Times New Roman"/>
                <w:sz w:val="19"/>
                <w:szCs w:val="19"/>
                <w:color w:val="auto"/>
              </w:rPr>
              <w:t>” means the Employment Agreement between Employer and Employee that</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is effective as of the Effective Date.</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366"/>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2.</w:t>
            </w:r>
          </w:p>
        </w:tc>
        <w:tc>
          <w:tcPr>
            <w:tcW w:w="408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Arbitration Location</w:t>
            </w:r>
            <w:r>
              <w:rPr>
                <w:rFonts w:ascii="Times New Roman" w:cs="Times New Roman" w:eastAsia="Times New Roman" w:hAnsi="Times New Roman"/>
                <w:sz w:val="19"/>
                <w:szCs w:val="19"/>
                <w:color w:val="auto"/>
              </w:rPr>
              <w:t>” means New York</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1"/>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Times New Roman" w:cs="Times New Roman" w:eastAsia="Times New Roman" w:hAnsi="Times New Roman"/>
                <w:sz w:val="19"/>
                <w:szCs w:val="19"/>
                <w:color w:val="auto"/>
                <w:w w:val="83"/>
              </w:rPr>
              <w:t>.</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58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3.</w:t>
            </w:r>
          </w:p>
        </w:tc>
        <w:tc>
          <w:tcPr>
            <w:tcW w:w="4080" w:type="dxa"/>
            <w:vAlign w:val="bottom"/>
            <w:gridSpan w:val="13"/>
          </w:tcPr>
          <w:p>
            <w:pPr>
              <w:spacing w:after="0" w:line="20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Arbitration Notice</w:t>
            </w:r>
            <w:r>
              <w:rPr>
                <w:rFonts w:ascii="Times New Roman" w:cs="Times New Roman" w:eastAsia="Times New Roman" w:hAnsi="Times New Roman"/>
                <w:sz w:val="19"/>
                <w:szCs w:val="19"/>
                <w:color w:val="auto"/>
              </w:rPr>
              <w:t xml:space="preserve"> ” has the meaning given to it in</w:t>
            </w:r>
          </w:p>
        </w:tc>
        <w:tc>
          <w:tcPr>
            <w:tcW w:w="2820" w:type="dxa"/>
            <w:vAlign w:val="bottom"/>
            <w:gridSpan w:val="7"/>
          </w:tcPr>
          <w:p>
            <w:pPr>
              <w:jc w:val="right"/>
              <w:ind w:right="100"/>
              <w:spacing w:after="0" w:line="207" w:lineRule="exact"/>
              <w:rPr>
                <w:sz w:val="20"/>
                <w:szCs w:val="20"/>
                <w:color w:val="auto"/>
              </w:rPr>
            </w:pPr>
            <w:r>
              <w:rPr>
                <w:rFonts w:ascii="Times New Roman" w:cs="Times New Roman" w:eastAsia="Times New Roman" w:hAnsi="Times New Roman"/>
                <w:sz w:val="19"/>
                <w:szCs w:val="19"/>
                <w:color w:val="auto"/>
              </w:rPr>
              <w:t>Section 16.a. of the Employment</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6"/>
        </w:trPr>
        <w:tc>
          <w:tcPr>
            <w:tcW w:w="580" w:type="dxa"/>
            <w:vAlign w:val="bottom"/>
          </w:tcPr>
          <w:p>
            <w:pPr>
              <w:spacing w:after="0"/>
              <w:rPr>
                <w:sz w:val="23"/>
                <w:szCs w:val="23"/>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Agreement.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374"/>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4.</w:t>
            </w:r>
          </w:p>
        </w:tc>
        <w:tc>
          <w:tcPr>
            <w:tcW w:w="524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Base Salary Amount</w:t>
            </w:r>
            <w:r>
              <w:rPr>
                <w:rFonts w:ascii="Times New Roman" w:cs="Times New Roman" w:eastAsia="Times New Roman" w:hAnsi="Times New Roman"/>
                <w:sz w:val="19"/>
                <w:szCs w:val="19"/>
                <w:color w:val="auto"/>
              </w:rPr>
              <w:t>” means $500,000 per annum in Currency.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0"/>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5.</w:t>
            </w: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Business Day</w:t>
            </w:r>
            <w:r>
              <w:rPr>
                <w:rFonts w:ascii="Times New Roman" w:cs="Times New Roman" w:eastAsia="Times New Roman" w:hAnsi="Times New Roman"/>
                <w:sz w:val="19"/>
                <w:szCs w:val="19"/>
                <w:color w:val="auto"/>
              </w:rPr>
              <w:t>” means each day that is not a Saturday, Sunday or other day on which</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banking institutions in New York, New York are authorized or required by law to close.</w:t>
            </w:r>
          </w:p>
        </w:tc>
      </w:tr>
      <w:tr>
        <w:trPr>
          <w:trHeight w:val="374"/>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6.</w:t>
            </w: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Carlyle</w:t>
            </w:r>
            <w:r>
              <w:rPr>
                <w:rFonts w:ascii="Times New Roman" w:cs="Times New Roman" w:eastAsia="Times New Roman" w:hAnsi="Times New Roman"/>
                <w:sz w:val="19"/>
                <w:szCs w:val="19"/>
                <w:color w:val="auto"/>
              </w:rPr>
              <w:t>” means Carlyle Investment Management, L.L.C. and its affiliates collectively</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operating under the trade name “The Carlyle Group,” which, for the avoidance of doubt,</w:t>
            </w:r>
          </w:p>
        </w:tc>
      </w:tr>
      <w:tr>
        <w:trPr>
          <w:trHeight w:val="251"/>
        </w:trPr>
        <w:tc>
          <w:tcPr>
            <w:tcW w:w="580" w:type="dxa"/>
            <w:vAlign w:val="bottom"/>
          </w:tcPr>
          <w:p>
            <w:pPr>
              <w:spacing w:after="0"/>
              <w:rPr>
                <w:sz w:val="21"/>
                <w:szCs w:val="21"/>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includes Employer and its affiliates.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374"/>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7.</w:t>
            </w: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Caus</w:t>
            </w:r>
            <w:r>
              <w:rPr>
                <w:rFonts w:ascii="Times New Roman" w:cs="Times New Roman" w:eastAsia="Times New Roman" w:hAnsi="Times New Roman"/>
                <w:sz w:val="19"/>
                <w:szCs w:val="19"/>
                <w:color w:val="auto"/>
              </w:rPr>
              <w:t xml:space="preserve"> ” has the meaning given to it in Section 6.b.ii. of the Employment Agreement.</w:t>
            </w:r>
          </w:p>
        </w:tc>
      </w:tr>
      <w:tr>
        <w:trPr>
          <w:trHeight w:val="112"/>
        </w:trPr>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spacing w:after="0" w:line="112" w:lineRule="exact"/>
              <w:rPr>
                <w:sz w:val="20"/>
                <w:szCs w:val="20"/>
                <w:color w:val="auto"/>
              </w:rPr>
            </w:pPr>
            <w:r>
              <w:rPr>
                <w:rFonts w:ascii="Times New Roman" w:cs="Times New Roman" w:eastAsia="Times New Roman" w:hAnsi="Times New Roman"/>
                <w:sz w:val="12"/>
                <w:szCs w:val="12"/>
                <w:i w:val="1"/>
                <w:iCs w:val="1"/>
                <w:color w:val="auto"/>
              </w:rPr>
              <w:t>e</w:t>
            </w:r>
          </w:p>
        </w:tc>
        <w:tc>
          <w:tcPr>
            <w:tcW w:w="1120" w:type="dxa"/>
            <w:vAlign w:val="bottom"/>
            <w:gridSpan w:val="6"/>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8"/>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8.</w:t>
            </w:r>
          </w:p>
        </w:tc>
        <w:tc>
          <w:tcPr>
            <w:tcW w:w="4080" w:type="dxa"/>
            <w:vAlign w:val="bottom"/>
            <w:gridSpan w:val="13"/>
          </w:tcPr>
          <w:p>
            <w:pPr>
              <w:ind w:left="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Commencement Date</w:t>
            </w:r>
            <w:r>
              <w:rPr>
                <w:rFonts w:ascii="Times New Roman" w:cs="Times New Roman" w:eastAsia="Times New Roman" w:hAnsi="Times New Roman"/>
                <w:sz w:val="19"/>
                <w:szCs w:val="19"/>
                <w:color w:val="auto"/>
              </w:rPr>
              <w:t>” means October 16, 2023.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1620" w:type="dxa"/>
            <w:vAlign w:val="bottom"/>
            <w:gridSpan w:val="7"/>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0"/>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9.</w:t>
            </w:r>
          </w:p>
        </w:tc>
        <w:tc>
          <w:tcPr>
            <w:tcW w:w="5240" w:type="dxa"/>
            <w:vAlign w:val="bottom"/>
            <w:gridSpan w:val="16"/>
          </w:tcPr>
          <w:p>
            <w:pPr>
              <w:spacing w:after="0"/>
              <w:rPr>
                <w:sz w:val="20"/>
                <w:szCs w:val="20"/>
                <w:color w:val="auto"/>
              </w:rPr>
            </w:pPr>
            <w:r>
              <w:rPr>
                <w:rFonts w:ascii="Times New Roman" w:cs="Times New Roman" w:eastAsia="Times New Roman" w:hAnsi="Times New Roman"/>
                <w:sz w:val="19"/>
                <w:szCs w:val="19"/>
                <w:i w:val="1"/>
                <w:iCs w:val="1"/>
                <w:color w:val="auto"/>
              </w:rPr>
              <w:t xml:space="preserve">“Competing Investment Business </w:t>
            </w:r>
            <w:r>
              <w:rPr>
                <w:rFonts w:ascii="Times New Roman" w:cs="Times New Roman" w:eastAsia="Times New Roman" w:hAnsi="Times New Roman"/>
                <w:sz w:val="19"/>
                <w:szCs w:val="19"/>
                <w:color w:val="auto"/>
              </w:rPr>
              <w:t>” has the meaning given to it in</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Section 11 of the</w:t>
            </w:r>
          </w:p>
        </w:tc>
      </w:tr>
      <w:tr>
        <w:trPr>
          <w:trHeight w:val="266"/>
        </w:trPr>
        <w:tc>
          <w:tcPr>
            <w:tcW w:w="580" w:type="dxa"/>
            <w:vAlign w:val="bottom"/>
          </w:tcPr>
          <w:p>
            <w:pPr>
              <w:spacing w:after="0"/>
              <w:rPr>
                <w:sz w:val="23"/>
                <w:szCs w:val="23"/>
                <w:color w:val="auto"/>
              </w:rPr>
            </w:pPr>
          </w:p>
        </w:tc>
        <w:tc>
          <w:tcPr>
            <w:tcW w:w="25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9"/>
                <w:szCs w:val="19"/>
                <w:color w:val="auto"/>
              </w:rPr>
              <w:t>Employment Agreement.</w:t>
            </w:r>
          </w:p>
        </w:tc>
        <w:tc>
          <w:tcPr>
            <w:tcW w:w="154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20" w:type="dxa"/>
            <w:vAlign w:val="bottom"/>
          </w:tcPr>
          <w:p>
            <w:pPr>
              <w:spacing w:after="0"/>
              <w:rPr>
                <w:sz w:val="23"/>
                <w:szCs w:val="23"/>
                <w:color w:val="auto"/>
              </w:rPr>
            </w:pPr>
          </w:p>
        </w:tc>
      </w:tr>
      <w:tr>
        <w:trPr>
          <w:trHeight w:val="374"/>
        </w:trPr>
        <w:tc>
          <w:tcPr>
            <w:tcW w:w="580" w:type="dxa"/>
            <w:vAlign w:val="bottom"/>
          </w:tcPr>
          <w:p>
            <w:pPr>
              <w:spacing w:after="0"/>
              <w:rPr>
                <w:sz w:val="20"/>
                <w:szCs w:val="20"/>
                <w:color w:val="auto"/>
              </w:rPr>
            </w:pPr>
            <w:r>
              <w:rPr>
                <w:rFonts w:ascii="Times New Roman" w:cs="Times New Roman" w:eastAsia="Times New Roman" w:hAnsi="Times New Roman"/>
                <w:sz w:val="19"/>
                <w:szCs w:val="19"/>
                <w:color w:val="auto"/>
              </w:rPr>
              <w:t>10.</w:t>
            </w:r>
          </w:p>
        </w:tc>
        <w:tc>
          <w:tcPr>
            <w:tcW w:w="690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Confidential Information</w:t>
            </w:r>
            <w:r>
              <w:rPr>
                <w:rFonts w:ascii="Times New Roman" w:cs="Times New Roman" w:eastAsia="Times New Roman" w:hAnsi="Times New Roman"/>
                <w:sz w:val="19"/>
                <w:szCs w:val="19"/>
                <w:color w:val="auto"/>
              </w:rPr>
              <w:t>” has the meaning given to it in Section 8.b. of the Employment</w:t>
            </w:r>
          </w:p>
        </w:tc>
      </w:tr>
      <w:tr>
        <w:trPr>
          <w:trHeight w:val="20"/>
        </w:trPr>
        <w:tc>
          <w:tcPr>
            <w:tcW w:w="58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1840" w:type="dxa"/>
            <w:vAlign w:val="bottom"/>
            <w:gridSpan w:val="8"/>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4"/>
        </w:trPr>
        <w:tc>
          <w:tcPr>
            <w:tcW w:w="580" w:type="dxa"/>
            <w:vAlign w:val="bottom"/>
          </w:tcPr>
          <w:p>
            <w:pPr>
              <w:spacing w:after="0"/>
              <w:rPr>
                <w:sz w:val="22"/>
                <w:szCs w:val="22"/>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Agreement.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105"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Currency</w:t>
      </w:r>
      <w:r>
        <w:rPr>
          <w:rFonts w:ascii="Times New Roman" w:cs="Times New Roman" w:eastAsia="Times New Roman" w:hAnsi="Times New Roman"/>
          <w:sz w:val="19"/>
          <w:szCs w:val="19"/>
          <w:color w:val="auto"/>
        </w:rPr>
        <w:t>” means USD</w:t>
      </w:r>
    </w:p>
    <w:p>
      <w:pPr>
        <w:ind w:left="2140"/>
        <w:spacing w:after="0"/>
        <w:rPr>
          <w:sz w:val="20"/>
          <w:szCs w:val="20"/>
          <w:color w:val="auto"/>
        </w:rPr>
      </w:pPr>
      <w:r>
        <w:rPr>
          <w:rFonts w:ascii="Times New Roman" w:cs="Times New Roman" w:eastAsia="Times New Roman" w:hAnsi="Times New Roman"/>
          <w:sz w:val="19"/>
          <w:szCs w:val="19"/>
          <w:color w:val="auto"/>
        </w:rPr>
        <w:t>.</w:t>
      </w:r>
    </w:p>
    <w:p>
      <w:pPr>
        <w:spacing w:after="0" w:line="46" w:lineRule="exact"/>
        <w:rPr>
          <w:sz w:val="20"/>
          <w:szCs w:val="20"/>
          <w:color w:val="auto"/>
        </w:rPr>
      </w:pPr>
    </w:p>
    <w:p>
      <w:pPr>
        <w:ind w:left="1340" w:hanging="578"/>
        <w:spacing w:after="0"/>
        <w:tabs>
          <w:tab w:leader="none" w:pos="13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Effective Date</w:t>
      </w:r>
      <w:r>
        <w:rPr>
          <w:rFonts w:ascii="Times New Roman" w:cs="Times New Roman" w:eastAsia="Times New Roman" w:hAnsi="Times New Roman"/>
          <w:sz w:val="19"/>
          <w:szCs w:val="19"/>
          <w:color w:val="auto"/>
        </w:rPr>
        <w:t>” means September 28, 2023.</w:t>
      </w:r>
    </w:p>
    <w:p>
      <w:pPr>
        <w:spacing w:after="0" w:line="213" w:lineRule="exact"/>
        <w:rPr>
          <w:rFonts w:ascii="Times New Roman" w:cs="Times New Roman" w:eastAsia="Times New Roman" w:hAnsi="Times New Roman"/>
          <w:sz w:val="19"/>
          <w:szCs w:val="19"/>
          <w:color w:val="auto"/>
        </w:rPr>
      </w:pPr>
    </w:p>
    <w:p>
      <w:pPr>
        <w:ind w:left="1340" w:hanging="578"/>
        <w:spacing w:after="0"/>
        <w:tabs>
          <w:tab w:leader="none" w:pos="13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Employee</w:t>
      </w:r>
      <w:r>
        <w:rPr>
          <w:rFonts w:ascii="Times New Roman" w:cs="Times New Roman" w:eastAsia="Times New Roman" w:hAnsi="Times New Roman"/>
          <w:sz w:val="19"/>
          <w:szCs w:val="19"/>
          <w:color w:val="auto"/>
        </w:rPr>
        <w:t>” means Lindsay LoBue.</w:t>
      </w:r>
    </w:p>
    <w:p>
      <w:pPr>
        <w:spacing w:after="0" w:line="201" w:lineRule="exact"/>
        <w:rPr>
          <w:rFonts w:ascii="Times New Roman" w:cs="Times New Roman" w:eastAsia="Times New Roman" w:hAnsi="Times New Roman"/>
          <w:sz w:val="19"/>
          <w:szCs w:val="19"/>
          <w:color w:val="auto"/>
        </w:rPr>
      </w:pPr>
    </w:p>
    <w:p>
      <w:pPr>
        <w:ind w:left="1340" w:right="780" w:hanging="578"/>
        <w:spacing w:after="0" w:line="288" w:lineRule="auto"/>
        <w:tabs>
          <w:tab w:leader="none" w:pos="134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Employer</w:t>
      </w:r>
      <w:r>
        <w:rPr>
          <w:rFonts w:ascii="Times New Roman" w:cs="Times New Roman" w:eastAsia="Times New Roman" w:hAnsi="Times New Roman"/>
          <w:sz w:val="19"/>
          <w:szCs w:val="19"/>
          <w:color w:val="auto"/>
        </w:rPr>
        <w:t>” means The Carlyle Group Employee Co., L.L.C., a Delaware limited liability company.</w:t>
      </w:r>
    </w:p>
    <w:p>
      <w:pPr>
        <w:sectPr>
          <w:pgSz w:w="11900" w:h="16840" w:orient="portrait"/>
          <w:cols w:equalWidth="0" w:num="1">
            <w:col w:w="9020"/>
          </w:cols>
          <w:pgMar w:left="1440" w:top="1440" w:right="1440" w:bottom="324" w:gutter="0" w:footer="0" w:header="0"/>
          <w:type w:val="continuous"/>
        </w:sectPr>
      </w:pPr>
    </w:p>
    <w:bookmarkStart w:id="209" w:name="page210"/>
    <w:bookmarkEnd w:id="209"/>
    <w:tbl>
      <w:tblPr>
        <w:tblLayout w:type="fixed"/>
        <w:tblInd w:w="760" w:type="dxa"/>
        <w:tblCellMar>
          <w:top w:w="0" w:type="dxa"/>
          <w:left w:w="0" w:type="dxa"/>
          <w:bottom w:w="0" w:type="dxa"/>
          <w:right w:w="0" w:type="dxa"/>
        </w:tblCellMar>
      </w:tblPr>
      <w:tr>
        <w:trPr>
          <w:trHeight w:val="222"/>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15.</w:t>
            </w:r>
          </w:p>
        </w:tc>
        <w:tc>
          <w:tcPr>
            <w:tcW w:w="42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Good Reason</w:t>
            </w:r>
            <w:r>
              <w:rPr>
                <w:rFonts w:ascii="Times New Roman" w:cs="Times New Roman" w:eastAsia="Times New Roman" w:hAnsi="Times New Roman"/>
                <w:sz w:val="19"/>
                <w:szCs w:val="19"/>
                <w:color w:val="auto"/>
              </w:rPr>
              <w:t xml:space="preserve"> ” has the meaning given to it in</w:t>
            </w:r>
          </w:p>
        </w:tc>
        <w:tc>
          <w:tcPr>
            <w:tcW w:w="26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Section 6.c.i. of the Employment</w:t>
            </w:r>
          </w:p>
        </w:tc>
      </w:tr>
      <w:tr>
        <w:trPr>
          <w:trHeight w:val="227"/>
        </w:trPr>
        <w:tc>
          <w:tcPr>
            <w:tcW w:w="4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Agreement.</w:t>
            </w:r>
          </w:p>
        </w:tc>
        <w:tc>
          <w:tcPr>
            <w:tcW w:w="1000" w:type="dxa"/>
            <w:vAlign w:val="bottom"/>
            <w:tcBorders>
              <w:top w:val="single" w:sz="8" w:color="auto"/>
            </w:tcBorders>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-273050</wp:posOffset>
            </wp:positionV>
            <wp:extent cx="6707505" cy="91922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6707505" cy="91922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40" w:hanging="578"/>
        <w:spacing w:after="0"/>
        <w:tabs>
          <w:tab w:leader="none" w:pos="1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Governing Jurisdiction</w:t>
      </w:r>
      <w:r>
        <w:rPr>
          <w:rFonts w:ascii="Times New Roman" w:cs="Times New Roman" w:eastAsia="Times New Roman" w:hAnsi="Times New Roman"/>
          <w:sz w:val="19"/>
          <w:szCs w:val="19"/>
          <w:color w:val="auto"/>
        </w:rPr>
        <w:t>” means the State of New York.</w:t>
      </w:r>
    </w:p>
    <w:p>
      <w:pPr>
        <w:spacing w:after="0" w:line="201" w:lineRule="exact"/>
        <w:rPr>
          <w:rFonts w:ascii="Times New Roman" w:cs="Times New Roman" w:eastAsia="Times New Roman" w:hAnsi="Times New Roman"/>
          <w:sz w:val="19"/>
          <w:szCs w:val="19"/>
          <w:color w:val="auto"/>
        </w:rPr>
      </w:pPr>
    </w:p>
    <w:p>
      <w:pPr>
        <w:ind w:left="1340" w:hanging="578"/>
        <w:spacing w:after="0"/>
        <w:tabs>
          <w:tab w:leader="none" w:pos="1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Make-Whole Bonus Amount</w:t>
      </w:r>
      <w:r>
        <w:rPr>
          <w:rFonts w:ascii="Times New Roman" w:cs="Times New Roman" w:eastAsia="Times New Roman" w:hAnsi="Times New Roman"/>
          <w:sz w:val="19"/>
          <w:szCs w:val="19"/>
          <w:color w:val="auto"/>
        </w:rPr>
        <w:t>” means $61,000 in Currency.</w:t>
      </w:r>
    </w:p>
    <w:p>
      <w:pPr>
        <w:spacing w:after="0" w:line="201" w:lineRule="exact"/>
        <w:rPr>
          <w:rFonts w:ascii="Times New Roman" w:cs="Times New Roman" w:eastAsia="Times New Roman" w:hAnsi="Times New Roman"/>
          <w:sz w:val="19"/>
          <w:szCs w:val="19"/>
          <w:color w:val="auto"/>
        </w:rPr>
      </w:pPr>
    </w:p>
    <w:p>
      <w:pPr>
        <w:ind w:left="1340" w:right="800" w:hanging="578"/>
        <w:spacing w:after="0" w:line="288" w:lineRule="auto"/>
        <w:tabs>
          <w:tab w:leader="none" w:pos="13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Non-Competition Period</w:t>
      </w:r>
      <w:r>
        <w:rPr>
          <w:rFonts w:ascii="Times New Roman" w:cs="Times New Roman" w:eastAsia="Times New Roman" w:hAnsi="Times New Roman"/>
          <w:sz w:val="19"/>
          <w:szCs w:val="19"/>
          <w:color w:val="auto"/>
        </w:rPr>
        <w:t xml:space="preserve">” has the meaning given to it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Employment Agreement.</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19.</w:t>
            </w:r>
          </w:p>
        </w:tc>
        <w:tc>
          <w:tcPr>
            <w:tcW w:w="416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Notice Period ”</w:t>
            </w:r>
            <w:r>
              <w:rPr>
                <w:rFonts w:ascii="Times New Roman" w:cs="Times New Roman" w:eastAsia="Times New Roman" w:hAnsi="Times New Roman"/>
                <w:sz w:val="19"/>
                <w:szCs w:val="19"/>
                <w:color w:val="auto"/>
              </w:rPr>
              <w:t xml:space="preserve">  has the meaning given to it in</w:t>
            </w: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Section 17 of the Employment</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66"/>
        </w:trPr>
        <w:tc>
          <w:tcPr>
            <w:tcW w:w="420" w:type="dxa"/>
            <w:vAlign w:val="bottom"/>
          </w:tcPr>
          <w:p>
            <w:pPr>
              <w:spacing w:after="0"/>
              <w:rPr>
                <w:sz w:val="23"/>
                <w:szCs w:val="23"/>
                <w:color w:val="auto"/>
              </w:rPr>
            </w:pPr>
          </w:p>
        </w:tc>
        <w:tc>
          <w:tcPr>
            <w:tcW w:w="4160" w:type="dxa"/>
            <w:vAlign w:val="bottom"/>
            <w:gridSpan w:val="3"/>
          </w:tcPr>
          <w:p>
            <w:pPr>
              <w:ind w:left="160"/>
              <w:spacing w:after="0"/>
              <w:rPr>
                <w:sz w:val="20"/>
                <w:szCs w:val="20"/>
                <w:color w:val="auto"/>
              </w:rPr>
            </w:pPr>
            <w:r>
              <w:rPr>
                <w:rFonts w:ascii="Times New Roman" w:cs="Times New Roman" w:eastAsia="Times New Roman" w:hAnsi="Times New Roman"/>
                <w:sz w:val="19"/>
                <w:szCs w:val="19"/>
                <w:color w:val="auto"/>
              </w:rPr>
              <w:t>Agreement.</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167" w:lineRule="exact"/>
        <w:rPr>
          <w:sz w:val="20"/>
          <w:szCs w:val="20"/>
          <w:color w:val="auto"/>
        </w:rPr>
      </w:pPr>
    </w:p>
    <w:p>
      <w:pPr>
        <w:ind w:left="1340" w:hanging="578"/>
        <w:spacing w:after="0"/>
        <w:tabs>
          <w:tab w:leader="none" w:pos="13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Office Location</w:t>
      </w:r>
      <w:r>
        <w:rPr>
          <w:rFonts w:ascii="Times New Roman" w:cs="Times New Roman" w:eastAsia="Times New Roman" w:hAnsi="Times New Roman"/>
          <w:sz w:val="19"/>
          <w:szCs w:val="19"/>
          <w:color w:val="auto"/>
        </w:rPr>
        <w:t>” means New York, New York.</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218"/>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21.</w:t>
            </w:r>
          </w:p>
        </w:tc>
        <w:tc>
          <w:tcPr>
            <w:tcW w:w="5140" w:type="dxa"/>
            <w:vAlign w:val="bottom"/>
            <w:gridSpan w:val="8"/>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Pension Code of Conduct</w:t>
            </w:r>
            <w:r>
              <w:rPr>
                <w:rFonts w:ascii="Times New Roman" w:cs="Times New Roman" w:eastAsia="Times New Roman" w:hAnsi="Times New Roman"/>
                <w:sz w:val="19"/>
                <w:szCs w:val="19"/>
                <w:color w:val="auto"/>
              </w:rPr>
              <w:t xml:space="preserve">  ” has the meaning given to it in</w:t>
            </w:r>
          </w:p>
        </w:tc>
        <w:tc>
          <w:tcPr>
            <w:tcW w:w="1840" w:type="dxa"/>
            <w:vAlign w:val="bottom"/>
            <w:gridSpan w:val="3"/>
          </w:tcPr>
          <w:p>
            <w:pPr>
              <w:ind w:left="320"/>
              <w:spacing w:after="0"/>
              <w:rPr>
                <w:sz w:val="20"/>
                <w:szCs w:val="20"/>
                <w:color w:val="auto"/>
              </w:rPr>
            </w:pPr>
            <w:r>
              <w:rPr>
                <w:rFonts w:ascii="Times New Roman" w:cs="Times New Roman" w:eastAsia="Times New Roman" w:hAnsi="Times New Roman"/>
                <w:sz w:val="19"/>
                <w:szCs w:val="19"/>
                <w:color w:val="auto"/>
              </w:rPr>
              <w:t>Section 2.e.  of the</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4"/>
        </w:trPr>
        <w:tc>
          <w:tcPr>
            <w:tcW w:w="420" w:type="dxa"/>
            <w:vAlign w:val="bottom"/>
          </w:tcPr>
          <w:p>
            <w:pPr>
              <w:spacing w:after="0"/>
              <w:rPr>
                <w:sz w:val="22"/>
                <w:szCs w:val="22"/>
                <w:color w:val="auto"/>
              </w:rPr>
            </w:pPr>
          </w:p>
        </w:tc>
        <w:tc>
          <w:tcPr>
            <w:tcW w:w="5140" w:type="dxa"/>
            <w:vAlign w:val="bottom"/>
            <w:gridSpan w:val="8"/>
          </w:tcPr>
          <w:p>
            <w:pPr>
              <w:ind w:left="160"/>
              <w:spacing w:after="0"/>
              <w:rPr>
                <w:sz w:val="20"/>
                <w:szCs w:val="20"/>
                <w:color w:val="auto"/>
              </w:rPr>
            </w:pPr>
            <w:r>
              <w:rPr>
                <w:rFonts w:ascii="Times New Roman" w:cs="Times New Roman" w:eastAsia="Times New Roman" w:hAnsi="Times New Roman"/>
                <w:sz w:val="19"/>
                <w:szCs w:val="19"/>
                <w:color w:val="auto"/>
              </w:rPr>
              <w:t>Employment Agreement.</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374"/>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22.</w:t>
            </w:r>
          </w:p>
        </w:tc>
        <w:tc>
          <w:tcPr>
            <w:tcW w:w="6980" w:type="dxa"/>
            <w:vAlign w:val="bottom"/>
            <w:gridSpan w:val="11"/>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Person</w:t>
            </w:r>
            <w:r>
              <w:rPr>
                <w:rFonts w:ascii="Times New Roman" w:cs="Times New Roman" w:eastAsia="Times New Roman" w:hAnsi="Times New Roman"/>
                <w:sz w:val="19"/>
                <w:szCs w:val="19"/>
                <w:color w:val="auto"/>
              </w:rPr>
              <w:t>” means all natural persons, corporations, business trusts, associations,</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r>
      <w:tr>
        <w:trPr>
          <w:trHeight w:val="243"/>
        </w:trPr>
        <w:tc>
          <w:tcPr>
            <w:tcW w:w="420" w:type="dxa"/>
            <w:vAlign w:val="bottom"/>
          </w:tcPr>
          <w:p>
            <w:pPr>
              <w:spacing w:after="0"/>
              <w:rPr>
                <w:sz w:val="21"/>
                <w:szCs w:val="21"/>
                <w:color w:val="auto"/>
              </w:rPr>
            </w:pPr>
          </w:p>
        </w:tc>
        <w:tc>
          <w:tcPr>
            <w:tcW w:w="6980" w:type="dxa"/>
            <w:vAlign w:val="bottom"/>
            <w:gridSpan w:val="11"/>
          </w:tcPr>
          <w:p>
            <w:pPr>
              <w:ind w:left="160"/>
              <w:spacing w:after="0"/>
              <w:rPr>
                <w:sz w:val="20"/>
                <w:szCs w:val="20"/>
                <w:color w:val="auto"/>
              </w:rPr>
            </w:pPr>
            <w:r>
              <w:rPr>
                <w:rFonts w:ascii="Times New Roman" w:cs="Times New Roman" w:eastAsia="Times New Roman" w:hAnsi="Times New Roman"/>
                <w:sz w:val="19"/>
                <w:szCs w:val="19"/>
                <w:color w:val="auto"/>
              </w:rPr>
              <w:t>companies, partnerships, joint ventures and other entities and governments and agencies</w:t>
            </w:r>
          </w:p>
        </w:tc>
      </w:tr>
      <w:tr>
        <w:trPr>
          <w:trHeight w:val="251"/>
        </w:trPr>
        <w:tc>
          <w:tcPr>
            <w:tcW w:w="420" w:type="dxa"/>
            <w:vAlign w:val="bottom"/>
          </w:tcPr>
          <w:p>
            <w:pPr>
              <w:spacing w:after="0"/>
              <w:rPr>
                <w:sz w:val="21"/>
                <w:szCs w:val="21"/>
                <w:color w:val="auto"/>
              </w:rPr>
            </w:pPr>
          </w:p>
        </w:tc>
        <w:tc>
          <w:tcPr>
            <w:tcW w:w="5140" w:type="dxa"/>
            <w:vAlign w:val="bottom"/>
            <w:gridSpan w:val="8"/>
          </w:tcPr>
          <w:p>
            <w:pPr>
              <w:ind w:left="160"/>
              <w:spacing w:after="0"/>
              <w:rPr>
                <w:sz w:val="20"/>
                <w:szCs w:val="20"/>
                <w:color w:val="auto"/>
              </w:rPr>
            </w:pPr>
            <w:r>
              <w:rPr>
                <w:rFonts w:ascii="Times New Roman" w:cs="Times New Roman" w:eastAsia="Times New Roman" w:hAnsi="Times New Roman"/>
                <w:sz w:val="19"/>
                <w:szCs w:val="19"/>
                <w:color w:val="auto"/>
              </w:rPr>
              <w:t>and political subdivisions.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374"/>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23.</w:t>
            </w:r>
          </w:p>
        </w:tc>
        <w:tc>
          <w:tcPr>
            <w:tcW w:w="6980" w:type="dxa"/>
            <w:vAlign w:val="bottom"/>
            <w:gridSpan w:val="11"/>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Release</w:t>
            </w:r>
            <w:r>
              <w:rPr>
                <w:rFonts w:ascii="Times New Roman" w:cs="Times New Roman" w:eastAsia="Times New Roman" w:hAnsi="Times New Roman"/>
                <w:sz w:val="19"/>
                <w:szCs w:val="19"/>
                <w:color w:val="auto"/>
              </w:rPr>
              <w:t>” has the meaning given to it in Section 7.b. of the Employment Agreement.</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r>
      <w:tr>
        <w:trPr>
          <w:trHeight w:val="400"/>
        </w:trPr>
        <w:tc>
          <w:tcPr>
            <w:tcW w:w="4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2"/>
              </w:rPr>
              <w:t>24.</w:t>
            </w:r>
          </w:p>
        </w:tc>
        <w:tc>
          <w:tcPr>
            <w:tcW w:w="6980" w:type="dxa"/>
            <w:vAlign w:val="bottom"/>
            <w:gridSpan w:val="11"/>
          </w:tcPr>
          <w:p>
            <w:pPr>
              <w:ind w:left="1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Section 409A</w:t>
            </w:r>
            <w:r>
              <w:rPr>
                <w:rFonts w:ascii="Times New Roman" w:cs="Times New Roman" w:eastAsia="Times New Roman" w:hAnsi="Times New Roman"/>
                <w:sz w:val="19"/>
                <w:szCs w:val="19"/>
                <w:color w:val="auto"/>
              </w:rPr>
              <w:t>” means Section 409A of the Internal Revenue Code of 1986, as amended,</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r>
      <w:tr>
        <w:trPr>
          <w:trHeight w:val="254"/>
        </w:trPr>
        <w:tc>
          <w:tcPr>
            <w:tcW w:w="420" w:type="dxa"/>
            <w:vAlign w:val="bottom"/>
          </w:tcPr>
          <w:p>
            <w:pPr>
              <w:spacing w:after="0"/>
              <w:rPr>
                <w:sz w:val="22"/>
                <w:szCs w:val="22"/>
                <w:color w:val="auto"/>
              </w:rPr>
            </w:pPr>
          </w:p>
        </w:tc>
        <w:tc>
          <w:tcPr>
            <w:tcW w:w="6980" w:type="dxa"/>
            <w:vAlign w:val="bottom"/>
            <w:gridSpan w:val="11"/>
          </w:tcPr>
          <w:p>
            <w:pPr>
              <w:ind w:left="160"/>
              <w:spacing w:after="0"/>
              <w:rPr>
                <w:sz w:val="20"/>
                <w:szCs w:val="20"/>
                <w:color w:val="auto"/>
              </w:rPr>
            </w:pPr>
            <w:r>
              <w:rPr>
                <w:rFonts w:ascii="Times New Roman" w:cs="Times New Roman" w:eastAsia="Times New Roman" w:hAnsi="Times New Roman"/>
                <w:sz w:val="19"/>
                <w:szCs w:val="19"/>
                <w:color w:val="auto"/>
              </w:rPr>
              <w:t>and the regulations and other interpretive guidance issued thereunder.</w:t>
            </w:r>
          </w:p>
        </w:tc>
      </w:tr>
    </w:tbl>
    <w:p>
      <w:pPr>
        <w:spacing w:after="0" w:line="117"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19"/>
          <w:szCs w:val="19"/>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Ter</w:t>
      </w:r>
      <w:r>
        <w:rPr>
          <w:rFonts w:ascii="Times New Roman" w:cs="Times New Roman" w:eastAsia="Times New Roman" w:hAnsi="Times New Roman"/>
          <w:sz w:val="19"/>
          <w:szCs w:val="19"/>
          <w:color w:val="auto"/>
        </w:rPr>
        <w:t xml:space="preserve">  ” has the meaning given to it in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of the Employment Agreement.</w:t>
      </w:r>
    </w:p>
    <w:p>
      <w:pPr>
        <w:ind w:left="1420"/>
        <w:spacing w:after="0"/>
        <w:rPr>
          <w:sz w:val="20"/>
          <w:szCs w:val="20"/>
          <w:color w:val="auto"/>
        </w:rPr>
      </w:pPr>
      <w:r>
        <w:rPr>
          <w:rFonts w:ascii="Times New Roman" w:cs="Times New Roman" w:eastAsia="Times New Roman" w:hAnsi="Times New Roman"/>
          <w:sz w:val="19"/>
          <w:szCs w:val="19"/>
          <w:i w:val="1"/>
          <w:iCs w:val="1"/>
          <w:u w:val="single" w:color="auto"/>
          <w:color w:val="auto"/>
        </w:rPr>
        <w:t>m</w:t>
      </w:r>
    </w:p>
    <w:p>
      <w:pPr>
        <w:spacing w:after="0" w:line="46" w:lineRule="exact"/>
        <w:rPr>
          <w:sz w:val="20"/>
          <w:szCs w:val="20"/>
          <w:color w:val="auto"/>
        </w:rPr>
      </w:pPr>
    </w:p>
    <w:p>
      <w:pPr>
        <w:ind w:left="1340" w:hanging="578"/>
        <w:spacing w:after="0"/>
        <w:tabs>
          <w:tab w:leader="none" w:pos="13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Title</w:t>
      </w:r>
      <w:r>
        <w:rPr>
          <w:rFonts w:ascii="Times New Roman" w:cs="Times New Roman" w:eastAsia="Times New Roman" w:hAnsi="Times New Roman"/>
          <w:sz w:val="19"/>
          <w:szCs w:val="19"/>
          <w:color w:val="auto"/>
        </w:rPr>
        <w:t>” means Managing Director - Partner, Level 10.</w:t>
      </w:r>
    </w:p>
    <w:p>
      <w:pPr>
        <w:spacing w:after="0" w:line="201" w:lineRule="exact"/>
        <w:rPr>
          <w:rFonts w:ascii="Times New Roman" w:cs="Times New Roman" w:eastAsia="Times New Roman" w:hAnsi="Times New Roman"/>
          <w:sz w:val="19"/>
          <w:szCs w:val="19"/>
          <w:color w:val="auto"/>
        </w:rPr>
      </w:pPr>
    </w:p>
    <w:p>
      <w:pPr>
        <w:ind w:left="760" w:right="980" w:firstLine="2"/>
        <w:spacing w:after="0" w:line="267" w:lineRule="auto"/>
        <w:tabs>
          <w:tab w:leader="none" w:pos="133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2023 Guaranteed Bonus Amount</w:t>
      </w:r>
      <w:r>
        <w:rPr>
          <w:rFonts w:ascii="Times New Roman" w:cs="Times New Roman" w:eastAsia="Times New Roman" w:hAnsi="Times New Roman"/>
          <w:sz w:val="19"/>
          <w:szCs w:val="19"/>
          <w:color w:val="auto"/>
        </w:rPr>
        <w:t xml:space="preserve"> ” means $1,000,000 in Currency, which represents a full year amount and will be prorated upon confirmed Commencement Date to reflect actual months worked. For the avoidance of doubt, if the Commencement Date is October 16, 2023, the 2023 Guaranteed Bonus Amount will be $211,000.</w:t>
      </w:r>
    </w:p>
    <w:p>
      <w:pPr>
        <w:spacing w:after="0" w:line="144" w:lineRule="exact"/>
        <w:rPr>
          <w:rFonts w:ascii="Times New Roman" w:cs="Times New Roman" w:eastAsia="Times New Roman" w:hAnsi="Times New Roman"/>
          <w:sz w:val="19"/>
          <w:szCs w:val="19"/>
          <w:color w:val="auto"/>
        </w:rPr>
      </w:pPr>
    </w:p>
    <w:p>
      <w:pPr>
        <w:ind w:left="1340" w:hanging="578"/>
        <w:spacing w:after="0"/>
        <w:tabs>
          <w:tab w:leader="none" w:pos="134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2024 Guaranteed Bonus Amount</w:t>
      </w:r>
      <w:r>
        <w:rPr>
          <w:rFonts w:ascii="Times New Roman" w:cs="Times New Roman" w:eastAsia="Times New Roman" w:hAnsi="Times New Roman"/>
          <w:sz w:val="19"/>
          <w:szCs w:val="19"/>
          <w:color w:val="auto"/>
        </w:rPr>
        <w:t>” means a minimum of $1,000,000 in Currency.</w:t>
      </w:r>
    </w:p>
    <w:p>
      <w:pPr>
        <w:sectPr>
          <w:pgSz w:w="11900" w:h="16840" w:orient="portrait"/>
          <w:cols w:equalWidth="0" w:num="1">
            <w:col w:w="9020"/>
          </w:cols>
          <w:pgMar w:left="1440" w:top="5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40" w:orient="portrait"/>
          <w:cols w:equalWidth="0" w:num="1">
            <w:col w:w="9020"/>
          </w:cols>
          <w:pgMar w:left="1440" w:top="531" w:right="1440" w:bottom="1440" w:gutter="0" w:footer="0" w:header="0"/>
          <w:type w:val="continuous"/>
        </w:sectPr>
      </w:pPr>
    </w:p>
    <w:bookmarkStart w:id="210" w:name="page211"/>
    <w:bookmarkEnd w:id="210"/>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[__] OUTSIDE DIRECTOR DEFERRAL AND STOCK ELECTION FORM</w:t>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7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 xml:space="preserve">This election relates to the restricted stock unit awards (“ </w:t>
            </w:r>
            <w:r>
              <w:rPr>
                <w:rFonts w:ascii="Times New Roman" w:cs="Times New Roman" w:eastAsia="Times New Roman" w:hAnsi="Times New Roman"/>
                <w:sz w:val="18"/>
                <w:szCs w:val="18"/>
                <w:u w:val="single" w:color="auto"/>
                <w:color w:val="auto"/>
                <w:w w:val="99"/>
              </w:rPr>
              <w:t>RSU</w:t>
            </w:r>
            <w:r>
              <w:rPr>
                <w:rFonts w:ascii="Times New Roman" w:cs="Times New Roman" w:eastAsia="Times New Roman" w:hAnsi="Times New Roman"/>
                <w:sz w:val="18"/>
                <w:szCs w:val="18"/>
                <w:color w:val="auto"/>
                <w:w w:val="99"/>
              </w:rPr>
              <w:t xml:space="preserve"> ”) and cash fees (“ </w:t>
            </w:r>
            <w:r>
              <w:rPr>
                <w:rFonts w:ascii="Times New Roman" w:cs="Times New Roman" w:eastAsia="Times New Roman" w:hAnsi="Times New Roman"/>
                <w:sz w:val="18"/>
                <w:szCs w:val="18"/>
                <w:u w:val="single" w:color="auto"/>
                <w:color w:val="auto"/>
                <w:w w:val="99"/>
              </w:rPr>
              <w:t>Cash Compensatio</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24"/>
        </w:trPr>
        <w:tc>
          <w:tcPr>
            <w:tcW w:w="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6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u w:val="single" w:color="auto"/>
                <w:color w:val="auto"/>
              </w:rPr>
              <w:t>n</w:t>
            </w:r>
          </w:p>
        </w:tc>
        <w:tc>
          <w:tcPr>
            <w:tcW w:w="22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w:t>
            </w:r>
          </w:p>
        </w:tc>
      </w:tr>
      <w:tr>
        <w:trPr>
          <w:trHeight w:val="72"/>
        </w:trPr>
        <w:tc>
          <w:tcPr>
            <w:tcW w:w="4140" w:type="dxa"/>
            <w:vAlign w:val="bottom"/>
            <w:gridSpan w:val="5"/>
          </w:tcPr>
          <w:p>
            <w:pPr>
              <w:spacing w:after="0" w:line="72" w:lineRule="exact"/>
              <w:rPr>
                <w:sz w:val="20"/>
                <w:szCs w:val="20"/>
                <w:color w:val="auto"/>
              </w:rPr>
            </w:pPr>
            <w:r>
              <w:rPr>
                <w:rFonts w:ascii="Times New Roman" w:cs="Times New Roman" w:eastAsia="Times New Roman" w:hAnsi="Times New Roman"/>
                <w:sz w:val="8"/>
                <w:szCs w:val="8"/>
                <w:color w:val="auto"/>
              </w:rPr>
              <w:t>anticipated to be granted or paid to non-employee directors</w:t>
            </w:r>
          </w:p>
        </w:tc>
        <w:tc>
          <w:tcPr>
            <w:tcW w:w="80" w:type="dxa"/>
            <w:vAlign w:val="bottom"/>
            <w:tcBorders>
              <w:top w:val="single" w:sz="8" w:color="auto"/>
            </w:tcBorders>
          </w:tcPr>
          <w:p>
            <w:pPr>
              <w:spacing w:after="0"/>
              <w:rPr>
                <w:sz w:val="6"/>
                <w:szCs w:val="6"/>
                <w:color w:val="auto"/>
              </w:rPr>
            </w:pPr>
          </w:p>
        </w:tc>
        <w:tc>
          <w:tcPr>
            <w:tcW w:w="1700" w:type="dxa"/>
            <w:vAlign w:val="bottom"/>
            <w:gridSpan w:val="3"/>
          </w:tcPr>
          <w:p>
            <w:pPr>
              <w:ind w:left="80"/>
              <w:spacing w:after="0" w:line="72" w:lineRule="exact"/>
              <w:rPr>
                <w:sz w:val="20"/>
                <w:szCs w:val="20"/>
                <w:color w:val="auto"/>
              </w:rPr>
            </w:pPr>
            <w:r>
              <w:rPr>
                <w:rFonts w:ascii="Times New Roman" w:cs="Times New Roman" w:eastAsia="Times New Roman" w:hAnsi="Times New Roman"/>
                <w:sz w:val="8"/>
                <w:szCs w:val="8"/>
                <w:color w:val="auto"/>
              </w:rPr>
              <w:t>of The Carlyle Group</w:t>
            </w:r>
          </w:p>
        </w:tc>
        <w:tc>
          <w:tcPr>
            <w:tcW w:w="136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color w:val="auto"/>
              </w:rPr>
              <w:t xml:space="preserve">Inc.’s (the </w:t>
            </w:r>
            <w:r>
              <w:rPr>
                <w:rFonts w:ascii="Times New Roman" w:cs="Times New Roman" w:eastAsia="Times New Roman" w:hAnsi="Times New Roman"/>
                <w:sz w:val="8"/>
                <w:szCs w:val="8"/>
                <w:u w:val="single" w:color="auto"/>
                <w:color w:val="auto"/>
              </w:rPr>
              <w:t>Compan</w:t>
            </w:r>
          </w:p>
        </w:tc>
        <w:tc>
          <w:tcPr>
            <w:tcW w:w="22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r>
      <w:tr>
        <w:trPr>
          <w:trHeight w:val="120"/>
        </w:trPr>
        <w:tc>
          <w:tcPr>
            <w:tcW w:w="180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ind w:left="320"/>
              <w:spacing w:after="0" w:line="120" w:lineRule="exact"/>
              <w:rPr>
                <w:sz w:val="20"/>
                <w:szCs w:val="20"/>
                <w:color w:val="auto"/>
              </w:rPr>
            </w:pPr>
            <w:r>
              <w:rPr>
                <w:rFonts w:ascii="Times New Roman" w:cs="Times New Roman" w:eastAsia="Times New Roman" w:hAnsi="Times New Roman"/>
                <w:sz w:val="13"/>
                <w:szCs w:val="13"/>
                <w:u w:val="single" w:color="auto"/>
                <w:color w:val="auto"/>
              </w:rPr>
              <w:t>y</w:t>
            </w:r>
          </w:p>
        </w:tc>
        <w:tc>
          <w:tcPr>
            <w:tcW w:w="220" w:type="dxa"/>
            <w:vAlign w:val="bottom"/>
          </w:tcPr>
          <w:p>
            <w:pPr>
              <w:ind w:left="60"/>
              <w:spacing w:after="0" w:line="120" w:lineRule="exact"/>
              <w:rPr>
                <w:sz w:val="20"/>
                <w:szCs w:val="20"/>
                <w:color w:val="auto"/>
              </w:rPr>
            </w:pPr>
            <w:r>
              <w:rPr>
                <w:rFonts w:ascii="Times New Roman" w:cs="Times New Roman" w:eastAsia="Times New Roman" w:hAnsi="Times New Roman"/>
                <w:sz w:val="13"/>
                <w:szCs w:val="13"/>
                <w:color w:val="auto"/>
              </w:rPr>
              <w:t>)</w:t>
            </w:r>
          </w:p>
        </w:tc>
      </w:tr>
      <w:tr>
        <w:trPr>
          <w:trHeight w:val="84"/>
        </w:trPr>
        <w:tc>
          <w:tcPr>
            <w:tcW w:w="1800" w:type="dxa"/>
            <w:vAlign w:val="bottom"/>
            <w:gridSpan w:val="2"/>
          </w:tcPr>
          <w:p>
            <w:pPr>
              <w:spacing w:after="0" w:line="84" w:lineRule="exact"/>
              <w:rPr>
                <w:sz w:val="20"/>
                <w:szCs w:val="20"/>
                <w:color w:val="auto"/>
              </w:rPr>
            </w:pPr>
            <w:r>
              <w:rPr>
                <w:rFonts w:ascii="Times New Roman" w:cs="Times New Roman" w:eastAsia="Times New Roman" w:hAnsi="Times New Roman"/>
                <w:sz w:val="9"/>
                <w:szCs w:val="9"/>
                <w:color w:val="auto"/>
              </w:rPr>
              <w:t>Board of Directors (the</w:t>
            </w:r>
          </w:p>
        </w:tc>
        <w:tc>
          <w:tcPr>
            <w:tcW w:w="5700" w:type="dxa"/>
            <w:vAlign w:val="bottom"/>
            <w:gridSpan w:val="10"/>
          </w:tcPr>
          <w:p>
            <w:pPr>
              <w:spacing w:after="0" w:line="84" w:lineRule="exact"/>
              <w:rPr>
                <w:sz w:val="20"/>
                <w:szCs w:val="20"/>
                <w:color w:val="auto"/>
              </w:rPr>
            </w:pPr>
            <w:r>
              <w:rPr>
                <w:rFonts w:ascii="Times New Roman" w:cs="Times New Roman" w:eastAsia="Times New Roman" w:hAnsi="Times New Roman"/>
                <w:sz w:val="9"/>
                <w:szCs w:val="9"/>
                <w:u w:val="single" w:color="auto"/>
                <w:color w:val="auto"/>
              </w:rPr>
              <w:t>Boar</w:t>
            </w:r>
            <w:r>
              <w:rPr>
                <w:rFonts w:ascii="Times New Roman" w:cs="Times New Roman" w:eastAsia="Times New Roman" w:hAnsi="Times New Roman"/>
                <w:sz w:val="9"/>
                <w:szCs w:val="9"/>
                <w:color w:val="auto"/>
              </w:rPr>
              <w:t xml:space="preserve"> ”) for services performed in [__]. Capitalized terms not otherwise define</w:t>
            </w:r>
          </w:p>
        </w:tc>
      </w:tr>
      <w:tr>
        <w:trPr>
          <w:trHeight w:val="120"/>
        </w:trPr>
        <w:tc>
          <w:tcPr>
            <w:tcW w:w="180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u w:val="single" w:color="auto"/>
                <w:color w:val="auto"/>
              </w:rPr>
              <w:t>d</w:t>
            </w:r>
          </w:p>
        </w:tc>
        <w:tc>
          <w:tcPr>
            <w:tcW w:w="366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3"/>
                <w:szCs w:val="13"/>
                <w:color w:val="auto"/>
              </w:rPr>
              <w:t>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96"/>
        </w:trPr>
        <w:tc>
          <w:tcPr>
            <w:tcW w:w="1880" w:type="dxa"/>
            <w:vAlign w:val="bottom"/>
            <w:gridSpan w:val="3"/>
          </w:tcPr>
          <w:p>
            <w:pPr>
              <w:spacing w:after="0" w:line="96" w:lineRule="exact"/>
              <w:rPr>
                <w:sz w:val="20"/>
                <w:szCs w:val="20"/>
                <w:color w:val="auto"/>
              </w:rPr>
            </w:pPr>
            <w:r>
              <w:rPr>
                <w:rFonts w:ascii="Times New Roman" w:cs="Times New Roman" w:eastAsia="Times New Roman" w:hAnsi="Times New Roman"/>
                <w:sz w:val="11"/>
                <w:szCs w:val="11"/>
                <w:color w:val="auto"/>
              </w:rPr>
              <w:t>herein shall have the same</w:t>
            </w:r>
          </w:p>
        </w:tc>
        <w:tc>
          <w:tcPr>
            <w:tcW w:w="5620" w:type="dxa"/>
            <w:vAlign w:val="bottom"/>
            <w:gridSpan w:val="9"/>
          </w:tcPr>
          <w:p>
            <w:pPr>
              <w:ind w:left="60"/>
              <w:spacing w:after="0" w:line="96" w:lineRule="exact"/>
              <w:rPr>
                <w:sz w:val="20"/>
                <w:szCs w:val="20"/>
                <w:color w:val="auto"/>
              </w:rPr>
            </w:pPr>
            <w:r>
              <w:rPr>
                <w:rFonts w:ascii="Times New Roman" w:cs="Times New Roman" w:eastAsia="Times New Roman" w:hAnsi="Times New Roman"/>
                <w:sz w:val="11"/>
                <w:szCs w:val="11"/>
                <w:color w:val="auto"/>
              </w:rPr>
              <w:t>meanings as set forth in The Carlyle Group Inc. Amended and Restated 201</w:t>
            </w:r>
          </w:p>
        </w:tc>
      </w:tr>
      <w:tr>
        <w:trPr>
          <w:trHeight w:val="120"/>
        </w:trPr>
        <w:tc>
          <w:tcPr>
            <w:tcW w:w="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2</w:t>
            </w: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96"/>
        </w:trPr>
        <w:tc>
          <w:tcPr>
            <w:tcW w:w="7280" w:type="dxa"/>
            <w:vAlign w:val="bottom"/>
            <w:gridSpan w:val="11"/>
          </w:tcPr>
          <w:p>
            <w:pPr>
              <w:spacing w:after="0" w:line="96" w:lineRule="exact"/>
              <w:rPr>
                <w:sz w:val="20"/>
                <w:szCs w:val="20"/>
                <w:color w:val="auto"/>
              </w:rPr>
            </w:pPr>
            <w:r>
              <w:rPr>
                <w:rFonts w:ascii="Times New Roman" w:cs="Times New Roman" w:eastAsia="Times New Roman" w:hAnsi="Times New Roman"/>
                <w:sz w:val="11"/>
                <w:szCs w:val="11"/>
                <w:color w:val="auto"/>
              </w:rPr>
              <w:t xml:space="preserve">Equity Incentive Plan (as may be amended and/or restated from time to time, th </w:t>
            </w:r>
            <w:r>
              <w:rPr>
                <w:rFonts w:ascii="Times New Roman" w:cs="Times New Roman" w:eastAsia="Times New Roman" w:hAnsi="Times New Roman"/>
                <w:sz w:val="11"/>
                <w:szCs w:val="11"/>
                <w:u w:val="single" w:color="auto"/>
                <w:color w:val="auto"/>
              </w:rPr>
              <w:t>Pla</w:t>
            </w:r>
            <w:r>
              <w:rPr>
                <w:rFonts w:ascii="Times New Roman" w:cs="Times New Roman" w:eastAsia="Times New Roman" w:hAnsi="Times New Roman"/>
                <w:sz w:val="11"/>
                <w:szCs w:val="11"/>
                <w:color w:val="auto"/>
              </w:rPr>
              <w:t xml:space="preserve"> ”).</w:t>
            </w:r>
          </w:p>
        </w:tc>
        <w:tc>
          <w:tcPr>
            <w:tcW w:w="220" w:type="dxa"/>
            <w:vAlign w:val="bottom"/>
          </w:tcPr>
          <w:p>
            <w:pPr>
              <w:spacing w:after="0"/>
              <w:rPr>
                <w:sz w:val="8"/>
                <w:szCs w:val="8"/>
                <w:color w:val="auto"/>
              </w:rPr>
            </w:pPr>
          </w:p>
        </w:tc>
      </w:tr>
      <w:tr>
        <w:trPr>
          <w:trHeight w:val="132"/>
        </w:trPr>
        <w:tc>
          <w:tcPr>
            <w:tcW w:w="1800" w:type="dxa"/>
            <w:vAlign w:val="bottom"/>
            <w:gridSpan w:val="2"/>
          </w:tcPr>
          <w:p>
            <w:pPr>
              <w:spacing w:after="0" w:line="132" w:lineRule="exact"/>
              <w:rPr>
                <w:sz w:val="20"/>
                <w:szCs w:val="20"/>
                <w:color w:val="auto"/>
              </w:rPr>
            </w:pPr>
            <w:r>
              <w:rPr>
                <w:rFonts w:ascii="Times New Roman" w:cs="Times New Roman" w:eastAsia="Times New Roman" w:hAnsi="Times New Roman"/>
                <w:sz w:val="15"/>
                <w:szCs w:val="15"/>
                <w:color w:val="auto"/>
              </w:rPr>
              <w:t>e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40" w:type="dxa"/>
            <w:vAlign w:val="bottom"/>
            <w:gridSpan w:val="3"/>
          </w:tcPr>
          <w:p>
            <w:pPr>
              <w:spacing w:after="0" w:line="132" w:lineRule="exact"/>
              <w:rPr>
                <w:sz w:val="20"/>
                <w:szCs w:val="20"/>
                <w:color w:val="auto"/>
              </w:rPr>
            </w:pPr>
            <w:r>
              <w:rPr>
                <w:rFonts w:ascii="Times New Roman" w:cs="Times New Roman" w:eastAsia="Times New Roman" w:hAnsi="Times New Roman"/>
                <w:sz w:val="15"/>
                <w:szCs w:val="15"/>
                <w:color w:val="auto"/>
              </w:rPr>
              <w:t>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2"/>
        </w:trPr>
        <w:tc>
          <w:tcPr>
            <w:tcW w:w="3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bl>
    <w:p>
      <w:pPr>
        <w:spacing w:after="0" w:line="164" w:lineRule="exact"/>
        <w:rPr>
          <w:sz w:val="20"/>
          <w:szCs w:val="20"/>
          <w:color w:val="auto"/>
        </w:rPr>
      </w:pPr>
    </w:p>
    <w:p>
      <w:pPr>
        <w:ind w:left="1380" w:hanging="245"/>
        <w:spacing w:after="0"/>
        <w:tabs>
          <w:tab w:leader="none" w:pos="1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 Name: ________________________________________________</w:t>
      </w:r>
    </w:p>
    <w:p>
      <w:pPr>
        <w:spacing w:after="0" w:line="200" w:lineRule="exact"/>
        <w:rPr>
          <w:rFonts w:ascii="Times New Roman" w:cs="Times New Roman" w:eastAsia="Times New Roman" w:hAnsi="Times New Roman"/>
          <w:sz w:val="18"/>
          <w:szCs w:val="18"/>
          <w:b w:val="1"/>
          <w:bCs w:val="1"/>
          <w:color w:val="auto"/>
        </w:rPr>
      </w:pPr>
    </w:p>
    <w:p>
      <w:pPr>
        <w:spacing w:after="0" w:line="325" w:lineRule="exact"/>
        <w:rPr>
          <w:rFonts w:ascii="Times New Roman" w:cs="Times New Roman" w:eastAsia="Times New Roman" w:hAnsi="Times New Roman"/>
          <w:sz w:val="18"/>
          <w:szCs w:val="18"/>
          <w:b w:val="1"/>
          <w:bCs w:val="1"/>
          <w:color w:val="auto"/>
        </w:rPr>
      </w:pPr>
    </w:p>
    <w:p>
      <w:pPr>
        <w:ind w:left="1380" w:hanging="245"/>
        <w:spacing w:after="0"/>
        <w:tabs>
          <w:tab w:leader="none" w:pos="1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for [__] Annual RSU Grant</w:t>
      </w:r>
    </w:p>
    <w:p>
      <w:pPr>
        <w:spacing w:after="0" w:line="217" w:lineRule="exact"/>
        <w:rPr>
          <w:sz w:val="20"/>
          <w:szCs w:val="20"/>
          <w:color w:val="auto"/>
        </w:rPr>
      </w:pPr>
    </w:p>
    <w:p>
      <w:pPr>
        <w:ind w:left="1140" w:right="860"/>
        <w:spacing w:after="0"/>
        <w:rPr>
          <w:sz w:val="20"/>
          <w:szCs w:val="20"/>
          <w:color w:val="auto"/>
        </w:rPr>
      </w:pPr>
      <w:r>
        <w:rPr>
          <w:rFonts w:ascii="Times New Roman" w:cs="Times New Roman" w:eastAsia="Times New Roman" w:hAnsi="Times New Roman"/>
          <w:sz w:val="17"/>
          <w:szCs w:val="17"/>
          <w:color w:val="auto"/>
        </w:rPr>
        <w:t>The portion of your annual retainer that is paid in the form of an annual RSU grant awarded to yo u</w:t>
      </w:r>
    </w:p>
    <w:p>
      <w:pPr>
        <w:spacing w:after="0" w:line="29" w:lineRule="exact"/>
        <w:rPr>
          <w:sz w:val="20"/>
          <w:szCs w:val="20"/>
          <w:color w:val="auto"/>
        </w:rPr>
      </w:pPr>
    </w:p>
    <w:p>
      <w:pPr>
        <w:ind w:left="1140" w:right="940"/>
        <w:spacing w:after="0" w:line="264" w:lineRule="auto"/>
        <w:rPr>
          <w:sz w:val="20"/>
          <w:szCs w:val="20"/>
          <w:color w:val="auto"/>
        </w:rPr>
      </w:pPr>
      <w:r>
        <w:rPr>
          <w:rFonts w:ascii="Times New Roman" w:cs="Times New Roman" w:eastAsia="Times New Roman" w:hAnsi="Times New Roman"/>
          <w:sz w:val="17"/>
          <w:szCs w:val="17"/>
          <w:color w:val="auto"/>
        </w:rPr>
        <w:t>under the Plan normally provides for vesting and delivery of the underlying Shares of the Company’s common stock upon the earliest to occur of (i) the first anniversary of the grant date,</w:t>
      </w:r>
    </w:p>
    <w:p>
      <w:pPr>
        <w:ind w:left="1140" w:right="940" w:hanging="5"/>
        <w:spacing w:after="0" w:line="256" w:lineRule="auto"/>
        <w:tabs>
          <w:tab w:leader="none" w:pos="140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your death or Disability or (iii) the date of your involuntary separation without Cause within 12 months following a Change in Control. Complete the following election if you wish to irrevocably elect to defer distribution of the Shares of common stock that are deliverable</w:t>
      </w:r>
    </w:p>
    <w:p>
      <w:pPr>
        <w:ind w:left="1140" w:right="920"/>
        <w:spacing w:after="0"/>
        <w:rPr>
          <w:sz w:val="20"/>
          <w:szCs w:val="20"/>
          <w:color w:val="auto"/>
        </w:rPr>
      </w:pPr>
      <w:r>
        <w:rPr>
          <w:rFonts w:ascii="Times New Roman" w:cs="Times New Roman" w:eastAsia="Times New Roman" w:hAnsi="Times New Roman"/>
          <w:sz w:val="17"/>
          <w:szCs w:val="17"/>
          <w:color w:val="auto"/>
        </w:rPr>
        <w:t>upon the vesting of the RSUs granted to you in [__] as part of your annual retainer for your servi ce</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on the Board that would otherwise be delivered to you on the scheduled vesting date to a</w:t>
      </w:r>
    </w:p>
    <w:p>
      <w:pPr>
        <w:ind w:left="1140"/>
        <w:spacing w:after="0" w:line="192" w:lineRule="auto"/>
        <w:rPr>
          <w:sz w:val="20"/>
          <w:szCs w:val="20"/>
          <w:color w:val="auto"/>
        </w:rPr>
      </w:pPr>
      <w:r>
        <w:rPr>
          <w:rFonts w:ascii="Times New Roman" w:cs="Times New Roman" w:eastAsia="Times New Roman" w:hAnsi="Times New Roman"/>
          <w:sz w:val="14"/>
          <w:szCs w:val="14"/>
          <w:color w:val="auto"/>
        </w:rPr>
        <w:t>subsequent calendar year</w:t>
      </w: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1140" w:right="11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you do not elect to defer your RSU Shares, the distribution of Shares will occur on the normal vesting date determined pursuant to the RSU award agreement.</w:t>
      </w:r>
    </w:p>
    <w:p>
      <w:pPr>
        <w:spacing w:after="0" w:line="213" w:lineRule="exact"/>
        <w:rPr>
          <w:sz w:val="20"/>
          <w:szCs w:val="20"/>
          <w:color w:val="auto"/>
        </w:rPr>
      </w:pPr>
    </w:p>
    <w:p>
      <w:pPr>
        <w:ind w:left="760" w:right="1360"/>
        <w:spacing w:after="0" w:line="286" w:lineRule="auto"/>
        <w:rPr>
          <w:sz w:val="20"/>
          <w:szCs w:val="20"/>
          <w:color w:val="auto"/>
        </w:rPr>
      </w:pPr>
      <w:r>
        <w:rPr>
          <w:rFonts w:ascii="Times New Roman" w:cs="Times New Roman" w:eastAsia="Times New Roman" w:hAnsi="Times New Roman"/>
          <w:sz w:val="18"/>
          <w:szCs w:val="18"/>
          <w:b w:val="1"/>
          <w:bCs w:val="1"/>
          <w:color w:val="auto"/>
        </w:rPr>
        <w:t>Irrevocable Election to Defer Distribution of Shares Underlying Regular [__] RSU Grants (check only one of the boxes below):</w:t>
      </w:r>
    </w:p>
    <w:p>
      <w:pPr>
        <w:spacing w:after="0" w:line="147" w:lineRule="exact"/>
        <w:rPr>
          <w:sz w:val="20"/>
          <w:szCs w:val="20"/>
          <w:color w:val="auto"/>
        </w:rPr>
      </w:pPr>
    </w:p>
    <w:p>
      <w:pPr>
        <w:ind w:left="1840" w:right="1060" w:hanging="381"/>
        <w:spacing w:after="0" w:line="259" w:lineRule="auto"/>
        <w:tabs>
          <w:tab w:leader="none" w:pos="18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hereby irrevocably elect to defer the distribution of the Shares of common stock underlying my [__] RSU grants until the date of my separation from service from the Board.</w:t>
      </w:r>
    </w:p>
    <w:p>
      <w:pPr>
        <w:spacing w:after="0" w:line="170" w:lineRule="exact"/>
        <w:rPr>
          <w:rFonts w:ascii="MS PGothic" w:cs="MS PGothic" w:eastAsia="MS PGothic" w:hAnsi="MS PGothic"/>
          <w:sz w:val="18"/>
          <w:szCs w:val="18"/>
          <w:color w:val="auto"/>
        </w:rPr>
      </w:pPr>
    </w:p>
    <w:p>
      <w:pPr>
        <w:ind w:left="1840" w:right="1320" w:hanging="381"/>
        <w:spacing w:after="0" w:line="282" w:lineRule="auto"/>
        <w:tabs>
          <w:tab w:leader="none" w:pos="18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hereby irrevocably elect to defer the distribution of the Shares of common stock underlying my [__] RSU grants until [__].</w:t>
      </w:r>
    </w:p>
    <w:p>
      <w:pPr>
        <w:spacing w:after="0" w:line="149" w:lineRule="exact"/>
        <w:rPr>
          <w:rFonts w:ascii="MS PGothic" w:cs="MS PGothic" w:eastAsia="MS PGothic" w:hAnsi="MS PGothic"/>
          <w:sz w:val="18"/>
          <w:szCs w:val="18"/>
          <w:color w:val="auto"/>
        </w:rPr>
      </w:pPr>
    </w:p>
    <w:p>
      <w:pPr>
        <w:ind w:left="1840" w:right="1320" w:hanging="381"/>
        <w:spacing w:after="0" w:line="282" w:lineRule="auto"/>
        <w:tabs>
          <w:tab w:leader="none" w:pos="18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hereby irrevocably elect to defer the distribution of the Shares of common stock underlying my [__] RSU grants until [__].</w:t>
      </w:r>
    </w:p>
    <w:p>
      <w:pPr>
        <w:spacing w:after="0" w:line="149" w:lineRule="exact"/>
        <w:rPr>
          <w:rFonts w:ascii="MS PGothic" w:cs="MS PGothic" w:eastAsia="MS PGothic" w:hAnsi="MS PGothic"/>
          <w:sz w:val="18"/>
          <w:szCs w:val="18"/>
          <w:color w:val="auto"/>
        </w:rPr>
      </w:pPr>
    </w:p>
    <w:p>
      <w:pPr>
        <w:ind w:left="1840" w:right="1120" w:hanging="381"/>
        <w:spacing w:after="0" w:line="259" w:lineRule="auto"/>
        <w:tabs>
          <w:tab w:leader="none" w:pos="1840" w:val="left"/>
        </w:tabs>
        <w:numPr>
          <w:ilvl w:val="0"/>
          <w:numId w:val="8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hereby irrevocably elect to defer the distribution of the Shares of common stock underlying my [__] RSU grants until the</w:t>
      </w:r>
      <w:r>
        <w:rPr>
          <w:rFonts w:ascii="Times New Roman" w:cs="Times New Roman" w:eastAsia="Times New Roman" w:hAnsi="Times New Roman"/>
          <w:sz w:val="18"/>
          <w:szCs w:val="18"/>
          <w:b w:val="1"/>
          <w:bCs w:val="1"/>
          <w:u w:val="single" w:color="auto"/>
          <w:color w:val="auto"/>
        </w:rPr>
        <w:t>earlier</w:t>
      </w:r>
      <w:r>
        <w:rPr>
          <w:rFonts w:ascii="Times New Roman" w:cs="Times New Roman" w:eastAsia="Times New Roman" w:hAnsi="Times New Roman"/>
          <w:sz w:val="18"/>
          <w:szCs w:val="18"/>
          <w:color w:val="auto"/>
        </w:rPr>
        <w:t xml:space="preserve"> of (i) the date of my separation from service from the Board or (ii) [__].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40" w:right="1120" w:hanging="381"/>
        <w:spacing w:after="0" w:line="259" w:lineRule="auto"/>
        <w:tabs>
          <w:tab w:leader="none" w:pos="1840" w:val="left"/>
        </w:tabs>
        <w:numPr>
          <w:ilvl w:val="1"/>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hereby irrevocably elect to defer the distribution of the Shares of common stock underlying my [__] RSU grants until the</w:t>
      </w:r>
      <w:r>
        <w:rPr>
          <w:rFonts w:ascii="Times New Roman" w:cs="Times New Roman" w:eastAsia="Times New Roman" w:hAnsi="Times New Roman"/>
          <w:sz w:val="18"/>
          <w:szCs w:val="18"/>
          <w:b w:val="1"/>
          <w:bCs w:val="1"/>
          <w:u w:val="single" w:color="auto"/>
          <w:color w:val="auto"/>
        </w:rPr>
        <w:t>earlier</w:t>
      </w:r>
      <w:r>
        <w:rPr>
          <w:rFonts w:ascii="Times New Roman" w:cs="Times New Roman" w:eastAsia="Times New Roman" w:hAnsi="Times New Roman"/>
          <w:sz w:val="18"/>
          <w:szCs w:val="18"/>
          <w:color w:val="auto"/>
        </w:rPr>
        <w:t xml:space="preserve"> of (i) the date of my separation from service from the Board or (ii) [__].</w:t>
      </w:r>
    </w:p>
    <w:p>
      <w:pPr>
        <w:spacing w:after="0" w:line="166" w:lineRule="exact"/>
        <w:rPr>
          <w:rFonts w:ascii="MS PGothic" w:cs="MS PGothic" w:eastAsia="MS PGothic" w:hAnsi="MS PGothic"/>
          <w:sz w:val="18"/>
          <w:szCs w:val="18"/>
          <w:color w:val="auto"/>
        </w:rPr>
      </w:pPr>
    </w:p>
    <w:p>
      <w:pPr>
        <w:ind w:left="1900" w:hanging="381"/>
        <w:spacing w:after="0"/>
        <w:tabs>
          <w:tab w:leader="none" w:pos="1900" w:val="left"/>
        </w:tabs>
        <w:numPr>
          <w:ilvl w:val="2"/>
          <w:numId w:val="8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I do not wish to make a deferral election with respect to my [__] RSU Grants.</w:t>
      </w:r>
    </w:p>
    <w:p>
      <w:pPr>
        <w:spacing w:after="0" w:line="261" w:lineRule="exact"/>
        <w:rPr>
          <w:rFonts w:ascii="MS PGothic" w:cs="MS PGothic" w:eastAsia="MS PGothic" w:hAnsi="MS PGothic"/>
          <w:sz w:val="18"/>
          <w:szCs w:val="18"/>
          <w:color w:val="auto"/>
        </w:rPr>
      </w:pPr>
    </w:p>
    <w:p>
      <w:pPr>
        <w:ind w:left="1280" w:right="1120" w:hanging="288"/>
        <w:spacing w:after="0" w:line="273" w:lineRule="auto"/>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 Election to Receive Deferred RSUs or Fully Vested Shares of Common Stock in Lieu of [__] Cash Compensation</w:t>
      </w:r>
    </w:p>
    <w:p>
      <w:pPr>
        <w:sectPr>
          <w:pgSz w:w="11900" w:h="16840" w:orient="portrait"/>
          <w:cols w:equalWidth="0" w:num="1">
            <w:col w:w="9020"/>
          </w:cols>
          <w:pgMar w:left="1440" w:top="1081" w:right="1440" w:bottom="43" w:gutter="0" w:footer="0" w:header="0"/>
        </w:sectPr>
      </w:pPr>
    </w:p>
    <w:bookmarkStart w:id="211" w:name="page212"/>
    <w:bookmarkEnd w:id="211"/>
    <w:p>
      <w:pPr>
        <w:ind w:left="1000" w:right="10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The portion of your annual retainer (including any additional cash retainer for service as the Board’s lead independent director or as the chairperson for a committee of the Board) that is paid</w:t>
      </w:r>
    </w:p>
    <w:p>
      <w:pPr>
        <w:spacing w:after="0" w:line="1" w:lineRule="exact"/>
        <w:rPr>
          <w:sz w:val="20"/>
          <w:szCs w:val="20"/>
          <w:color w:val="auto"/>
        </w:rPr>
      </w:pPr>
    </w:p>
    <w:p>
      <w:pPr>
        <w:ind w:left="1000" w:right="1080"/>
        <w:spacing w:after="0"/>
        <w:rPr>
          <w:sz w:val="20"/>
          <w:szCs w:val="20"/>
          <w:color w:val="auto"/>
        </w:rPr>
      </w:pPr>
      <w:r>
        <w:rPr>
          <w:rFonts w:ascii="Times New Roman" w:cs="Times New Roman" w:eastAsia="Times New Roman" w:hAnsi="Times New Roman"/>
          <w:sz w:val="17"/>
          <w:szCs w:val="17"/>
          <w:color w:val="auto"/>
        </w:rPr>
        <w:t>in Cash Compensation is paid in monthly installments (i.e., the Cash Compensation for [__] will be</w:t>
      </w:r>
    </w:p>
    <w:p>
      <w:pPr>
        <w:spacing w:after="0" w:line="10" w:lineRule="exact"/>
        <w:rPr>
          <w:sz w:val="20"/>
          <w:szCs w:val="20"/>
          <w:color w:val="auto"/>
        </w:rPr>
      </w:pPr>
    </w:p>
    <w:p>
      <w:pPr>
        <w:ind w:left="1000" w:right="1100"/>
        <w:spacing w:after="0" w:line="260" w:lineRule="auto"/>
        <w:rPr>
          <w:sz w:val="20"/>
          <w:szCs w:val="20"/>
          <w:color w:val="auto"/>
        </w:rPr>
      </w:pPr>
      <w:r>
        <w:rPr>
          <w:rFonts w:ascii="Times New Roman" w:cs="Times New Roman" w:eastAsia="Times New Roman" w:hAnsi="Times New Roman"/>
          <w:sz w:val="17"/>
          <w:szCs w:val="17"/>
          <w:color w:val="auto"/>
        </w:rPr>
        <w:t>paid in twelve substantially equal monthly installments from January [__] to December [__]). Complete the following election if you wish to irrevocably elect to receive either (i) fully vested deferred RSUs or (ii) fully vested non-deferred Shares in lieu of the portion of your Cash Compensation that would otherwise be earned and payable to you during [__] in respect of your services to be rendered as a director during [__]. The number of fully vested deferred RSUs or fully vested non-deferred Shares that you receive pursuant to this election will be calculated and</w:t>
      </w:r>
    </w:p>
    <w:p>
      <w:pPr>
        <w:ind w:left="1000" w:right="1260"/>
        <w:spacing w:after="0" w:line="194" w:lineRule="auto"/>
        <w:rPr>
          <w:sz w:val="20"/>
          <w:szCs w:val="20"/>
          <w:color w:val="auto"/>
        </w:rPr>
      </w:pPr>
      <w:r>
        <w:rPr>
          <w:rFonts w:ascii="Times New Roman" w:cs="Times New Roman" w:eastAsia="Times New Roman" w:hAnsi="Times New Roman"/>
          <w:sz w:val="18"/>
          <w:szCs w:val="18"/>
          <w:color w:val="auto"/>
        </w:rPr>
        <w:t>granted to you on [__] based on the Fair Market Value of the Company’s Shares as of such da te.</w:t>
      </w:r>
    </w:p>
    <w:p>
      <w:pPr>
        <w:spacing w:after="0" w:line="63" w:lineRule="exact"/>
        <w:rPr>
          <w:sz w:val="20"/>
          <w:szCs w:val="20"/>
          <w:color w:val="auto"/>
        </w:rPr>
      </w:pPr>
    </w:p>
    <w:p>
      <w:pPr>
        <w:jc w:val="both"/>
        <w:ind w:left="1000" w:right="92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**If you do not elect to receive fully vested deferred RSUs or fully vested non-deferred Shares in lieu of your [__ ] Cash Compensation, then your Cash Compensation for [__] will continue to be paid in cash on the regularly scheduled payment dates.</w:t>
      </w:r>
    </w:p>
    <w:p>
      <w:pPr>
        <w:spacing w:after="0" w:line="237" w:lineRule="exact"/>
        <w:rPr>
          <w:sz w:val="20"/>
          <w:szCs w:val="20"/>
          <w:color w:val="auto"/>
        </w:rPr>
      </w:pPr>
    </w:p>
    <w:p>
      <w:pPr>
        <w:ind w:left="760" w:right="740"/>
        <w:spacing w:after="0" w:line="273" w:lineRule="auto"/>
        <w:rPr>
          <w:sz w:val="20"/>
          <w:szCs w:val="20"/>
          <w:color w:val="auto"/>
        </w:rPr>
      </w:pPr>
      <w:r>
        <w:rPr>
          <w:rFonts w:ascii="Times New Roman" w:cs="Times New Roman" w:eastAsia="Times New Roman" w:hAnsi="Times New Roman"/>
          <w:sz w:val="18"/>
          <w:szCs w:val="18"/>
          <w:b w:val="1"/>
          <w:bCs w:val="1"/>
          <w:color w:val="auto"/>
        </w:rPr>
        <w:t>Irrevocable Election to Receive Fully Vested Deferred RSUs or Fully Vested Non-Deferred Shares in Lieu of [__] Cash Compensation (check only one of the boxes below):</w:t>
      </w:r>
    </w:p>
    <w:p>
      <w:pPr>
        <w:spacing w:after="0" w:line="169" w:lineRule="exact"/>
        <w:rPr>
          <w:sz w:val="20"/>
          <w:szCs w:val="20"/>
          <w:color w:val="auto"/>
        </w:rPr>
      </w:pPr>
    </w:p>
    <w:p>
      <w:pPr>
        <w:ind w:left="1840" w:right="840" w:hanging="381"/>
        <w:spacing w:after="0" w:line="268"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non-deferred Shares on the date set forth above.</w:t>
      </w:r>
    </w:p>
    <w:p>
      <w:pPr>
        <w:spacing w:after="0" w:line="161" w:lineRule="exact"/>
        <w:rPr>
          <w:rFonts w:ascii="MS PGothic" w:cs="MS PGothic" w:eastAsia="MS PGothic" w:hAnsi="MS PGothic"/>
          <w:sz w:val="18"/>
          <w:szCs w:val="18"/>
          <w:color w:val="auto"/>
        </w:rPr>
      </w:pPr>
    </w:p>
    <w:p>
      <w:pPr>
        <w:ind w:left="1840" w:right="840" w:hanging="381"/>
        <w:spacing w:after="0" w:line="266"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RSUs which provide for distribution of their underlying Shares on the date of my separation from service from the Board.</w:t>
      </w:r>
    </w:p>
    <w:p>
      <w:pPr>
        <w:spacing w:after="0" w:line="164" w:lineRule="exact"/>
        <w:rPr>
          <w:rFonts w:ascii="MS PGothic" w:cs="MS PGothic" w:eastAsia="MS PGothic" w:hAnsi="MS PGothic"/>
          <w:sz w:val="18"/>
          <w:szCs w:val="18"/>
          <w:color w:val="auto"/>
        </w:rPr>
      </w:pPr>
    </w:p>
    <w:p>
      <w:pPr>
        <w:ind w:left="1840" w:right="840" w:hanging="381"/>
        <w:spacing w:after="0" w:line="268"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RSUs which provide for distribution of their underlying Shares on [__].</w:t>
      </w:r>
    </w:p>
    <w:p>
      <w:pPr>
        <w:spacing w:after="0" w:line="173" w:lineRule="exact"/>
        <w:rPr>
          <w:rFonts w:ascii="MS PGothic" w:cs="MS PGothic" w:eastAsia="MS PGothic" w:hAnsi="MS PGothic"/>
          <w:sz w:val="18"/>
          <w:szCs w:val="18"/>
          <w:color w:val="auto"/>
        </w:rPr>
      </w:pPr>
    </w:p>
    <w:p>
      <w:pPr>
        <w:ind w:left="1840" w:right="840" w:hanging="381"/>
        <w:spacing w:after="0" w:line="268"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RSUs which provide for distribution of their underlying Shares on [__].</w:t>
      </w:r>
    </w:p>
    <w:p>
      <w:pPr>
        <w:spacing w:after="0" w:line="161" w:lineRule="exact"/>
        <w:rPr>
          <w:rFonts w:ascii="MS PGothic" w:cs="MS PGothic" w:eastAsia="MS PGothic" w:hAnsi="MS PGothic"/>
          <w:sz w:val="18"/>
          <w:szCs w:val="18"/>
          <w:color w:val="auto"/>
        </w:rPr>
      </w:pPr>
    </w:p>
    <w:p>
      <w:pPr>
        <w:ind w:left="1840" w:right="840" w:hanging="381"/>
        <w:spacing w:after="0" w:line="266"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RSUs which provide for distribution of their underlying Shares on th</w:t>
      </w:r>
      <w:r>
        <w:rPr>
          <w:rFonts w:ascii="Times New Roman" w:cs="Times New Roman" w:eastAsia="Times New Roman" w:hAnsi="Times New Roman"/>
          <w:sz w:val="18"/>
          <w:szCs w:val="18"/>
          <w:b w:val="1"/>
          <w:bCs w:val="1"/>
          <w:u w:val="single" w:color="auto"/>
          <w:color w:val="auto"/>
        </w:rPr>
        <w:t>earlier</w:t>
      </w:r>
      <w:r>
        <w:rPr>
          <w:rFonts w:ascii="Times New Roman" w:cs="Times New Roman" w:eastAsia="Times New Roman" w:hAnsi="Times New Roman"/>
          <w:sz w:val="18"/>
          <w:szCs w:val="18"/>
          <w:color w:val="auto"/>
        </w:rPr>
        <w:t xml:space="preserve"> of (i) the date of my separation from service from the Board or (ii) [__].</w:t>
      </w:r>
    </w:p>
    <w:p>
      <w:pPr>
        <w:spacing w:after="0" w:line="164" w:lineRule="exact"/>
        <w:rPr>
          <w:rFonts w:ascii="MS PGothic" w:cs="MS PGothic" w:eastAsia="MS PGothic" w:hAnsi="MS PGothic"/>
          <w:sz w:val="18"/>
          <w:szCs w:val="18"/>
          <w:color w:val="auto"/>
        </w:rPr>
      </w:pPr>
    </w:p>
    <w:p>
      <w:pPr>
        <w:ind w:left="1840" w:right="840" w:hanging="381"/>
        <w:spacing w:after="0" w:line="259" w:lineRule="auto"/>
        <w:tabs>
          <w:tab w:leader="none" w:pos="1840"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lieu of my [__] Cash Compensation, I hereby irrevocably elect to receive fully vested RSUs which provide for distribution of their underlying Shares on th</w:t>
      </w:r>
      <w:r>
        <w:rPr>
          <w:rFonts w:ascii="Times New Roman" w:cs="Times New Roman" w:eastAsia="Times New Roman" w:hAnsi="Times New Roman"/>
          <w:sz w:val="18"/>
          <w:szCs w:val="18"/>
          <w:b w:val="1"/>
          <w:bCs w:val="1"/>
          <w:u w:val="single" w:color="auto"/>
          <w:color w:val="auto"/>
        </w:rPr>
        <w:t>earlier</w:t>
      </w:r>
      <w:r>
        <w:rPr>
          <w:rFonts w:ascii="Times New Roman" w:cs="Times New Roman" w:eastAsia="Times New Roman" w:hAnsi="Times New Roman"/>
          <w:sz w:val="18"/>
          <w:szCs w:val="18"/>
          <w:color w:val="auto"/>
        </w:rPr>
        <w:t xml:space="preserve"> of (i) the date of my separation from service from the Board or (ii) [__].</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40" w:right="880" w:hanging="381"/>
        <w:spacing w:after="0" w:line="273" w:lineRule="auto"/>
        <w:tabs>
          <w:tab w:leader="none" w:pos="1840" w:val="left"/>
        </w:tabs>
        <w:numPr>
          <w:ilvl w:val="1"/>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I do not wish to make an election to receive fully vested deferred RSUs or fully vested non-deferred Shares in lieu of my [__] Cash Compensation.</w:t>
      </w:r>
    </w:p>
    <w:p>
      <w:pPr>
        <w:spacing w:after="0" w:line="200" w:lineRule="exact"/>
        <w:rPr>
          <w:rFonts w:ascii="MS PGothic" w:cs="MS PGothic" w:eastAsia="MS PGothic" w:hAnsi="MS PGothic"/>
          <w:sz w:val="18"/>
          <w:szCs w:val="18"/>
          <w:color w:val="auto"/>
        </w:rPr>
      </w:pPr>
    </w:p>
    <w:p>
      <w:pPr>
        <w:spacing w:after="0" w:line="205" w:lineRule="exact"/>
        <w:rPr>
          <w:rFonts w:ascii="MS PGothic" w:cs="MS PGothic" w:eastAsia="MS PGothic" w:hAnsi="MS PGothic"/>
          <w:sz w:val="18"/>
          <w:szCs w:val="18"/>
          <w:color w:val="auto"/>
        </w:rPr>
      </w:pPr>
    </w:p>
    <w:p>
      <w:pPr>
        <w:ind w:left="1080" w:hanging="234"/>
        <w:spacing w:after="0"/>
        <w:tabs>
          <w:tab w:leader="none" w:pos="10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Acknowledgements Regarding Elections</w:t>
      </w:r>
    </w:p>
    <w:p>
      <w:pPr>
        <w:spacing w:after="0" w:line="213" w:lineRule="exact"/>
        <w:rPr>
          <w:sz w:val="20"/>
          <w:szCs w:val="20"/>
          <w:color w:val="auto"/>
        </w:rPr>
      </w:pPr>
    </w:p>
    <w:p>
      <w:pPr>
        <w:ind w:left="840" w:right="1160"/>
        <w:spacing w:after="0" w:line="261" w:lineRule="auto"/>
        <w:rPr>
          <w:sz w:val="20"/>
          <w:szCs w:val="20"/>
          <w:color w:val="auto"/>
        </w:rPr>
      </w:pPr>
      <w:r>
        <w:rPr>
          <w:rFonts w:ascii="Times New Roman" w:cs="Times New Roman" w:eastAsia="Times New Roman" w:hAnsi="Times New Roman"/>
          <w:sz w:val="18"/>
          <w:szCs w:val="18"/>
          <w:b w:val="1"/>
          <w:bCs w:val="1"/>
          <w:color w:val="auto"/>
        </w:rPr>
        <w:t>If you are making elections with respect to your [ __] RSUs and/or [__] Cash Compensation, you hereby acknowledge the following additional terms and conditions applicable to any deferred RSUs or non-deferred Shares:</w:t>
      </w:r>
    </w:p>
    <w:p>
      <w:pPr>
        <w:spacing w:after="0" w:line="241" w:lineRule="exact"/>
        <w:rPr>
          <w:sz w:val="20"/>
          <w:szCs w:val="20"/>
          <w:color w:val="auto"/>
        </w:rPr>
      </w:pPr>
    </w:p>
    <w:p>
      <w:pPr>
        <w:ind w:left="1340" w:right="680"/>
        <w:spacing w:after="0" w:line="259" w:lineRule="auto"/>
        <w:rPr>
          <w:sz w:val="20"/>
          <w:szCs w:val="20"/>
          <w:color w:val="auto"/>
        </w:rPr>
      </w:pPr>
      <w:r>
        <w:rPr>
          <w:rFonts w:ascii="Times New Roman" w:cs="Times New Roman" w:eastAsia="Times New Roman" w:hAnsi="Times New Roman"/>
          <w:sz w:val="18"/>
          <w:szCs w:val="18"/>
          <w:color w:val="auto"/>
        </w:rPr>
        <w:t>Irrespective of any deferral election made with respect to the regular [__] RSU grants pursuant to Section B of this election form, any such [__] RSU grants will remain subject to the vesting and corresponding forfeiture terms set forth in the Plan and the relevant award agreement.</w:t>
      </w:r>
    </w:p>
    <w:p>
      <w:pPr>
        <w:spacing w:after="0" w:line="170" w:lineRule="exact"/>
        <w:rPr>
          <w:sz w:val="20"/>
          <w:szCs w:val="20"/>
          <w:color w:val="auto"/>
        </w:rPr>
      </w:pPr>
    </w:p>
    <w:p>
      <w:pPr>
        <w:ind w:left="1340" w:right="780"/>
        <w:spacing w:after="0" w:line="256" w:lineRule="auto"/>
        <w:rPr>
          <w:sz w:val="20"/>
          <w:szCs w:val="20"/>
          <w:color w:val="auto"/>
        </w:rPr>
      </w:pPr>
      <w:r>
        <w:rPr>
          <w:rFonts w:ascii="Times New Roman" w:cs="Times New Roman" w:eastAsia="Times New Roman" w:hAnsi="Times New Roman"/>
          <w:sz w:val="18"/>
          <w:szCs w:val="18"/>
          <w:color w:val="auto"/>
        </w:rPr>
        <w:t>The distribution of Shares underlying any deferred RSUs subject to deferral elections under Sections B or C of this election form will be accelerated upon the occurrence of a Change in Control (irrespective of whether or not you experience a separation from service following such Change in Control) or upon the occurrence of the director’s death or Disability.</w:t>
      </w:r>
    </w:p>
    <w:p>
      <w:pPr>
        <w:spacing w:after="0" w:line="173" w:lineRule="exact"/>
        <w:rPr>
          <w:sz w:val="20"/>
          <w:szCs w:val="20"/>
          <w:color w:val="auto"/>
        </w:rPr>
      </w:pPr>
    </w:p>
    <w:p>
      <w:pPr>
        <w:ind w:left="1340" w:right="760"/>
        <w:spacing w:after="0" w:line="313" w:lineRule="auto"/>
        <w:rPr>
          <w:sz w:val="20"/>
          <w:szCs w:val="20"/>
          <w:color w:val="auto"/>
        </w:rPr>
      </w:pPr>
      <w:r>
        <w:rPr>
          <w:rFonts w:ascii="Times New Roman" w:cs="Times New Roman" w:eastAsia="Times New Roman" w:hAnsi="Times New Roman"/>
          <w:sz w:val="17"/>
          <w:szCs w:val="17"/>
          <w:color w:val="auto"/>
        </w:rPr>
        <w:t>This deferral election and/or stock election relates solely to RSUs and Cash Compensation scheduled to be granted or paid in [__], and will not affect RSUs or Cash Compensation granted</w:t>
      </w:r>
    </w:p>
    <w:p>
      <w:pPr>
        <w:sectPr>
          <w:pgSz w:w="11900" w:h="16840" w:orient="portrait"/>
          <w:cols w:equalWidth="0" w:num="1">
            <w:col w:w="9020"/>
          </w:cols>
          <w:pgMar w:left="1440" w:top="689" w:right="1440" w:bottom="108" w:gutter="0" w:footer="0" w:header="0"/>
        </w:sectPr>
      </w:pPr>
    </w:p>
    <w:bookmarkStart w:id="212" w:name="page213"/>
    <w:bookmarkEnd w:id="212"/>
    <w:p>
      <w:pPr>
        <w:ind w:left="1340"/>
        <w:spacing w:after="0"/>
        <w:rPr>
          <w:sz w:val="20"/>
          <w:szCs w:val="20"/>
          <w:color w:val="auto"/>
        </w:rPr>
      </w:pPr>
      <w:r>
        <w:rPr>
          <w:rFonts w:ascii="Times New Roman" w:cs="Times New Roman" w:eastAsia="Times New Roman" w:hAnsi="Times New Roman"/>
          <w:sz w:val="18"/>
          <w:szCs w:val="18"/>
          <w:color w:val="auto"/>
        </w:rPr>
        <w:t>or paid in earlier or later calendar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-123190</wp:posOffset>
            </wp:positionV>
            <wp:extent cx="6707505" cy="4359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6707505" cy="4359910"/>
                    </a:xfrm>
                    <a:prstGeom prst="rect">
                      <a:avLst/>
                    </a:prstGeom>
                    <a:noFill/>
                  </pic:spPr>
                </pic:pic>
              </a:graphicData>
            </a:graphic>
          </wp:anchor>
        </w:drawing>
      </w:r>
    </w:p>
    <w:p>
      <w:pPr>
        <w:spacing w:after="0" w:line="9" w:lineRule="exact"/>
        <w:rPr>
          <w:sz w:val="20"/>
          <w:szCs w:val="20"/>
          <w:color w:val="auto"/>
        </w:rPr>
      </w:pPr>
    </w:p>
    <w:p>
      <w:pPr>
        <w:ind w:left="1340" w:right="620"/>
        <w:spacing w:after="0" w:line="251" w:lineRule="auto"/>
        <w:rPr>
          <w:sz w:val="20"/>
          <w:szCs w:val="20"/>
          <w:color w:val="auto"/>
        </w:rPr>
      </w:pPr>
      <w:r>
        <w:rPr>
          <w:rFonts w:ascii="Times New Roman" w:cs="Times New Roman" w:eastAsia="Times New Roman" w:hAnsi="Times New Roman"/>
          <w:sz w:val="18"/>
          <w:szCs w:val="18"/>
          <w:color w:val="auto"/>
        </w:rPr>
        <w:t>In the event that the Company pays any cash dividends on Shares while you hold deferre</w:t>
      </w:r>
      <w:r>
        <w:rPr>
          <w:rFonts w:ascii="Times New Roman" w:cs="Times New Roman" w:eastAsia="Times New Roman" w:hAnsi="Times New Roman"/>
          <w:sz w:val="18"/>
          <w:szCs w:val="18"/>
          <w:b w:val="1"/>
          <w:bCs w:val="1"/>
          <w:u w:val="single" w:color="auto"/>
          <w:color w:val="auto"/>
        </w:rPr>
        <w:t>vested</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RSUs that have not yet been settled in Shares (i.e., more than one year after the grant date in the case of RSUs deferred pursuant to Section B or at any time following the grant date, in the case of RSUs deferred pursuant to Section C), then you shall receive payment in cash of an amount equal to the dividends that would have been payable with respect to the Shares underlying your RSUs if such Shares had been outstanding, with such cash amounts to be paid to you within 30 days of the applicable dividend payment date.</w:t>
      </w:r>
    </w:p>
    <w:p>
      <w:pPr>
        <w:spacing w:after="0" w:line="200" w:lineRule="exact"/>
        <w:rPr>
          <w:sz w:val="20"/>
          <w:szCs w:val="20"/>
          <w:color w:val="auto"/>
        </w:rPr>
      </w:pP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E. Signature</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Signature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________________________</w:t>
      </w: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Receipt is hereby acknowledged:</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_________________________________________</w:t>
      </w:r>
    </w:p>
    <w:p>
      <w:pPr>
        <w:spacing w:after="0" w:line="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________________________</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40" w:orient="portrait"/>
          <w:cols w:equalWidth="0" w:num="1">
            <w:col w:w="9020"/>
          </w:cols>
          <w:pgMar w:left="1440" w:top="557" w:right="1440" w:bottom="1440" w:gutter="0" w:footer="0" w:header="0"/>
        </w:sectPr>
      </w:pPr>
    </w:p>
    <w:bookmarkStart w:id="213" w:name="page214"/>
    <w:bookmarkEnd w:id="213"/>
    <w:p>
      <w:pPr>
        <w:jc w:val="right"/>
        <w:ind w:right="78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t>Exhibit 19.1</w:t>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The Carlyle Group Policies and Procedures Regarding</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Material, Non-Public Information and the Prevention of Insider Trading</w:t>
      </w:r>
    </w:p>
    <w:p>
      <w:pPr>
        <w:spacing w:after="0" w:line="216" w:lineRule="exact"/>
        <w:rPr>
          <w:sz w:val="20"/>
          <w:szCs w:val="20"/>
          <w:color w:val="auto"/>
        </w:rPr>
      </w:pPr>
    </w:p>
    <w:p>
      <w:pPr>
        <w:ind w:left="760" w:right="1220"/>
        <w:spacing w:after="0" w:line="286" w:lineRule="auto"/>
        <w:rPr>
          <w:sz w:val="20"/>
          <w:szCs w:val="20"/>
          <w:color w:val="auto"/>
        </w:rPr>
      </w:pPr>
      <w:r>
        <w:rPr>
          <w:rFonts w:ascii="Times New Roman" w:cs="Times New Roman" w:eastAsia="Times New Roman" w:hAnsi="Times New Roman"/>
          <w:sz w:val="19"/>
          <w:szCs w:val="19"/>
          <w:color w:val="auto"/>
        </w:rPr>
        <w:t>Carlyle has implemented policies and procedures (the “</w:t>
      </w:r>
      <w:r>
        <w:rPr>
          <w:rFonts w:ascii="Times New Roman" w:cs="Times New Roman" w:eastAsia="Times New Roman" w:hAnsi="Times New Roman"/>
          <w:sz w:val="19"/>
          <w:szCs w:val="19"/>
          <w:u w:val="single" w:color="auto"/>
          <w:color w:val="auto"/>
        </w:rPr>
        <w:t>Insider Trading Policy</w:t>
      </w:r>
      <w:r>
        <w:rPr>
          <w:rFonts w:ascii="Times New Roman" w:cs="Times New Roman" w:eastAsia="Times New Roman" w:hAnsi="Times New Roman"/>
          <w:sz w:val="19"/>
          <w:szCs w:val="19"/>
          <w:color w:val="auto"/>
        </w:rPr>
        <w:t>”) intended to prevent the misuse of material, non-public information.</w:t>
      </w:r>
    </w:p>
    <w:p>
      <w:pPr>
        <w:spacing w:after="0" w:line="173" w:lineRule="exact"/>
        <w:rPr>
          <w:sz w:val="20"/>
          <w:szCs w:val="20"/>
          <w:color w:val="auto"/>
        </w:rPr>
      </w:pPr>
    </w:p>
    <w:p>
      <w:pPr>
        <w:ind w:left="1200" w:right="780" w:hanging="438"/>
        <w:spacing w:after="0" w:line="259" w:lineRule="auto"/>
        <w:tabs>
          <w:tab w:leader="none" w:pos="12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Insider Trading Generally. </w:t>
      </w:r>
      <w:r>
        <w:rPr>
          <w:rFonts w:ascii="Times New Roman" w:cs="Times New Roman" w:eastAsia="Times New Roman" w:hAnsi="Times New Roman"/>
          <w:sz w:val="19"/>
          <w:szCs w:val="19"/>
          <w:color w:val="auto"/>
        </w:rPr>
        <w:t>“Insider trading” occurs when any person purchases or sells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security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stock, bonds, etc.) while aware of material, non-public information relating to the security or issuer of such security. Generally, material, non-public information is information that a reasonable investor would consider important in making a decision to buy, sell, or hold a security that is not available to the general public. Information regarding Carlyle fund or account investment holdings or recommendations often is material, non-public information.</w:t>
      </w:r>
    </w:p>
    <w:p>
      <w:pPr>
        <w:spacing w:after="0" w:line="150" w:lineRule="exact"/>
        <w:rPr>
          <w:sz w:val="20"/>
          <w:szCs w:val="20"/>
          <w:color w:val="auto"/>
        </w:rPr>
      </w:pPr>
    </w:p>
    <w:p>
      <w:pPr>
        <w:ind w:left="760"/>
        <w:spacing w:after="0"/>
        <w:tabs>
          <w:tab w:leader="none" w:pos="1180" w:val="left"/>
          <w:tab w:leader="none" w:pos="700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b w:val="1"/>
          <w:bCs w:val="1"/>
          <w:color w:val="auto"/>
        </w:rPr>
        <w:t>Prohibition on the Abuse of Material, Non-Public Information.</w:t>
      </w:r>
      <w:r>
        <w:rPr>
          <w:sz w:val="20"/>
          <w:szCs w:val="20"/>
          <w:color w:val="auto"/>
        </w:rPr>
        <w:tab/>
      </w:r>
      <w:r>
        <w:rPr>
          <w:rFonts w:ascii="Times New Roman" w:cs="Times New Roman" w:eastAsia="Times New Roman" w:hAnsi="Times New Roman"/>
          <w:sz w:val="19"/>
          <w:szCs w:val="19"/>
          <w:color w:val="auto"/>
        </w:rPr>
        <w:t>Carlyle strictly</w:t>
      </w:r>
    </w:p>
    <w:p>
      <w:pPr>
        <w:spacing w:after="0" w:line="34" w:lineRule="exact"/>
        <w:rPr>
          <w:sz w:val="20"/>
          <w:szCs w:val="20"/>
          <w:color w:val="auto"/>
        </w:rPr>
      </w:pPr>
    </w:p>
    <w:p>
      <w:pPr>
        <w:ind w:left="1200" w:right="820"/>
        <w:spacing w:after="0" w:line="256" w:lineRule="auto"/>
        <w:rPr>
          <w:sz w:val="20"/>
          <w:szCs w:val="20"/>
          <w:color w:val="auto"/>
        </w:rPr>
      </w:pPr>
      <w:r>
        <w:rPr>
          <w:rFonts w:ascii="Times New Roman" w:cs="Times New Roman" w:eastAsia="Times New Roman" w:hAnsi="Times New Roman"/>
          <w:sz w:val="19"/>
          <w:szCs w:val="19"/>
          <w:color w:val="auto"/>
        </w:rPr>
        <w:t xml:space="preserve">prohibits personnel (and their spouse, minor children, and other immediate family household members) from transacting in publicly traded securities while aware of material, non-public information about that security, or from tipping (directly or indirectly) material, non-public information. Insider trading can result in significant legal penalties and also sanctions by Carlyle, including termination of employment. </w:t>
      </w:r>
      <w:r>
        <w:rPr>
          <w:rFonts w:ascii="Times New Roman" w:cs="Times New Roman" w:eastAsia="Times New Roman" w:hAnsi="Times New Roman"/>
          <w:sz w:val="19"/>
          <w:szCs w:val="19"/>
          <w:b w:val="1"/>
          <w:bCs w:val="1"/>
          <w:u w:val="single" w:color="auto"/>
          <w:color w:val="auto"/>
        </w:rPr>
        <w:t>When in doubt, do not trade</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1200" w:hanging="438"/>
        <w:spacing w:after="0"/>
        <w:tabs>
          <w:tab w:leader="none" w:pos="12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Procedures Designed to Prevent Insider Trading.</w:t>
      </w:r>
    </w:p>
    <w:p>
      <w:pPr>
        <w:spacing w:after="0" w:line="201" w:lineRule="exact"/>
        <w:rPr>
          <w:sz w:val="20"/>
          <w:szCs w:val="20"/>
          <w:color w:val="auto"/>
        </w:rPr>
      </w:pPr>
    </w:p>
    <w:p>
      <w:pPr>
        <w:ind w:left="1480" w:right="780" w:hanging="279"/>
        <w:spacing w:after="0" w:line="253" w:lineRule="auto"/>
        <w:tabs>
          <w:tab w:leader="none" w:pos="1460" w:val="left"/>
        </w:tabs>
        <w:rPr>
          <w:sz w:val="20"/>
          <w:szCs w:val="20"/>
          <w:color w:val="auto"/>
        </w:rPr>
      </w:pPr>
      <w:r>
        <w:rPr>
          <w:rFonts w:ascii="Courier New" w:cs="Courier New" w:eastAsia="Courier New" w:hAnsi="Courier New"/>
          <w:sz w:val="19"/>
          <w:szCs w:val="19"/>
          <w:color w:val="auto"/>
        </w:rPr>
        <w:t>o</w:t>
      </w:r>
      <w:r>
        <w:rPr>
          <w:sz w:val="20"/>
          <w:szCs w:val="20"/>
          <w:color w:val="auto"/>
        </w:rPr>
        <w:tab/>
      </w:r>
      <w:r>
        <w:rPr>
          <w:rFonts w:ascii="Times New Roman" w:cs="Times New Roman" w:eastAsia="Times New Roman" w:hAnsi="Times New Roman"/>
          <w:sz w:val="19"/>
          <w:szCs w:val="19"/>
          <w:u w:val="single" w:color="auto"/>
          <w:color w:val="auto"/>
        </w:rPr>
        <w:t>Restricted Trading Lists</w:t>
      </w:r>
      <w:r>
        <w:rPr>
          <w:rFonts w:ascii="Times New Roman" w:cs="Times New Roman" w:eastAsia="Times New Roman" w:hAnsi="Times New Roman"/>
          <w:sz w:val="19"/>
          <w:szCs w:val="19"/>
          <w:color w:val="auto"/>
        </w:rPr>
        <w:t xml:space="preserve"> . Carlyle maintains various lists of restricted issuers or securities that are applicable to Carlyle personnel and funds or accounts. Carlyle personnel must immediately contact the Global Chief Compliance Officer or another member of the Legal and Compliance team if they become aware of material, non-public information about a company with publicly traded debt or equity (including in connection with signing an NDA or an initial public offering by a portfolio company). It may be necessary for Carlyle to add the company to one of the restricted lists. Relatedly, Carlyle personnel generally cannot (without pre- approval) effect a trade for a Carlyle fund or account with respect to securities identified on an applicable restricted trading list.</w:t>
      </w:r>
    </w:p>
    <w:p>
      <w:pPr>
        <w:spacing w:after="0" w:line="228" w:lineRule="exact"/>
        <w:rPr>
          <w:sz w:val="20"/>
          <w:szCs w:val="20"/>
          <w:color w:val="auto"/>
        </w:rPr>
      </w:pPr>
    </w:p>
    <w:p>
      <w:pPr>
        <w:ind w:left="1480" w:right="940" w:hanging="285"/>
        <w:spacing w:after="0" w:line="258" w:lineRule="auto"/>
        <w:tabs>
          <w:tab w:leader="none" w:pos="1480" w:val="left"/>
        </w:tabs>
        <w:numPr>
          <w:ilvl w:val="0"/>
          <w:numId w:val="86"/>
        </w:numPr>
        <w:rPr>
          <w:rFonts w:ascii="Courier New" w:cs="Courier New" w:eastAsia="Courier New" w:hAnsi="Courier New"/>
          <w:sz w:val="19"/>
          <w:szCs w:val="19"/>
          <w:color w:val="auto"/>
        </w:rPr>
      </w:pPr>
      <w:r>
        <w:rPr>
          <w:rFonts w:ascii="Times New Roman" w:cs="Times New Roman" w:eastAsia="Times New Roman" w:hAnsi="Times New Roman"/>
          <w:sz w:val="19"/>
          <w:szCs w:val="19"/>
          <w:u w:val="single" w:color="auto"/>
          <w:color w:val="auto"/>
        </w:rPr>
        <w:t>Personal Trading</w:t>
      </w:r>
      <w:r>
        <w:rPr>
          <w:rFonts w:ascii="Times New Roman" w:cs="Times New Roman" w:eastAsia="Times New Roman" w:hAnsi="Times New Roman"/>
          <w:sz w:val="19"/>
          <w:szCs w:val="19"/>
          <w:color w:val="auto"/>
        </w:rPr>
        <w:t xml:space="preserve">. Carlyle personnel are required to pre-clear personal trades in public securities of a particular company (including debt and equity, and including tradeable Carlyle securities,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tickers CG, CGABL, CGBD, and CCIF) via Carlyle’s compliance system. Carlyle personnel (and their spouses, minor children of other immediate family household members) are generally prohibited from:</w:t>
      </w:r>
    </w:p>
    <w:p>
      <w:pPr>
        <w:spacing w:after="0" w:line="201" w:lineRule="exact"/>
        <w:rPr>
          <w:sz w:val="20"/>
          <w:szCs w:val="20"/>
          <w:color w:val="auto"/>
        </w:rPr>
      </w:pPr>
    </w:p>
    <w:p>
      <w:pPr>
        <w:ind w:left="1780" w:right="800"/>
        <w:spacing w:after="0" w:line="256" w:lineRule="auto"/>
        <w:rPr>
          <w:sz w:val="20"/>
          <w:szCs w:val="20"/>
          <w:color w:val="auto"/>
        </w:rPr>
      </w:pPr>
      <w:r>
        <w:rPr>
          <w:rFonts w:ascii="Times New Roman" w:cs="Times New Roman" w:eastAsia="Times New Roman" w:hAnsi="Times New Roman"/>
          <w:sz w:val="19"/>
          <w:szCs w:val="19"/>
          <w:color w:val="auto"/>
        </w:rPr>
        <w:t>trading securities (</w:t>
      </w:r>
      <w:r>
        <w:rPr>
          <w:rFonts w:ascii="Times New Roman" w:cs="Times New Roman" w:eastAsia="Times New Roman" w:hAnsi="Times New Roman"/>
          <w:sz w:val="19"/>
          <w:szCs w:val="19"/>
          <w:u w:val="single" w:color="auto"/>
          <w:color w:val="auto"/>
        </w:rPr>
        <w:t>including those of a Carlyle portfolio company</w:t>
      </w:r>
      <w:r>
        <w:rPr>
          <w:rFonts w:ascii="Times New Roman" w:cs="Times New Roman" w:eastAsia="Times New Roman" w:hAnsi="Times New Roman"/>
          <w:sz w:val="19"/>
          <w:szCs w:val="19"/>
          <w:color w:val="auto"/>
        </w:rPr>
        <w:t xml:space="preserve"> ) identified on the Carlyle Personnel Restricted Trading List;</w:t>
      </w:r>
    </w:p>
    <w:p>
      <w:pPr>
        <w:spacing w:after="0" w:line="1" w:lineRule="exact"/>
        <w:rPr>
          <w:sz w:val="20"/>
          <w:szCs w:val="20"/>
          <w:color w:val="auto"/>
        </w:rPr>
      </w:pPr>
    </w:p>
    <w:p>
      <w:pPr>
        <w:ind w:left="1780" w:right="1000"/>
        <w:spacing w:after="0" w:line="274" w:lineRule="auto"/>
        <w:rPr>
          <w:sz w:val="20"/>
          <w:szCs w:val="20"/>
          <w:color w:val="auto"/>
        </w:rPr>
      </w:pPr>
      <w:r>
        <w:rPr>
          <w:rFonts w:ascii="Times New Roman" w:cs="Times New Roman" w:eastAsia="Times New Roman" w:hAnsi="Times New Roman"/>
          <w:sz w:val="19"/>
          <w:szCs w:val="19"/>
          <w:color w:val="auto"/>
        </w:rPr>
        <w:t xml:space="preserve">trading Carlyle securities (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tickers CG, CGABL, CGBD and CCIF) during a closed trading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80" w:right="980"/>
        <w:spacing w:after="0" w:line="256" w:lineRule="auto"/>
        <w:rPr>
          <w:sz w:val="20"/>
          <w:szCs w:val="20"/>
          <w:color w:val="auto"/>
        </w:rPr>
      </w:pPr>
      <w:r>
        <w:rPr>
          <w:rFonts w:ascii="Times New Roman" w:cs="Times New Roman" w:eastAsia="Times New Roman" w:hAnsi="Times New Roman"/>
          <w:sz w:val="19"/>
          <w:szCs w:val="19"/>
          <w:color w:val="auto"/>
        </w:rPr>
        <w:t>purchasing and selling or selling and purchasing the same or equivalent securities (of a particular company) within any 60-calendar day period; and</w:t>
      </w:r>
    </w:p>
    <w:p>
      <w:pPr>
        <w:spacing w:after="0" w:line="1" w:lineRule="exact"/>
        <w:rPr>
          <w:sz w:val="20"/>
          <w:szCs w:val="20"/>
          <w:color w:val="auto"/>
        </w:rPr>
      </w:pPr>
    </w:p>
    <w:p>
      <w:pPr>
        <w:ind w:left="1780" w:right="820"/>
        <w:spacing w:after="0" w:line="255" w:lineRule="auto"/>
        <w:rPr>
          <w:sz w:val="20"/>
          <w:szCs w:val="20"/>
          <w:color w:val="auto"/>
        </w:rPr>
      </w:pPr>
      <w:r>
        <w:rPr>
          <w:rFonts w:ascii="Times New Roman" w:cs="Times New Roman" w:eastAsia="Times New Roman" w:hAnsi="Times New Roman"/>
          <w:sz w:val="19"/>
          <w:szCs w:val="19"/>
          <w:color w:val="auto"/>
        </w:rPr>
        <w:t>trading the securities of The Carlyle Group Inc., Carlyle Secured Lending, Inc. (f/k/ a TCG BDC, Inc.), or Carlyle Credit Income Fund in a manner not consistent with long-term investment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day trading, arbitrage trading, short sales, etc.).</w:t>
      </w:r>
    </w:p>
    <w:p>
      <w:pPr>
        <w:spacing w:after="0" w:line="205" w:lineRule="exact"/>
        <w:rPr>
          <w:sz w:val="20"/>
          <w:szCs w:val="20"/>
          <w:color w:val="auto"/>
        </w:rPr>
      </w:pPr>
    </w:p>
    <w:p>
      <w:pPr>
        <w:ind w:left="1480" w:hanging="285"/>
        <w:spacing w:after="0"/>
        <w:tabs>
          <w:tab w:leader="none" w:pos="1480" w:val="left"/>
        </w:tabs>
        <w:numPr>
          <w:ilvl w:val="0"/>
          <w:numId w:val="87"/>
        </w:numPr>
        <w:rPr>
          <w:rFonts w:ascii="Courier New" w:cs="Courier New" w:eastAsia="Courier New" w:hAnsi="Courier New"/>
          <w:sz w:val="19"/>
          <w:szCs w:val="19"/>
          <w:color w:val="auto"/>
        </w:rPr>
      </w:pPr>
      <w:r>
        <w:rPr>
          <w:rFonts w:ascii="Times New Roman" w:cs="Times New Roman" w:eastAsia="Times New Roman" w:hAnsi="Times New Roman"/>
          <w:sz w:val="19"/>
          <w:szCs w:val="19"/>
          <w:u w:val="single" w:color="auto"/>
          <w:color w:val="auto"/>
        </w:rPr>
        <w:t>Carlyle Securities Trading</w:t>
      </w:r>
      <w:r>
        <w:rPr>
          <w:rFonts w:ascii="Times New Roman" w:cs="Times New Roman" w:eastAsia="Times New Roman" w:hAnsi="Times New Roman"/>
          <w:sz w:val="19"/>
          <w:szCs w:val="19"/>
          <w:color w:val="auto"/>
        </w:rPr>
        <w:t>. Carlyle personnel may only trade securities of The Carlyle</w:t>
      </w:r>
    </w:p>
    <w:p>
      <w:pPr>
        <w:sectPr>
          <w:pgSz w:w="11900" w:h="16840" w:orient="portrait"/>
          <w:cols w:equalWidth="0" w:num="1">
            <w:col w:w="9020"/>
          </w:cols>
          <w:pgMar w:left="1440" w:top="1083" w:right="1440" w:bottom="204" w:gutter="0" w:footer="0" w:header="0"/>
        </w:sectPr>
      </w:pPr>
    </w:p>
    <w:bookmarkStart w:id="214" w:name="page215"/>
    <w:bookmarkEnd w:id="214"/>
    <w:p>
      <w:pPr>
        <w:ind w:left="1480"/>
        <w:spacing w:after="0"/>
        <w:rPr>
          <w:sz w:val="20"/>
          <w:szCs w:val="20"/>
          <w:color w:val="auto"/>
        </w:rPr>
      </w:pPr>
      <w:r>
        <w:rPr>
          <w:rFonts w:ascii="Times New Roman" w:cs="Times New Roman" w:eastAsia="Times New Roman" w:hAnsi="Times New Roman"/>
          <w:sz w:val="12"/>
          <w:szCs w:val="12"/>
          <w:color w:val="auto"/>
        </w:rPr>
        <w:t>Group</w:t>
      </w:r>
      <w:r>
        <w:rPr>
          <w:rFonts w:ascii="Times New Roman" w:cs="Times New Roman" w:eastAsia="Times New Roman" w:hAnsi="Times New Roman"/>
          <w:sz w:val="18"/>
          <w:szCs w:val="18"/>
          <w:color w:val="auto"/>
          <w:vertAlign w:val="subscript"/>
        </w:rPr>
        <w:t>approval</w:t>
      </w:r>
      <w:r>
        <w:rPr>
          <w:rFonts w:ascii="Times New Roman" w:cs="Times New Roman" w:eastAsia="Times New Roman" w:hAnsi="Times New Roman"/>
          <w:sz w:val="12"/>
          <w:szCs w:val="12"/>
          <w:color w:val="auto"/>
        </w:rPr>
        <w:t>Inc</w:t>
      </w:r>
      <w:r>
        <w:rPr>
          <w:rFonts w:ascii="Times New Roman" w:cs="Times New Roman" w:eastAsia="Times New Roman" w:hAnsi="Times New Roman"/>
          <w:sz w:val="18"/>
          <w:szCs w:val="18"/>
          <w:color w:val="auto"/>
          <w:vertAlign w:val="subscript"/>
        </w:rPr>
        <w:t>and</w:t>
      </w:r>
      <w:r>
        <w:rPr>
          <w:rFonts w:ascii="Times New Roman" w:cs="Times New Roman" w:eastAsia="Times New Roman" w:hAnsi="Times New Roman"/>
          <w:sz w:val="12"/>
          <w:szCs w:val="12"/>
          <w:color w:val="auto"/>
        </w:rPr>
        <w:t>.,Carlyle</w:t>
      </w:r>
      <w:r>
        <w:rPr>
          <w:rFonts w:ascii="Times New Roman" w:cs="Times New Roman" w:eastAsia="Times New Roman" w:hAnsi="Times New Roman"/>
          <w:sz w:val="18"/>
          <w:szCs w:val="18"/>
          <w:color w:val="auto"/>
          <w:vertAlign w:val="subscript"/>
        </w:rPr>
        <w:t>during</w:t>
      </w:r>
      <w:r>
        <w:rPr>
          <w:rFonts w:ascii="Times New Roman" w:cs="Times New Roman" w:eastAsia="Times New Roman" w:hAnsi="Times New Roman"/>
          <w:sz w:val="12"/>
          <w:szCs w:val="12"/>
          <w:color w:val="auto"/>
        </w:rPr>
        <w:t>Secured</w:t>
      </w:r>
      <w:r>
        <w:rPr>
          <w:rFonts w:ascii="Times New Roman" w:cs="Times New Roman" w:eastAsia="Times New Roman" w:hAnsi="Times New Roman"/>
          <w:sz w:val="18"/>
          <w:szCs w:val="18"/>
          <w:color w:val="auto"/>
          <w:vertAlign w:val="subscript"/>
        </w:rPr>
        <w:t>anopen</w:t>
      </w:r>
      <w:r>
        <w:rPr>
          <w:rFonts w:ascii="Times New Roman" w:cs="Times New Roman" w:eastAsia="Times New Roman" w:hAnsi="Times New Roman"/>
          <w:sz w:val="12"/>
          <w:szCs w:val="12"/>
          <w:color w:val="auto"/>
        </w:rPr>
        <w:t xml:space="preserve"> Lending,</w:t>
      </w:r>
      <w:r>
        <w:rPr>
          <w:rFonts w:ascii="Times New Roman" w:cs="Times New Roman" w:eastAsia="Times New Roman" w:hAnsi="Times New Roman"/>
          <w:sz w:val="18"/>
          <w:szCs w:val="18"/>
          <w:color w:val="auto"/>
          <w:vertAlign w:val="subscript"/>
        </w:rPr>
        <w:t>tradingwindow,</w:t>
      </w:r>
      <w:r>
        <w:rPr>
          <w:rFonts w:ascii="Times New Roman" w:cs="Times New Roman" w:eastAsia="Times New Roman" w:hAnsi="Times New Roman"/>
          <w:sz w:val="12"/>
          <w:szCs w:val="12"/>
          <w:color w:val="auto"/>
        </w:rPr>
        <w:t>Inc.,or Carlyle</w:t>
      </w:r>
      <w:r>
        <w:rPr>
          <w:rFonts w:ascii="Times New Roman" w:cs="Times New Roman" w:eastAsia="Times New Roman" w:hAnsi="Times New Roman"/>
          <w:sz w:val="18"/>
          <w:szCs w:val="18"/>
          <w:color w:val="auto"/>
          <w:vertAlign w:val="subscript"/>
        </w:rPr>
        <w:t>asapplicable</w:t>
      </w:r>
      <w:r>
        <w:rPr>
          <w:rFonts w:ascii="Times New Roman" w:cs="Times New Roman" w:eastAsia="Times New Roman" w:hAnsi="Times New Roman"/>
          <w:sz w:val="12"/>
          <w:szCs w:val="12"/>
          <w:color w:val="auto"/>
        </w:rPr>
        <w:t>Credit</w:t>
      </w:r>
      <w:r>
        <w:rPr>
          <w:rFonts w:ascii="Times New Roman" w:cs="Times New Roman" w:eastAsia="Times New Roman" w:hAnsi="Times New Roman"/>
          <w:sz w:val="18"/>
          <w:szCs w:val="18"/>
          <w:color w:val="auto"/>
          <w:vertAlign w:val="subscript"/>
        </w:rPr>
        <w:t>.</w:t>
      </w:r>
      <w:r>
        <w:rPr>
          <w:rFonts w:ascii="Times New Roman" w:cs="Times New Roman" w:eastAsia="Times New Roman" w:hAnsi="Times New Roman"/>
          <w:sz w:val="12"/>
          <w:szCs w:val="12"/>
          <w:color w:val="auto"/>
        </w:rPr>
        <w:t xml:space="preserve"> Income Fund with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17145</wp:posOffset>
            </wp:positionV>
            <wp:extent cx="6707505" cy="99695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780" w:right="900"/>
        <w:spacing w:after="0" w:line="253" w:lineRule="auto"/>
        <w:rPr>
          <w:sz w:val="20"/>
          <w:szCs w:val="20"/>
          <w:color w:val="auto"/>
        </w:rPr>
      </w:pPr>
      <w:r>
        <w:rPr>
          <w:rFonts w:ascii="Times New Roman" w:cs="Times New Roman" w:eastAsia="Times New Roman" w:hAnsi="Times New Roman"/>
          <w:sz w:val="19"/>
          <w:szCs w:val="19"/>
          <w:color w:val="auto"/>
        </w:rPr>
        <w:t>Trading windows for The Carlyle Group Inc. will be announced by the General Counsel or designee and are anticipated to open on the third trading day after Carlyle makes a public news release of its quarterly earnings for the prior fiscal quarter and close no later than the fourth trading day prior to the end of the current fiscal quarter.</w:t>
      </w:r>
    </w:p>
    <w:p>
      <w:pPr>
        <w:spacing w:after="0" w:line="1" w:lineRule="exact"/>
        <w:rPr>
          <w:sz w:val="20"/>
          <w:szCs w:val="20"/>
          <w:color w:val="auto"/>
        </w:rPr>
      </w:pPr>
    </w:p>
    <w:p>
      <w:pPr>
        <w:ind w:left="1780" w:right="780"/>
        <w:spacing w:after="0" w:line="253" w:lineRule="auto"/>
        <w:rPr>
          <w:sz w:val="20"/>
          <w:szCs w:val="20"/>
          <w:color w:val="auto"/>
        </w:rPr>
      </w:pPr>
      <w:r>
        <w:rPr>
          <w:rFonts w:ascii="Times New Roman" w:cs="Times New Roman" w:eastAsia="Times New Roman" w:hAnsi="Times New Roman"/>
          <w:sz w:val="19"/>
          <w:szCs w:val="19"/>
          <w:color w:val="auto"/>
        </w:rPr>
        <w:t>Trading windows for Carlyle Secured Lending, Inc. are anticipated to open on the third trading day after Carlyle Secured Lending, Inc. makes a public news release of its quarterly earnings for the prior fiscal quarter and close no later than the tenth trading day prior to the end of the current fiscal quarter.</w:t>
      </w:r>
    </w:p>
    <w:p>
      <w:pPr>
        <w:spacing w:after="0" w:line="2" w:lineRule="exact"/>
        <w:rPr>
          <w:sz w:val="20"/>
          <w:szCs w:val="20"/>
          <w:color w:val="auto"/>
        </w:rPr>
      </w:pPr>
    </w:p>
    <w:p>
      <w:pPr>
        <w:ind w:left="1780" w:right="1120"/>
        <w:spacing w:after="0" w:line="262" w:lineRule="auto"/>
        <w:rPr>
          <w:sz w:val="20"/>
          <w:szCs w:val="20"/>
          <w:color w:val="auto"/>
        </w:rPr>
      </w:pPr>
      <w:r>
        <w:rPr>
          <w:rFonts w:ascii="Times New Roman" w:cs="Times New Roman" w:eastAsia="Times New Roman" w:hAnsi="Times New Roman"/>
          <w:sz w:val="19"/>
          <w:szCs w:val="19"/>
          <w:color w:val="auto"/>
        </w:rPr>
        <w:t>Carlyle Credit Income Fund anticipates that a trading window will begin two business days after the publication of the fund’s net asset value (typically mid-month) prior to each quarter end and close prior to or at the end of such quarter.</w:t>
      </w:r>
    </w:p>
    <w:p>
      <w:pPr>
        <w:spacing w:after="0" w:line="186" w:lineRule="exact"/>
        <w:rPr>
          <w:sz w:val="20"/>
          <w:szCs w:val="20"/>
          <w:color w:val="auto"/>
        </w:rPr>
      </w:pPr>
    </w:p>
    <w:p>
      <w:pPr>
        <w:ind w:left="1480" w:right="780" w:hanging="285"/>
        <w:spacing w:after="0" w:line="256" w:lineRule="auto"/>
        <w:tabs>
          <w:tab w:leader="none" w:pos="1480" w:val="left"/>
        </w:tabs>
        <w:numPr>
          <w:ilvl w:val="0"/>
          <w:numId w:val="88"/>
        </w:numPr>
        <w:rPr>
          <w:rFonts w:ascii="Courier New" w:cs="Courier New" w:eastAsia="Courier New" w:hAnsi="Courier New"/>
          <w:sz w:val="19"/>
          <w:szCs w:val="19"/>
          <w:color w:val="auto"/>
        </w:rPr>
      </w:pPr>
      <w:r>
        <w:rPr>
          <w:rFonts w:ascii="Times New Roman" w:cs="Times New Roman" w:eastAsia="Times New Roman" w:hAnsi="Times New Roman"/>
          <w:sz w:val="19"/>
          <w:szCs w:val="19"/>
          <w:u w:val="single" w:color="auto"/>
          <w:color w:val="auto"/>
        </w:rPr>
        <w:t>Carlyle and Portfolio Company Information</w:t>
      </w:r>
      <w:r>
        <w:rPr>
          <w:rFonts w:ascii="Times New Roman" w:cs="Times New Roman" w:eastAsia="Times New Roman" w:hAnsi="Times New Roman"/>
          <w:sz w:val="19"/>
          <w:szCs w:val="19"/>
          <w:color w:val="auto"/>
        </w:rPr>
        <w:t xml:space="preserve"> . Carlyle personnel should limit access to material, non-public information about Carlyle, its funds or accounts, or any portfolio company or target portfolio company to Carlyle personnel with a legitimate business need. Carlyle personnel should direct to Global Communications or the head of public investor relations for The Carlyle Group Inc. any third-party inquiries regarding Carlyle or its portfolio companies.</w:t>
      </w:r>
    </w:p>
    <w:p>
      <w:pPr>
        <w:spacing w:after="0" w:line="205" w:lineRule="exact"/>
        <w:rPr>
          <w:rFonts w:ascii="Courier New" w:cs="Courier New" w:eastAsia="Courier New" w:hAnsi="Courier New"/>
          <w:sz w:val="19"/>
          <w:szCs w:val="19"/>
          <w:color w:val="auto"/>
        </w:rPr>
      </w:pPr>
    </w:p>
    <w:p>
      <w:pPr>
        <w:ind w:left="1480" w:right="820" w:hanging="285"/>
        <w:spacing w:after="0" w:line="254" w:lineRule="auto"/>
        <w:tabs>
          <w:tab w:leader="none" w:pos="1480" w:val="left"/>
        </w:tabs>
        <w:numPr>
          <w:ilvl w:val="0"/>
          <w:numId w:val="88"/>
        </w:numPr>
        <w:rPr>
          <w:rFonts w:ascii="Courier New" w:cs="Courier New" w:eastAsia="Courier New" w:hAnsi="Courier New"/>
          <w:sz w:val="19"/>
          <w:szCs w:val="19"/>
          <w:color w:val="auto"/>
        </w:rPr>
      </w:pPr>
      <w:r>
        <w:rPr>
          <w:rFonts w:ascii="Times New Roman" w:cs="Times New Roman" w:eastAsia="Times New Roman" w:hAnsi="Times New Roman"/>
          <w:sz w:val="19"/>
          <w:szCs w:val="19"/>
          <w:u w:val="single" w:color="auto"/>
          <w:color w:val="auto"/>
        </w:rPr>
        <w:t>Reporting Obligations</w:t>
      </w:r>
      <w:r>
        <w:rPr>
          <w:rFonts w:ascii="Times New Roman" w:cs="Times New Roman" w:eastAsia="Times New Roman" w:hAnsi="Times New Roman"/>
          <w:sz w:val="19"/>
          <w:szCs w:val="19"/>
          <w:color w:val="auto"/>
        </w:rPr>
        <w:t xml:space="preserve"> . In general, Carlyle personnel must register all brokerage accounts on Carlyle’s compliance system for them (and their spouse, minor children, or other immediate family household members) and for which they make investment decisions. For accounts not subject to automated account reporting, personnel must provide various holdings and transaction reports and certifications, including:</w:t>
      </w:r>
    </w:p>
    <w:p>
      <w:pPr>
        <w:spacing w:after="0" w:line="219" w:lineRule="exact"/>
        <w:rPr>
          <w:sz w:val="20"/>
          <w:szCs w:val="20"/>
          <w:color w:val="auto"/>
        </w:rPr>
      </w:pPr>
    </w:p>
    <w:p>
      <w:pPr>
        <w:ind w:left="1780" w:right="2340"/>
        <w:spacing w:after="0" w:line="262" w:lineRule="auto"/>
        <w:rPr>
          <w:sz w:val="20"/>
          <w:szCs w:val="20"/>
          <w:color w:val="auto"/>
        </w:rPr>
      </w:pPr>
      <w:r>
        <w:rPr>
          <w:rFonts w:ascii="Times New Roman" w:cs="Times New Roman" w:eastAsia="Times New Roman" w:hAnsi="Times New Roman"/>
          <w:sz w:val="19"/>
          <w:szCs w:val="19"/>
          <w:color w:val="auto"/>
        </w:rPr>
        <w:t>a complete report of holdings within 10 days of joining Carlyle; an annual certification of holdings; and</w:t>
      </w:r>
    </w:p>
    <w:p>
      <w:pPr>
        <w:spacing w:after="0" w:line="1" w:lineRule="exact"/>
        <w:rPr>
          <w:sz w:val="20"/>
          <w:szCs w:val="20"/>
          <w:color w:val="auto"/>
        </w:rPr>
      </w:pPr>
    </w:p>
    <w:p>
      <w:pPr>
        <w:ind w:left="1780" w:right="1040"/>
        <w:spacing w:after="0" w:line="249" w:lineRule="auto"/>
        <w:rPr>
          <w:sz w:val="20"/>
          <w:szCs w:val="20"/>
          <w:color w:val="auto"/>
        </w:rPr>
      </w:pPr>
      <w:r>
        <w:rPr>
          <w:rFonts w:ascii="Times New Roman" w:cs="Times New Roman" w:eastAsia="Times New Roman" w:hAnsi="Times New Roman"/>
          <w:sz w:val="19"/>
          <w:szCs w:val="19"/>
          <w:color w:val="auto"/>
        </w:rPr>
        <w:t xml:space="preserve">reports of personal securities transactions (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monthly or quarterly account statements or immediate trade confirmations).</w:t>
      </w:r>
    </w:p>
    <w:p>
      <w:pPr>
        <w:spacing w:after="0" w:line="209" w:lineRule="exact"/>
        <w:rPr>
          <w:sz w:val="20"/>
          <w:szCs w:val="20"/>
          <w:color w:val="auto"/>
        </w:rPr>
      </w:pPr>
    </w:p>
    <w:p>
      <w:pPr>
        <w:ind w:left="1480" w:right="800"/>
        <w:spacing w:after="0" w:line="262" w:lineRule="auto"/>
        <w:rPr>
          <w:sz w:val="20"/>
          <w:szCs w:val="20"/>
          <w:color w:val="auto"/>
        </w:rPr>
      </w:pPr>
      <w:r>
        <w:rPr>
          <w:rFonts w:ascii="Times New Roman" w:cs="Times New Roman" w:eastAsia="Times New Roman" w:hAnsi="Times New Roman"/>
          <w:sz w:val="19"/>
          <w:szCs w:val="19"/>
          <w:color w:val="auto"/>
        </w:rPr>
        <w:t>Instruments not covered by these reporting obligations include: (i) U.S. government obligations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xml:space="preserve">, Treasury bills); (ii) money market instruments (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bank certificates of deposit); (iii) money market funds; (iv) open-ended mutual funds registered in the U.S; and (v) variable annuity and variable life insurance contracts.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80" w:right="820" w:hanging="285"/>
        <w:spacing w:after="0" w:line="255" w:lineRule="auto"/>
        <w:tabs>
          <w:tab w:leader="none" w:pos="1480" w:val="left"/>
        </w:tabs>
        <w:numPr>
          <w:ilvl w:val="0"/>
          <w:numId w:val="89"/>
        </w:numPr>
        <w:rPr>
          <w:rFonts w:ascii="Courier New" w:cs="Courier New" w:eastAsia="Courier New" w:hAnsi="Courier New"/>
          <w:sz w:val="18"/>
          <w:szCs w:val="18"/>
          <w:color w:val="auto"/>
        </w:rPr>
      </w:pPr>
      <w:r>
        <w:rPr>
          <w:rFonts w:ascii="Times New Roman" w:cs="Times New Roman" w:eastAsia="Times New Roman" w:hAnsi="Times New Roman"/>
          <w:sz w:val="19"/>
          <w:szCs w:val="19"/>
          <w:u w:val="single" w:color="auto"/>
          <w:color w:val="auto"/>
        </w:rPr>
        <w:t>Government-Sourced Information</w:t>
      </w:r>
      <w:r>
        <w:rPr>
          <w:rFonts w:ascii="Times New Roman" w:cs="Times New Roman" w:eastAsia="Times New Roman" w:hAnsi="Times New Roman"/>
          <w:sz w:val="19"/>
          <w:szCs w:val="19"/>
          <w:color w:val="auto"/>
        </w:rPr>
        <w:t xml:space="preserve"> . Carlyle personnel should notify Legal and Compliance or the Global Chief Compliance Officer if they believe that they have received material, non-public information from government personnel, experts who consult for the government or other individuals who regularly interact with government personnel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lobbyists and research analysts).</w:t>
      </w:r>
    </w:p>
    <w:p>
      <w:pPr>
        <w:sectPr>
          <w:pgSz w:w="11900" w:h="16840" w:orient="portrait"/>
          <w:cols w:equalWidth="0" w:num="1">
            <w:col w:w="9020"/>
          </w:cols>
          <w:pgMar w:left="1440" w:top="336" w:right="1440"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4359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6707505" cy="435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40" w:orient="portrait"/>
          <w:cols w:equalWidth="0" w:num="1">
            <w:col w:w="9020"/>
          </w:cols>
          <w:pgMar w:left="1440" w:top="1440"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342"/>
        </w:trPr>
        <w:tc>
          <w:tcPr>
            <w:tcW w:w="1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36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Exhibit 21.1</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Times New Roman" w:cs="Times New Roman" w:eastAsia="Times New Roman" w:hAnsi="Times New Roman"/>
                <w:sz w:val="16"/>
                <w:szCs w:val="16"/>
                <w:b w:val="1"/>
                <w:bCs w:val="1"/>
                <w:color w:val="auto"/>
              </w:rPr>
              <w:t>LIST OF SUBSIDIARIES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360" w:type="dxa"/>
            <w:vAlign w:val="bottom"/>
          </w:tcPr>
          <w:p>
            <w:pPr>
              <w:jc w:val="center"/>
              <w:ind w:right="444"/>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360" w:type="dxa"/>
            <w:vAlign w:val="bottom"/>
          </w:tcPr>
          <w:p>
            <w:pPr>
              <w:jc w:val="center"/>
              <w:ind w:right="444"/>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5280" w:type="dxa"/>
            <w:vAlign w:val="bottom"/>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360" w:type="dxa"/>
            <w:vAlign w:val="bottom"/>
          </w:tcPr>
          <w:p>
            <w:pPr>
              <w:jc w:val="center"/>
              <w:ind w:right="424"/>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28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Abingworth Bioventures 8 GP LP</w:t>
            </w: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8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Abingworth Bioventures GP Limited</w:t>
            </w:r>
          </w:p>
        </w:tc>
        <w:tc>
          <w:tcPr>
            <w:tcW w:w="3360" w:type="dxa"/>
            <w:vAlign w:val="bottom"/>
          </w:tcPr>
          <w:p>
            <w:pPr>
              <w:ind w:left="720"/>
              <w:spacing w:after="0" w:line="157" w:lineRule="exact"/>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Abingworth Bioventures V GP limited</w:t>
            </w:r>
          </w:p>
        </w:tc>
        <w:tc>
          <w:tcPr>
            <w:tcW w:w="3360" w:type="dxa"/>
            <w:vAlign w:val="bottom"/>
          </w:tcPr>
          <w:p>
            <w:pPr>
              <w:ind w:left="72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Abingworth CCD 2 General Partner LLP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Abingworth CCD General Partner LLP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28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Abingworth CCD GP Limited</w:t>
            </w:r>
          </w:p>
        </w:tc>
        <w:tc>
          <w:tcPr>
            <w:tcW w:w="3360" w:type="dxa"/>
            <w:vAlign w:val="bottom"/>
          </w:tcPr>
          <w:p>
            <w:pPr>
              <w:ind w:left="720"/>
              <w:spacing w:after="0" w:line="182" w:lineRule="exact"/>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Abingworth Clinical Co-Development Fund 2 GP L</w:t>
            </w:r>
          </w:p>
        </w:tc>
        <w:tc>
          <w:tcPr>
            <w:tcW w:w="3360" w:type="dxa"/>
            <w:vAlign w:val="bottom"/>
          </w:tcPr>
          <w:p>
            <w:pPr>
              <w:ind w:left="72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280" w:type="dxa"/>
            <w:vAlign w:val="bottom"/>
            <w:vMerge w:val="continue"/>
          </w:tcPr>
          <w:p>
            <w:pPr>
              <w:spacing w:after="0"/>
              <w:rPr>
                <w:sz w:val="10"/>
                <w:szCs w:val="10"/>
                <w:color w:val="auto"/>
              </w:rPr>
            </w:pPr>
          </w:p>
        </w:tc>
        <w:tc>
          <w:tcPr>
            <w:tcW w:w="3360" w:type="dxa"/>
            <w:vAlign w:val="bottom"/>
          </w:tcPr>
          <w:p>
            <w:pPr>
              <w:ind w:left="720"/>
              <w:spacing w:after="0" w:line="120" w:lineRule="exact"/>
              <w:rPr>
                <w:sz w:val="20"/>
                <w:szCs w:val="20"/>
                <w:color w:val="auto"/>
              </w:rPr>
            </w:pPr>
            <w:r>
              <w:rPr>
                <w:rFonts w:ascii="Times New Roman" w:cs="Times New Roman" w:eastAsia="Times New Roman" w:hAnsi="Times New Roman"/>
                <w:sz w:val="13"/>
                <w:szCs w:val="13"/>
                <w:color w:val="auto"/>
              </w:rPr>
              <w:t>Scotland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Abingworth General Partner 8 LLP</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8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Abingworth General Partner V LL</w:t>
            </w:r>
          </w:p>
        </w:tc>
        <w:tc>
          <w:tcPr>
            <w:tcW w:w="3360" w:type="dxa"/>
            <w:vAlign w:val="bottom"/>
          </w:tcPr>
          <w:p>
            <w:pPr>
              <w:ind w:left="720"/>
              <w:spacing w:after="0" w:line="157" w:lineRule="exact"/>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Abingworth General Partner VI LLP</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8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Abingworth General Partner VII LL</w:t>
            </w:r>
          </w:p>
        </w:tc>
        <w:tc>
          <w:tcPr>
            <w:tcW w:w="3360" w:type="dxa"/>
            <w:vAlign w:val="bottom"/>
          </w:tcPr>
          <w:p>
            <w:pPr>
              <w:ind w:left="720"/>
              <w:spacing w:after="0" w:line="157" w:lineRule="exact"/>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28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Abingworth German Designated LP Corp</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2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28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Abingworth LLP</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Abingworth Management Inc</w:t>
            </w:r>
          </w:p>
        </w:tc>
        <w:tc>
          <w:tcPr>
            <w:tcW w:w="3360" w:type="dxa"/>
            <w:vAlign w:val="bottom"/>
          </w:tcPr>
          <w:p>
            <w:pPr>
              <w:ind w:left="72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Maryland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8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Abingworth Second Partner Limited</w:t>
            </w:r>
          </w:p>
        </w:tc>
        <w:tc>
          <w:tcPr>
            <w:tcW w:w="3360" w:type="dxa"/>
            <w:vAlign w:val="bottom"/>
          </w:tcPr>
          <w:p>
            <w:pPr>
              <w:ind w:left="720"/>
              <w:spacing w:after="0" w:line="157" w:lineRule="exact"/>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ABV 9 GP Cayman, L.P.</w:t>
            </w:r>
          </w:p>
        </w:tc>
        <w:tc>
          <w:tcPr>
            <w:tcW w:w="3360" w:type="dxa"/>
            <w:vAlign w:val="bottom"/>
          </w:tcPr>
          <w:p>
            <w:pPr>
              <w:ind w:left="72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vMerge w:val="continue"/>
          </w:tcPr>
          <w:p>
            <w:pPr>
              <w:spacing w:after="0"/>
              <w:rPr>
                <w:sz w:val="16"/>
                <w:szCs w:val="16"/>
                <w:color w:val="auto"/>
              </w:rPr>
            </w:pP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ABV 9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28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ABV 9 Holdings, L.L.C</w:t>
            </w:r>
          </w:p>
        </w:tc>
        <w:tc>
          <w:tcPr>
            <w:tcW w:w="3360" w:type="dxa"/>
            <w:vAlign w:val="bottom"/>
          </w:tcPr>
          <w:p>
            <w:pPr>
              <w:ind w:left="7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42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ABV 9 Lux GP S.à r.l.</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ACCD 3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ACCD 3 Holdings,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ACCD 3 Lux GP S.à r.l</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2021 Agg. GP,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2022 Agg. GP,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2023 Agg. GP B.V.</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2023 Agg. GP,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2024 Agg. GP,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ACP Quest GP B.V.</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 Torano (JPY) Fund,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A-F Torano (JPY)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28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 CFO 2024 (Feeder) GP, LL</w:t>
            </w:r>
          </w:p>
        </w:tc>
        <w:tc>
          <w:tcPr>
            <w:tcW w:w="3360" w:type="dxa"/>
            <w:vAlign w:val="bottom"/>
          </w:tcPr>
          <w:p>
            <w:pPr>
              <w:ind w:left="7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28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 CFO 2024 GP, LL</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2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28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 Holdings Coöperatief U.A</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2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36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 L Global GP B.V.</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 L Global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Access GP LLC</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Access II GP B.V.</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Access II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Access III GP, L.P.</w:t>
            </w:r>
          </w:p>
        </w:tc>
        <w:tc>
          <w:tcPr>
            <w:tcW w:w="3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406"/>
        </w:trPr>
        <w:tc>
          <w:tcPr>
            <w:tcW w:w="1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5620" w:type="dxa"/>
            <w:vAlign w:val="bottom"/>
          </w:tcPr>
          <w:p>
            <w:pPr>
              <w:spacing w:after="0"/>
              <w:rPr>
                <w:sz w:val="24"/>
                <w:szCs w:val="24"/>
                <w:color w:val="auto"/>
              </w:rPr>
            </w:pPr>
          </w:p>
        </w:tc>
        <w:tc>
          <w:tcPr>
            <w:tcW w:w="4160" w:type="dxa"/>
            <w:vAlign w:val="bottom"/>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620" w:type="dxa"/>
            <w:vAlign w:val="bottom"/>
          </w:tcPr>
          <w:p>
            <w:pPr>
              <w:spacing w:after="0"/>
              <w:rPr>
                <w:sz w:val="14"/>
                <w:szCs w:val="14"/>
                <w:color w:val="auto"/>
              </w:rPr>
            </w:pPr>
          </w:p>
        </w:tc>
        <w:tc>
          <w:tcPr>
            <w:tcW w:w="4160" w:type="dxa"/>
            <w:vAlign w:val="bottom"/>
          </w:tcPr>
          <w:p>
            <w:pPr>
              <w:jc w:val="center"/>
              <w:ind w:left="20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62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160" w:type="dxa"/>
            <w:vAlign w:val="bottom"/>
          </w:tcPr>
          <w:p>
            <w:pPr>
              <w:jc w:val="center"/>
              <w:ind w:left="22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6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160" w:type="dxa"/>
            <w:vAlign w:val="bottom"/>
            <w:vMerge w:val="restart"/>
          </w:tcPr>
          <w:p>
            <w:pPr>
              <w:ind w:left="15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79"/>
        </w:trPr>
        <w:tc>
          <w:tcPr>
            <w:tcW w:w="562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AlpInvest AF B.V.</w:t>
            </w:r>
          </w:p>
        </w:tc>
        <w:tc>
          <w:tcPr>
            <w:tcW w:w="4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AF II B.V.</w:t>
            </w:r>
          </w:p>
        </w:tc>
        <w:tc>
          <w:tcPr>
            <w:tcW w:w="416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ASF VII G Sidecar GP, LLC</w:t>
            </w:r>
          </w:p>
        </w:tc>
        <w:tc>
          <w:tcPr>
            <w:tcW w:w="416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ASF VII Sidecar GP, LLC</w:t>
            </w:r>
          </w:p>
        </w:tc>
        <w:tc>
          <w:tcPr>
            <w:tcW w:w="416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ASF VII Top Castle Sidecar GP, LL</w:t>
            </w:r>
          </w:p>
        </w:tc>
        <w:tc>
          <w:tcPr>
            <w:tcW w:w="4160" w:type="dxa"/>
            <w:vAlign w:val="bottom"/>
          </w:tcPr>
          <w:p>
            <w:pPr>
              <w:ind w:left="15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44"/>
        </w:trPr>
        <w:tc>
          <w:tcPr>
            <w:tcW w:w="5620" w:type="dxa"/>
            <w:vAlign w:val="bottom"/>
          </w:tcPr>
          <w:p>
            <w:pPr>
              <w:ind w:left="1180"/>
              <w:spacing w:after="0" w:line="144" w:lineRule="exact"/>
              <w:rPr>
                <w:sz w:val="20"/>
                <w:szCs w:val="20"/>
                <w:color w:val="auto"/>
              </w:rPr>
            </w:pPr>
            <w:r>
              <w:rPr>
                <w:rFonts w:ascii="Times New Roman" w:cs="Times New Roman" w:eastAsia="Times New Roman" w:hAnsi="Times New Roman"/>
                <w:sz w:val="16"/>
                <w:szCs w:val="16"/>
                <w:color w:val="auto"/>
              </w:rPr>
              <w:t>C</w:t>
            </w:r>
          </w:p>
        </w:tc>
        <w:tc>
          <w:tcPr>
            <w:tcW w:w="4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ASR GP, LL</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446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color w:val="auto"/>
              </w:rPr>
              <w:t>AlpInvest Atom GP L.P.</w:t>
            </w:r>
          </w:p>
        </w:tc>
        <w:tc>
          <w:tcPr>
            <w:tcW w:w="4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60" w:type="dxa"/>
            <w:vAlign w:val="bottom"/>
            <w:tcBorders>
              <w:bottom w:val="single" w:sz="8" w:color="auto"/>
            </w:tcBorders>
          </w:tcPr>
          <w:p>
            <w:pPr>
              <w:ind w:left="40"/>
              <w:spacing w:after="0" w:line="137" w:lineRule="exact"/>
              <w:rPr>
                <w:sz w:val="20"/>
                <w:szCs w:val="20"/>
                <w:color w:val="auto"/>
              </w:rPr>
            </w:pPr>
            <w:r>
              <w:rPr>
                <w:rFonts w:ascii="Times New Roman" w:cs="Times New Roman" w:eastAsia="Times New Roman" w:hAnsi="Times New Roman"/>
                <w:sz w:val="14"/>
                <w:szCs w:val="14"/>
                <w:color w:val="auto"/>
              </w:rPr>
              <w:t>AlpInvest Atom II GP, L.P.</w:t>
            </w:r>
          </w:p>
        </w:tc>
        <w:tc>
          <w:tcPr>
            <w:tcW w:w="3040" w:type="dxa"/>
            <w:vAlign w:val="bottom"/>
            <w:tcBorders>
              <w:bottom w:val="single" w:sz="8" w:color="auto"/>
            </w:tcBorders>
          </w:tcPr>
          <w:p>
            <w:pPr>
              <w:ind w:left="1540"/>
              <w:spacing w:after="0" w:line="137" w:lineRule="exact"/>
              <w:rPr>
                <w:sz w:val="20"/>
                <w:szCs w:val="20"/>
                <w:color w:val="auto"/>
              </w:rPr>
            </w:pPr>
            <w:r>
              <w:rPr>
                <w:rFonts w:ascii="Times New Roman" w:cs="Times New Roman" w:eastAsia="Times New Roman" w:hAnsi="Times New Roman"/>
                <w:sz w:val="14"/>
                <w:szCs w:val="14"/>
                <w:color w:val="auto"/>
              </w:rPr>
              <w:t>Delaware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Atom II Lux GP S.à r.l</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Atom II Ultimate GP,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Atom Lux GP S.à r.</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l</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 GP, LLC</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 II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Cendana I GP B.V</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Cendana I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Chesapeake SCF I GP B.V</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Chesapeake SCF I GP, 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CI IX B.V.</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CI VII B.V.</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CI VIII B.V.</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Co-Investment IX GP, L.P</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IX Lux GP S.à r.l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IX Ultimate GP,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Ultimate GP I,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VII GP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VII Lux GP S.à r.l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VIII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Co-Investment VIII Lux GP S.à r.l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Condor GP B.V.</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Condor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Condor Lux GP, S.à r.l</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Corient GP, LLC</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CWS GP B.V.</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CWS GP II B.V.</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CWS GP III B.V.</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CWS GP, S.à r.l</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Edison GP B.V.</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Edison GP, LLC</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Falcon SCF I C.V</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Falcon SCF I GP B.V</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Falcon SCF I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Falcon SCF I,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FC Credit GP,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w:t>
            </w:r>
          </w:p>
        </w:tc>
        <w:tc>
          <w:tcPr>
            <w:tcW w:w="3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1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400" w:type="dxa"/>
            <w:vAlign w:val="bottom"/>
          </w:tcPr>
          <w:p>
            <w:pPr>
              <w:spacing w:after="0"/>
              <w:rPr>
                <w:sz w:val="24"/>
                <w:szCs w:val="24"/>
                <w:color w:val="auto"/>
              </w:rPr>
            </w:pPr>
          </w:p>
        </w:tc>
        <w:tc>
          <w:tcPr>
            <w:tcW w:w="4380" w:type="dxa"/>
            <w:vAlign w:val="bottom"/>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400" w:type="dxa"/>
            <w:vAlign w:val="bottom"/>
          </w:tcPr>
          <w:p>
            <w:pPr>
              <w:spacing w:after="0"/>
              <w:rPr>
                <w:sz w:val="14"/>
                <w:szCs w:val="14"/>
                <w:color w:val="auto"/>
              </w:rPr>
            </w:pPr>
          </w:p>
        </w:tc>
        <w:tc>
          <w:tcPr>
            <w:tcW w:w="4380" w:type="dxa"/>
            <w:vAlign w:val="bottom"/>
          </w:tcPr>
          <w:p>
            <w:pPr>
              <w:jc w:val="center"/>
              <w:ind w:left="42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4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380" w:type="dxa"/>
            <w:vAlign w:val="bottom"/>
          </w:tcPr>
          <w:p>
            <w:pPr>
              <w:jc w:val="center"/>
              <w:ind w:left="44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40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AlpInvest FCR Secondaries GP, LLC</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FCR Secondaries II GP, LLC</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4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Finance Street GP, LL</w:t>
            </w:r>
          </w:p>
        </w:tc>
        <w:tc>
          <w:tcPr>
            <w:tcW w:w="4380" w:type="dxa"/>
            <w:vAlign w:val="bottom"/>
          </w:tcPr>
          <w:p>
            <w:pPr>
              <w:ind w:left="17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Finance Street II GP, L.P</w:t>
            </w: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Fondo B.V.</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FS GP B.V.</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FS II GP B.V.</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54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G Co-Investment GP, LL</w:t>
            </w:r>
          </w:p>
        </w:tc>
        <w:tc>
          <w:tcPr>
            <w:tcW w:w="4380" w:type="dxa"/>
            <w:vAlign w:val="bottom"/>
          </w:tcPr>
          <w:p>
            <w:pPr>
              <w:ind w:left="17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 GP B.V.</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G GP S.à r.l</w:t>
            </w:r>
          </w:p>
        </w:tc>
        <w:tc>
          <w:tcPr>
            <w:tcW w:w="4380" w:type="dxa"/>
            <w:vAlign w:val="bottom"/>
          </w:tcPr>
          <w:p>
            <w:pPr>
              <w:ind w:left="1740"/>
              <w:spacing w:after="0" w:line="157"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 II GP B.V.</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 II GP S.à r.l.</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54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G Secondary GP, LL</w:t>
            </w:r>
          </w:p>
        </w:tc>
        <w:tc>
          <w:tcPr>
            <w:tcW w:w="4380" w:type="dxa"/>
            <w:vAlign w:val="bottom"/>
          </w:tcPr>
          <w:p>
            <w:pPr>
              <w:ind w:left="17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G Secondary II GP, L.P</w:t>
            </w: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GA B.V.</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GGG B.V.</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GGG II B.V.</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GGG II GP, LLC</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780"/>
          </w:cols>
          <w:pgMar w:left="1060" w:top="530" w:right="1060" w:bottom="5" w:gutter="0" w:footer="0" w:header="0"/>
        </w:sectPr>
      </w:pPr>
    </w:p>
    <w:bookmarkStart w:id="218" w:name="page219"/>
    <w:bookmarkEnd w:id="2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GGG III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3"/>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GGG III GP, L.P.</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Global Advantage GP, LL</w:t>
            </w:r>
          </w:p>
        </w:tc>
        <w:tc>
          <w:tcPr>
            <w:tcW w:w="410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0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Global Private Equity Program III, LL</w:t>
            </w: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0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GRIO GP B.V.</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GRIO GP II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GRIO GP II, L.P.</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GRIO GP, LLC</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Harvest GP, L.P</w:t>
            </w:r>
          </w:p>
        </w:tc>
        <w:tc>
          <w:tcPr>
            <w:tcW w:w="410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0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HLI GP B.V.</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HLI GP, L.P.</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HLI II GP, L.P.</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IIF GP LLC</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Indiana GP, LLC</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Indiana Venture GP, LLC</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Indiana-A GP, LL</w:t>
            </w:r>
          </w:p>
        </w:tc>
        <w:tc>
          <w:tcPr>
            <w:tcW w:w="4100" w:type="dxa"/>
            <w:vAlign w:val="bottom"/>
          </w:tcPr>
          <w:p>
            <w:pPr>
              <w:ind w:left="14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0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Indigo Co-Invest GP, LLC</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68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Indigo SCF I GP, L.P</w:t>
            </w:r>
          </w:p>
        </w:tc>
        <w:tc>
          <w:tcPr>
            <w:tcW w:w="4100" w:type="dxa"/>
            <w:vAlign w:val="bottom"/>
          </w:tcPr>
          <w:p>
            <w:pPr>
              <w:ind w:left="146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0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INext GP, LLC</w:t>
            </w:r>
          </w:p>
        </w:tc>
        <w:tc>
          <w:tcPr>
            <w:tcW w:w="4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Investments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J GP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J GP, LLC</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J II GP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J II GP, L.P.</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KP GP B.V.</w:t>
            </w:r>
          </w:p>
        </w:tc>
        <w:tc>
          <w:tcPr>
            <w:tcW w:w="410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2"/>
        </w:trPr>
        <w:tc>
          <w:tcPr>
            <w:tcW w:w="5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540" w:type="dxa"/>
            <w:vAlign w:val="bottom"/>
          </w:tcPr>
          <w:p>
            <w:pPr>
              <w:spacing w:after="0"/>
              <w:rPr>
                <w:sz w:val="24"/>
                <w:szCs w:val="24"/>
                <w:color w:val="auto"/>
              </w:rPr>
            </w:pPr>
          </w:p>
        </w:tc>
        <w:tc>
          <w:tcPr>
            <w:tcW w:w="4240" w:type="dxa"/>
            <w:vAlign w:val="bottom"/>
          </w:tcPr>
          <w:p>
            <w:pPr>
              <w:jc w:val="center"/>
              <w:ind w:left="28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14"/>
                <w:szCs w:val="14"/>
                <w:color w:val="auto"/>
              </w:rPr>
            </w:pPr>
          </w:p>
        </w:tc>
        <w:tc>
          <w:tcPr>
            <w:tcW w:w="4240" w:type="dxa"/>
            <w:vAlign w:val="bottom"/>
          </w:tcPr>
          <w:p>
            <w:pPr>
              <w:jc w:val="center"/>
              <w:ind w:left="28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54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240" w:type="dxa"/>
            <w:vAlign w:val="bottom"/>
          </w:tcPr>
          <w:p>
            <w:pPr>
              <w:jc w:val="center"/>
              <w:ind w:left="30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79"/>
        </w:trPr>
        <w:tc>
          <w:tcPr>
            <w:tcW w:w="554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AlpInvest KP GP S.à r.l.</w:t>
            </w:r>
          </w:p>
        </w:tc>
        <w:tc>
          <w:tcPr>
            <w:tcW w:w="4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KP II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KP II GP, L.P.</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KP II GP, S.à r.l.</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LIVE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Live GP LLC</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Capital Fund GP, LLC</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Co II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Co II GP, L.P.</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Secondaries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 Secondaries GP, L.P.</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5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MC Managing Member LL</w:t>
            </w:r>
          </w:p>
        </w:tc>
        <w:tc>
          <w:tcPr>
            <w:tcW w:w="4240" w:type="dxa"/>
            <w:vAlign w:val="bottom"/>
          </w:tcPr>
          <w:p>
            <w:pPr>
              <w:ind w:left="16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Mex B.V.</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Mex I LL</w:t>
            </w:r>
          </w:p>
        </w:tc>
        <w:tc>
          <w:tcPr>
            <w:tcW w:w="4240" w:type="dxa"/>
            <w:vAlign w:val="bottom"/>
          </w:tcPr>
          <w:p>
            <w:pPr>
              <w:ind w:left="16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Mex II LLC</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Mich B.V</w:t>
            </w:r>
          </w:p>
        </w:tc>
        <w:tc>
          <w:tcPr>
            <w:tcW w:w="4240" w:type="dxa"/>
            <w:vAlign w:val="bottom"/>
          </w:tcPr>
          <w:p>
            <w:pPr>
              <w:ind w:left="160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55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Mich SPV B.V</w:t>
            </w: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MMBO Holdings GP, LLC</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Multi-Strategy Ultimate GP I, LL</w:t>
            </w:r>
          </w:p>
        </w:tc>
        <w:tc>
          <w:tcPr>
            <w:tcW w:w="4240" w:type="dxa"/>
            <w:vAlign w:val="bottom"/>
          </w:tcPr>
          <w:p>
            <w:pPr>
              <w:ind w:left="16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N GP B.V.</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N GP L</w:t>
            </w:r>
          </w:p>
        </w:tc>
        <w:tc>
          <w:tcPr>
            <w:tcW w:w="4240" w:type="dxa"/>
            <w:vAlign w:val="bottom"/>
          </w:tcPr>
          <w:p>
            <w:pPr>
              <w:ind w:left="16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North Rush GP, LL</w:t>
            </w: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North Rush II GP, LL</w:t>
            </w: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North Rush III GP, L.P</w:t>
            </w: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4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NPE GP B.V.</w:t>
            </w:r>
          </w:p>
        </w:tc>
        <w:tc>
          <w:tcPr>
            <w:tcW w:w="4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NPE GP LLC</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NPE GP S.à.r.l.</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NPE II GP, LLC</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 GP B.V.</w:t>
            </w:r>
          </w:p>
        </w:tc>
        <w:tc>
          <w:tcPr>
            <w:tcW w:w="42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6"/>
        </w:trPr>
        <w:tc>
          <w:tcPr>
            <w:tcW w:w="55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19" w:name="page220"/>
    <w:bookmarkEnd w:id="2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 II GP B.V.</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60"/>
        </w:trPr>
        <w:tc>
          <w:tcPr>
            <w:tcW w:w="1140" w:type="dxa"/>
            <w:vAlign w:val="bottom"/>
          </w:tcPr>
          <w:p>
            <w:pPr>
              <w:spacing w:after="0"/>
              <w:rPr>
                <w:sz w:val="5"/>
                <w:szCs w:val="5"/>
                <w:color w:val="auto"/>
              </w:rPr>
            </w:pPr>
          </w:p>
        </w:tc>
        <w:tc>
          <w:tcPr>
            <w:tcW w:w="4020" w:type="dxa"/>
            <w:vAlign w:val="bottom"/>
          </w:tcPr>
          <w:p>
            <w:pPr>
              <w:ind w:left="40"/>
              <w:spacing w:after="0" w:line="60" w:lineRule="exact"/>
              <w:rPr>
                <w:sz w:val="20"/>
                <w:szCs w:val="20"/>
                <w:color w:val="auto"/>
              </w:rPr>
            </w:pPr>
            <w:r>
              <w:rPr>
                <w:rFonts w:ascii="Times New Roman" w:cs="Times New Roman" w:eastAsia="Times New Roman" w:hAnsi="Times New Roman"/>
                <w:sz w:val="6"/>
                <w:szCs w:val="6"/>
                <w:color w:val="auto"/>
              </w:rPr>
              <w:t>AlpInvest Partners 2003 B</w:t>
            </w:r>
          </w:p>
        </w:tc>
        <w:tc>
          <w:tcPr>
            <w:tcW w:w="4620" w:type="dxa"/>
            <w:vAlign w:val="bottom"/>
            <w:gridSpan w:val="2"/>
          </w:tcPr>
          <w:p>
            <w:pPr>
              <w:ind w:left="1980"/>
              <w:spacing w:after="0" w:line="60" w:lineRule="exact"/>
              <w:rPr>
                <w:sz w:val="20"/>
                <w:szCs w:val="20"/>
                <w:color w:val="auto"/>
              </w:rPr>
            </w:pPr>
            <w:r>
              <w:rPr>
                <w:rFonts w:ascii="Times New Roman" w:cs="Times New Roman" w:eastAsia="Times New Roman" w:hAnsi="Times New Roman"/>
                <w:sz w:val="6"/>
                <w:szCs w:val="6"/>
                <w:color w:val="auto"/>
              </w:rPr>
              <w:t>Netherlands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462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0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2006 B</w:t>
            </w:r>
          </w:p>
        </w:tc>
        <w:tc>
          <w:tcPr>
            <w:tcW w:w="4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2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color w:val="auto"/>
              </w:rPr>
              <w:t>V</w:t>
            </w:r>
          </w:p>
        </w:tc>
        <w:tc>
          <w:tcPr>
            <w:tcW w:w="34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020" w:type="dxa"/>
            <w:vAlign w:val="bottom"/>
          </w:tcPr>
          <w:p>
            <w:pPr>
              <w:ind w:left="40"/>
              <w:spacing w:after="0" w:line="171" w:lineRule="exact"/>
              <w:rPr>
                <w:sz w:val="20"/>
                <w:szCs w:val="20"/>
                <w:color w:val="auto"/>
              </w:rPr>
            </w:pPr>
            <w:r>
              <w:rPr>
                <w:rFonts w:ascii="Times New Roman" w:cs="Times New Roman" w:eastAsia="Times New Roman" w:hAnsi="Times New Roman"/>
                <w:sz w:val="16"/>
                <w:szCs w:val="16"/>
                <w:color w:val="auto"/>
              </w:rPr>
              <w:t>AlpInvest Partners 2008 B.V.</w:t>
            </w:r>
          </w:p>
        </w:tc>
        <w:tc>
          <w:tcPr>
            <w:tcW w:w="3480" w:type="dxa"/>
            <w:vAlign w:val="bottom"/>
          </w:tcPr>
          <w:p>
            <w:pPr>
              <w:ind w:left="1980"/>
              <w:spacing w:after="0" w:line="171" w:lineRule="exact"/>
              <w:rPr>
                <w:sz w:val="20"/>
                <w:szCs w:val="20"/>
                <w:color w:val="auto"/>
              </w:rPr>
            </w:pPr>
            <w:r>
              <w:rPr>
                <w:rFonts w:ascii="Times New Roman" w:cs="Times New Roman" w:eastAsia="Times New Roman" w:hAnsi="Times New Roman"/>
                <w:sz w:val="16"/>
                <w:szCs w:val="16"/>
                <w:color w:val="auto"/>
              </w:rPr>
              <w:t>Netherlands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2009 B.V.</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2011 B.V.</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2011 LLC</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0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Partners 2012 I B</w:t>
            </w:r>
          </w:p>
        </w:tc>
        <w:tc>
          <w:tcPr>
            <w:tcW w:w="4620" w:type="dxa"/>
            <w:vAlign w:val="bottom"/>
            <w:gridSpan w:val="2"/>
          </w:tcPr>
          <w:p>
            <w:pPr>
              <w:ind w:left="19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462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2012 II B.V.</w:t>
            </w: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2012 LLC</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0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Partners 2014 I B.V</w:t>
            </w:r>
          </w:p>
        </w:tc>
        <w:tc>
          <w:tcPr>
            <w:tcW w:w="4620" w:type="dxa"/>
            <w:vAlign w:val="bottom"/>
            <w:gridSpan w:val="2"/>
          </w:tcPr>
          <w:p>
            <w:pPr>
              <w:ind w:left="19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1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2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2014 II B.V.</w:t>
            </w:r>
          </w:p>
        </w:tc>
        <w:tc>
          <w:tcPr>
            <w:tcW w:w="4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2014 LLC</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2"/>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520" w:type="dxa"/>
            <w:vAlign w:val="bottom"/>
          </w:tcPr>
          <w:p>
            <w:pPr>
              <w:jc w:val="center"/>
              <w:ind w:right="283"/>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520" w:type="dxa"/>
            <w:vAlign w:val="bottom"/>
          </w:tcPr>
          <w:p>
            <w:pPr>
              <w:jc w:val="center"/>
              <w:ind w:right="283"/>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5120" w:type="dxa"/>
            <w:vAlign w:val="bottom"/>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520" w:type="dxa"/>
            <w:vAlign w:val="bottom"/>
          </w:tcPr>
          <w:p>
            <w:pPr>
              <w:jc w:val="center"/>
              <w:ind w:right="263"/>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12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AlpInvest Partners 2016 II B.V.</w:t>
            </w: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2017 II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2018 II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2019 II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2020 II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2020/2021 GP I LLC</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1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Partners Beheer 2006 B</w:t>
            </w:r>
          </w:p>
        </w:tc>
        <w:tc>
          <w:tcPr>
            <w:tcW w:w="3520" w:type="dxa"/>
            <w:vAlign w:val="bottom"/>
          </w:tcPr>
          <w:p>
            <w:pPr>
              <w:ind w:left="8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Clean Technology Investments 2007-2009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Clean Technology Investments 2010-2011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2015 I B.V</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2015 I SPV B.V</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2015 II B.V</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2015 II SPV B.V</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2016 I B.V</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Co-Investments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Direct Investments 2003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Direct Investments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Direct Secondary Investments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European Mezzanine Investments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Fund Investments 2003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Fund Investments 2006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Fund Investments 2009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2011 B.V.</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AlpInvest Partners Fund Investments 2012 I B.V</w:t>
            </w:r>
          </w:p>
        </w:tc>
        <w:tc>
          <w:tcPr>
            <w:tcW w:w="3520" w:type="dxa"/>
            <w:vAlign w:val="bottom"/>
          </w:tcPr>
          <w:p>
            <w:pPr>
              <w:ind w:left="88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2012 II B.V.</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AlpInvest Partners Fund Investments 2013 I B.V</w:t>
            </w:r>
          </w:p>
        </w:tc>
        <w:tc>
          <w:tcPr>
            <w:tcW w:w="3520" w:type="dxa"/>
            <w:vAlign w:val="bottom"/>
          </w:tcPr>
          <w:p>
            <w:pPr>
              <w:ind w:left="88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2013 II B.V.</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AlpInvest Partners Fund Investments 2014 I B.V</w:t>
            </w:r>
          </w:p>
        </w:tc>
        <w:tc>
          <w:tcPr>
            <w:tcW w:w="3520" w:type="dxa"/>
            <w:vAlign w:val="bottom"/>
          </w:tcPr>
          <w:p>
            <w:pPr>
              <w:ind w:left="88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2014 II B.V.</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AlpInvest Partners Fund Investments 2015 I B.V</w:t>
            </w:r>
          </w:p>
        </w:tc>
        <w:tc>
          <w:tcPr>
            <w:tcW w:w="3520" w:type="dxa"/>
            <w:vAlign w:val="bottom"/>
          </w:tcPr>
          <w:p>
            <w:pPr>
              <w:ind w:left="88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2015 II B.V.</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Fund Investments BV</w:t>
            </w:r>
          </w:p>
        </w:tc>
        <w:tc>
          <w:tcPr>
            <w:tcW w:w="3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1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AlpInvest Partners Fund of Funds Custodian IIA B</w:t>
            </w:r>
          </w:p>
        </w:tc>
        <w:tc>
          <w:tcPr>
            <w:tcW w:w="3520" w:type="dxa"/>
            <w:vAlign w:val="bottom"/>
          </w:tcPr>
          <w:p>
            <w:pPr>
              <w:ind w:left="8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Fund of Funds Management IIA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Later Stage Co-Investments Custodian II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Later Stage Co-Investments Custodian IIA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Later Stage Co-Investments Management II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AlpInvest Partners Later Stage Co-Investments Management IIA B</w:t>
            </w: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Limited</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AlpInvest Partners LLP</w:t>
            </w:r>
          </w:p>
        </w:tc>
        <w:tc>
          <w:tcPr>
            <w:tcW w:w="3520" w:type="dxa"/>
            <w:vAlign w:val="bottom"/>
          </w:tcPr>
          <w:p>
            <w:pPr>
              <w:ind w:left="880"/>
              <w:spacing w:after="0" w:line="157" w:lineRule="exact"/>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AlpInvest Partners Mezzanine 2012-2014 B.V</w:t>
            </w:r>
          </w:p>
        </w:tc>
        <w:tc>
          <w:tcPr>
            <w:tcW w:w="3520" w:type="dxa"/>
            <w:vAlign w:val="bottom"/>
          </w:tcPr>
          <w:p>
            <w:pPr>
              <w:ind w:left="88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120" w:type="dxa"/>
            <w:vAlign w:val="bottom"/>
            <w:vMerge w:val="continue"/>
          </w:tcPr>
          <w:p>
            <w:pPr>
              <w:spacing w:after="0"/>
              <w:rPr>
                <w:sz w:val="10"/>
                <w:szCs w:val="10"/>
                <w:color w:val="auto"/>
              </w:rPr>
            </w:pPr>
          </w:p>
        </w:tc>
        <w:tc>
          <w:tcPr>
            <w:tcW w:w="3520" w:type="dxa"/>
            <w:vAlign w:val="bottom"/>
          </w:tcPr>
          <w:p>
            <w:pPr>
              <w:ind w:left="880"/>
              <w:spacing w:after="0" w:line="120" w:lineRule="exact"/>
              <w:rPr>
                <w:sz w:val="20"/>
                <w:szCs w:val="20"/>
                <w:color w:val="auto"/>
              </w:rPr>
            </w:pPr>
            <w:r>
              <w:rPr>
                <w:rFonts w:ascii="Times New Roman" w:cs="Times New Roman" w:eastAsia="Times New Roman" w:hAnsi="Times New Roman"/>
                <w:sz w:val="13"/>
                <w:szCs w:val="13"/>
                <w:color w:val="auto"/>
              </w:rPr>
              <w:t>Netherlands</w:t>
            </w:r>
          </w:p>
        </w:tc>
        <w:tc>
          <w:tcPr>
            <w:tcW w:w="0" w:type="dxa"/>
            <w:vAlign w:val="bottom"/>
          </w:tcPr>
          <w:p>
            <w:pPr>
              <w:spacing w:after="0"/>
              <w:rPr>
                <w:sz w:val="1"/>
                <w:szCs w:val="1"/>
                <w:color w:val="auto"/>
              </w:rPr>
            </w:pPr>
          </w:p>
        </w:tc>
      </w:tr>
      <w:tr>
        <w:trPr>
          <w:trHeight w:val="108"/>
        </w:trPr>
        <w:tc>
          <w:tcPr>
            <w:tcW w:w="62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20" w:type="dxa"/>
            <w:vAlign w:val="bottom"/>
            <w:vMerge w:val="restart"/>
          </w:tcPr>
          <w:p>
            <w:pPr>
              <w:ind w:left="8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AlpInvest Partners Mezzanine Investments 2005/2006 BV</w:t>
            </w:r>
          </w:p>
        </w:tc>
        <w:tc>
          <w:tcPr>
            <w:tcW w:w="3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51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 w:gutter="0" w:footer="0" w:header="0"/>
        </w:sectPr>
      </w:pPr>
    </w:p>
    <w:bookmarkStart w:id="220" w:name="page221"/>
    <w:bookmarkEnd w:id="220"/>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6040" w:type="dxa"/>
            <w:vAlign w:val="bottom"/>
          </w:tcPr>
          <w:p>
            <w:pPr>
              <w:spacing w:after="0"/>
              <w:rPr>
                <w:sz w:val="24"/>
                <w:szCs w:val="24"/>
                <w:color w:val="auto"/>
              </w:rPr>
            </w:pPr>
          </w:p>
        </w:tc>
        <w:tc>
          <w:tcPr>
            <w:tcW w:w="374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3740" w:type="dxa"/>
            <w:vAlign w:val="bottom"/>
          </w:tcPr>
          <w:p>
            <w:pPr>
              <w:jc w:val="center"/>
              <w:ind w:right="6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604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740" w:type="dxa"/>
            <w:vAlign w:val="bottom"/>
          </w:tcPr>
          <w:p>
            <w:pPr>
              <w:jc w:val="center"/>
              <w:ind w:right="4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79"/>
        </w:trPr>
        <w:tc>
          <w:tcPr>
            <w:tcW w:w="604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AlpInvest Partners Mezzanine Investments 2007/2009 BV</w:t>
            </w: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Partners Pte. Ltd</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Italy</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Partners S.r.l.</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Partners Secondary Investments 2015 I B.V</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Partners Secondary Investments 2015 II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Partners Secondary Investments 2016 I B.V</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Partners Secondary Investments 2018/2019 I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Partners US Mezzanine Investments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Partnership Fund GP S.à r.l</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Partnership Strategic Account GP, LL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PEP GP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PG 2022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Phoenix SCF I GP, L.P</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PM GP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PM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Primary Co-Invest LL</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Primary Non-US Co-Invest,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Primary Ultimate GP I, LL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Primary US Co-Invest,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Investment Management, LLC</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2017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2018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2020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2021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2022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Private Equity Program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PSS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PSS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PSS II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RedC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RedC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Roman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RV, LL</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Secondaries Merlion GP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Secondaries Merlion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Secondaries V GP, LL</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Secondaries VI GP LLC</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Secondaries VI Lux GP S.à r.l</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Secondaries VII GP,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Secondaries VII Lux GP S.à 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Secondaries VIII GP,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Secondaries VIII Lux GP S.à 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Secondaries VIII Ultimate GP, LL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6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6"/>
          <w:szCs w:val="16"/>
          <w:b w:val="1"/>
          <w:bCs w:val="1"/>
          <w:color w:val="auto"/>
        </w:rPr>
        <w:t>Jurisdiction of</w:t>
      </w:r>
    </w:p>
    <w:p>
      <w:pPr>
        <w:ind w:left="7280"/>
        <w:spacing w:after="0" w:line="219" w:lineRule="auto"/>
        <w:rPr>
          <w:sz w:val="20"/>
          <w:szCs w:val="20"/>
          <w:color w:val="auto"/>
        </w:rPr>
      </w:pPr>
      <w:r>
        <w:rPr>
          <w:rFonts w:ascii="Times New Roman" w:cs="Times New Roman" w:eastAsia="Times New Roman" w:hAnsi="Times New Roman"/>
          <w:sz w:val="16"/>
          <w:szCs w:val="16"/>
          <w:b w:val="1"/>
          <w:bCs w:val="1"/>
          <w:color w:val="auto"/>
        </w:rPr>
        <w:t>Incorporation or</w:t>
      </w:r>
    </w:p>
    <w:p>
      <w:pPr>
        <w:ind w:left="1180"/>
        <w:spacing w:after="0"/>
        <w:tabs>
          <w:tab w:leader="none" w:pos="7380" w:val="left"/>
        </w:tabs>
        <w:rPr>
          <w:sz w:val="20"/>
          <w:szCs w:val="20"/>
          <w:color w:val="auto"/>
        </w:rPr>
      </w:pPr>
      <w:r>
        <w:rPr>
          <w:rFonts w:ascii="Times New Roman" w:cs="Times New Roman" w:eastAsia="Times New Roman" w:hAnsi="Times New Roman"/>
          <w:sz w:val="16"/>
          <w:szCs w:val="16"/>
          <w:b w:val="1"/>
          <w:bCs w:val="1"/>
          <w:color w:val="auto"/>
        </w:rPr>
        <w:t>Company Nam</w:t>
      </w:r>
      <w:r>
        <w:rPr>
          <w:sz w:val="20"/>
          <w:szCs w:val="20"/>
          <w:color w:val="auto"/>
        </w:rPr>
        <w:tab/>
      </w:r>
      <w:r>
        <w:rPr>
          <w:rFonts w:ascii="Times New Roman" w:cs="Times New Roman" w:eastAsia="Times New Roman" w:hAnsi="Times New Roman"/>
          <w:sz w:val="14"/>
          <w:szCs w:val="14"/>
          <w:b w:val="1"/>
          <w:bCs w:val="1"/>
          <w:color w:val="auto"/>
        </w:rPr>
        <w:t>Organization</w:t>
      </w:r>
    </w:p>
    <w:p>
      <w:pPr>
        <w:sectPr>
          <w:pgSz w:w="11900" w:h="16840" w:orient="portrait"/>
          <w:cols w:equalWidth="0" w:num="1">
            <w:col w:w="9780"/>
          </w:cols>
          <w:pgMar w:left="1060" w:top="1440" w:right="1060" w:bottom="56"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AlpInvest Secondary Ultimate GP I,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Seed GP, L.P</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SF V B.V</w:t>
            </w:r>
          </w:p>
        </w:tc>
        <w:tc>
          <w:tcPr>
            <w:tcW w:w="3740" w:type="dxa"/>
            <w:vAlign w:val="bottom"/>
          </w:tcPr>
          <w:p>
            <w:pPr>
              <w:ind w:left="1100"/>
              <w:spacing w:after="0" w:line="120" w:lineRule="exact"/>
              <w:rPr>
                <w:sz w:val="20"/>
                <w:szCs w:val="20"/>
                <w:color w:val="auto"/>
              </w:rPr>
            </w:pPr>
            <w:r>
              <w:rPr>
                <w:rFonts w:ascii="Times New Roman" w:cs="Times New Roman" w:eastAsia="Times New Roman" w:hAnsi="Times New Roman"/>
                <w:sz w:val="13"/>
                <w:szCs w:val="13"/>
                <w:color w:val="auto"/>
              </w:rPr>
              <w:t>Netherlands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SF VI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SF VII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SF VIII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SIG Fund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SIG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SIG GP II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SIG II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SPF II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AlpInvest Spire GP, L.P</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Strategic Portfolio Finance II GP, 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Strategic Portfolio Finance II Lux GP S.à 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Strategic Portfolio Finance II Ultimate GP, LL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AlpInvest Strategic Portfolio Finance Ultimate GP I, LL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UK Holdings, LLC</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AlpInvest United B.V</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US Co-Investment Access GP LLC</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US Holdings,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VG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Victoria Growth Portfolio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AlpInvest WB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Alplnvest Partners Secondary Investments 2020/2021 I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2012 Holdings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2012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2013 Holdings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2013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2014 Holdings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2014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2015 Holdings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AMC 2015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AP 2011-2014 SLP Lt</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AP 2014-2016 SLP Ltd</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Account Management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604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AP Co-Invest 2016-2020 SLP Ltd</w:t>
            </w:r>
          </w:p>
        </w:tc>
        <w:tc>
          <w:tcPr>
            <w:tcW w:w="3740" w:type="dxa"/>
            <w:vAlign w:val="bottom"/>
          </w:tcPr>
          <w:p>
            <w:pPr>
              <w:ind w:left="110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H Secondaries B.V.</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Harvest GP B.V.</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INPRS SLP Ltd.</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M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P GP, LLC</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P II GP, L.P.</w:t>
            </w:r>
          </w:p>
        </w:tc>
        <w:tc>
          <w:tcPr>
            <w:tcW w:w="37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2"/>
        </w:trPr>
        <w:tc>
          <w:tcPr>
            <w:tcW w:w="6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5420" w:type="dxa"/>
            <w:vAlign w:val="bottom"/>
          </w:tcPr>
          <w:p>
            <w:pPr>
              <w:spacing w:after="0"/>
              <w:rPr>
                <w:sz w:val="24"/>
                <w:szCs w:val="24"/>
                <w:color w:val="auto"/>
              </w:rPr>
            </w:pPr>
          </w:p>
        </w:tc>
        <w:tc>
          <w:tcPr>
            <w:tcW w:w="4360" w:type="dxa"/>
            <w:vAlign w:val="bottom"/>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4360" w:type="dxa"/>
            <w:vAlign w:val="bottom"/>
          </w:tcPr>
          <w:p>
            <w:pPr>
              <w:jc w:val="center"/>
              <w:ind w:left="40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42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360" w:type="dxa"/>
            <w:vAlign w:val="bottom"/>
          </w:tcPr>
          <w:p>
            <w:pPr>
              <w:jc w:val="center"/>
              <w:ind w:left="42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AP Primary 2017-2021 SLP Ltd</w:t>
            </w:r>
          </w:p>
        </w:tc>
        <w:tc>
          <w:tcPr>
            <w:tcW w:w="4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Private Equity Investments I B.V.</w:t>
            </w:r>
          </w:p>
        </w:tc>
        <w:tc>
          <w:tcPr>
            <w:tcW w:w="4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Private Equity Investments III B.V.</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AP World Fund B.V.</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54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Apollo Aviation Acquisitions, LL</w:t>
            </w:r>
          </w:p>
        </w:tc>
        <w:tc>
          <w:tcPr>
            <w:tcW w:w="4360" w:type="dxa"/>
            <w:vAlign w:val="bottom"/>
          </w:tcPr>
          <w:p>
            <w:pPr>
              <w:ind w:left="1720"/>
              <w:spacing w:after="0" w:line="182" w:lineRule="exact"/>
              <w:rPr>
                <w:sz w:val="20"/>
                <w:szCs w:val="20"/>
                <w:color w:val="auto"/>
              </w:rPr>
            </w:pPr>
            <w:r>
              <w:rPr>
                <w:rFonts w:ascii="Times New Roman" w:cs="Times New Roman" w:eastAsia="Times New Roman" w:hAnsi="Times New Roman"/>
                <w:sz w:val="16"/>
                <w:szCs w:val="16"/>
                <w:color w:val="auto"/>
              </w:rPr>
              <w:t>Florida</w:t>
            </w: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Apollo Aviation Lease Management, LL</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ASCP Hyperion GP, LL</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Hyperion SPV GP, LLC</w:t>
            </w:r>
          </w:p>
        </w:tc>
        <w:tc>
          <w:tcPr>
            <w:tcW w:w="4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Hyperion SPV, L.P.</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4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ASCP Hyperion, L.P</w:t>
            </w:r>
          </w:p>
        </w:tc>
        <w:tc>
          <w:tcPr>
            <w:tcW w:w="4360" w:type="dxa"/>
            <w:vAlign w:val="bottom"/>
          </w:tcPr>
          <w:p>
            <w:pPr>
              <w:ind w:left="17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Member GP II, LLC</w:t>
            </w:r>
          </w:p>
        </w:tc>
        <w:tc>
          <w:tcPr>
            <w:tcW w:w="4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Member GP, LLC</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30"/>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Oakland GP, L.P.</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22" w:name="page223"/>
    <w:bookmarkEnd w:id="2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3">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Orchard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Orchard SPV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Orchard SPV,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ASCP Orchard,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ASF V Co-Invest Holding Ltd</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ASF V Co-Invest Ltd</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ASF VII Access Sidecar GP, LLC</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ASF VIII Sidecar GP B.V.</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ASF VIII Sidecar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2021 Agg.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2022 Agg.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2023 Agg.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2024 Agg.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Catalyst GP,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Ross GP,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Sunrise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Thunderball B.V.</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ASP VI 2016-2020 SLP Ltd</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 VII GP Co, LLC</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ASPF I Co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ASPF II 2022 - I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ASPF II Sidecar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ASPF N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ASPF Skyfall, B.V.</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Atom Investment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Betacom Beheer 2004 B</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V</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Betacom XLII B.V.</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Betacom XLV BV</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Brazil Internationalization II (Delaware),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Brazil Internationalization, L.L.C</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700" w:type="dxa"/>
            <w:vAlign w:val="bottom"/>
          </w:tcPr>
          <w:p>
            <w:pPr>
              <w:spacing w:after="0"/>
              <w:rPr>
                <w:sz w:val="24"/>
                <w:szCs w:val="24"/>
                <w:color w:val="auto"/>
              </w:rPr>
            </w:pPr>
          </w:p>
        </w:tc>
        <w:tc>
          <w:tcPr>
            <w:tcW w:w="40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14"/>
                <w:szCs w:val="14"/>
                <w:color w:val="auto"/>
              </w:rPr>
            </w:pPr>
          </w:p>
        </w:tc>
        <w:tc>
          <w:tcPr>
            <w:tcW w:w="4080" w:type="dxa"/>
            <w:vAlign w:val="bottom"/>
          </w:tcPr>
          <w:p>
            <w:pPr>
              <w:jc w:val="center"/>
              <w:ind w:left="12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7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080" w:type="dxa"/>
            <w:vAlign w:val="bottom"/>
          </w:tcPr>
          <w:p>
            <w:pPr>
              <w:jc w:val="center"/>
              <w:ind w:left="14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BRL Funding Partners, L.L.C</w:t>
            </w: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 ENERGY ILP GENERAL PARTNER LTD.</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CAF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CAF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CAF Lux General Partner, S.à r.l</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CAGP General Partner,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CAGP IV AIV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CAGP IV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CAGP IV,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CAGP, Ltd.</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CALF Holdings, Ltd</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CALF I General Partner,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CALF Investment Limite</w:t>
            </w:r>
          </w:p>
        </w:tc>
        <w:tc>
          <w:tcPr>
            <w:tcW w:w="4080" w:type="dxa"/>
            <w:vAlign w:val="bottom"/>
          </w:tcPr>
          <w:p>
            <w:pPr>
              <w:ind w:left="144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CAP Advisors (Hong Kong) Limite</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Growth I General Partner,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Growth 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Growth II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Growth II Lux GP, S.à r.l.</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Growth II,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III GENERAL PARTNER (SCOT)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III General Partner S3,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III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III S3 Ltd.</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CAP III,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23" w:name="page224"/>
    <w:bookmarkEnd w:id="2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4">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INVESTMENT HOLDINGS LIMITED</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660" w:type="dxa"/>
            <w:vAlign w:val="bottom"/>
          </w:tcPr>
          <w:p>
            <w:pPr>
              <w:ind w:left="40"/>
              <w:spacing w:after="0" w:line="167" w:lineRule="exact"/>
              <w:rPr>
                <w:sz w:val="20"/>
                <w:szCs w:val="20"/>
                <w:color w:val="auto"/>
              </w:rPr>
            </w:pPr>
            <w:r>
              <w:rPr>
                <w:rFonts w:ascii="Times New Roman" w:cs="Times New Roman" w:eastAsia="Times New Roman" w:hAnsi="Times New Roman"/>
                <w:sz w:val="16"/>
                <w:szCs w:val="16"/>
                <w:color w:val="auto"/>
              </w:rPr>
              <w:t>CAP IV General Partner, L.P.</w:t>
            </w:r>
          </w:p>
        </w:tc>
        <w:tc>
          <w:tcPr>
            <w:tcW w:w="3980" w:type="dxa"/>
            <w:vAlign w:val="bottom"/>
            <w:gridSpan w:val="2"/>
          </w:tcPr>
          <w:p>
            <w:pPr>
              <w:ind w:left="1340"/>
              <w:spacing w:after="0" w:line="16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IV Ltd.</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1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IV Lux GP, S.à r.l.</w:t>
            </w:r>
          </w:p>
        </w:tc>
        <w:tc>
          <w:tcPr>
            <w:tcW w:w="28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Luxembourg</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IV, L.L.C.</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MANAGEMENT HOLDINGS LIMITED</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V General Partner, L.P.</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6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CAP V Lux Feeder GP, S.à r.l</w:t>
            </w:r>
          </w:p>
        </w:tc>
        <w:tc>
          <w:tcPr>
            <w:tcW w:w="3980" w:type="dxa"/>
            <w:vAlign w:val="bottom"/>
            <w:gridSpan w:val="2"/>
          </w:tcPr>
          <w:p>
            <w:pPr>
              <w:ind w:left="13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8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6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CAP V Luxembourg GP, S.à r.l</w:t>
            </w: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V, L.L.C.</w:t>
            </w:r>
          </w:p>
        </w:tc>
        <w:tc>
          <w:tcPr>
            <w:tcW w:w="3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VI General Partner, L.P.</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VI Lux GP, S.à r.l.</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 VI, L.L.C.</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CAPM (EU) GP B.V.</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CARAV GP, L.L.C.</w:t>
            </w:r>
          </w:p>
        </w:tc>
        <w:tc>
          <w:tcPr>
            <w:tcW w:w="39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6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CARE Engagement, Ltd</w:t>
            </w:r>
          </w:p>
        </w:tc>
        <w:tc>
          <w:tcPr>
            <w:tcW w:w="3980" w:type="dxa"/>
            <w:vAlign w:val="bottom"/>
            <w:gridSpan w:val="2"/>
          </w:tcPr>
          <w:p>
            <w:pPr>
              <w:ind w:left="134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8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6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(Beijing) Investment Consulting Center, L.P</w:t>
            </w: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6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(Beijing) Investment Management Co., Ltd</w:t>
            </w: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1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780"/>
          </w:cols>
          <w:pgMar w:left="1060" w:top="530" w:right="10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Company Nam</w:t>
      </w:r>
    </w:p>
    <w:p>
      <w:pPr>
        <w:ind w:left="1180"/>
        <w:spacing w:after="0" w:line="187" w:lineRule="auto"/>
        <w:rPr>
          <w:sz w:val="20"/>
          <w:szCs w:val="20"/>
          <w:color w:val="auto"/>
        </w:rPr>
      </w:pPr>
      <w:r>
        <w:rPr>
          <w:rFonts w:ascii="Times New Roman" w:cs="Times New Roman" w:eastAsia="Times New Roman" w:hAnsi="Times New Roman"/>
          <w:sz w:val="12"/>
          <w:szCs w:val="12"/>
          <w:b w:val="1"/>
          <w:bCs w:val="1"/>
          <w:color w:val="auto"/>
        </w:rPr>
        <w:t>e</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Access GP 2014,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Access GP 2014,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Access GP 2015,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Access GP 2015,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rPr>
          <w:sz w:val="20"/>
          <w:szCs w:val="20"/>
          <w:color w:val="auto"/>
        </w:rPr>
      </w:pPr>
      <w:r>
        <w:rPr>
          <w:rFonts w:ascii="Times New Roman" w:cs="Times New Roman" w:eastAsia="Times New Roman" w:hAnsi="Times New Roman"/>
          <w:sz w:val="16"/>
          <w:szCs w:val="16"/>
          <w:color w:val="auto"/>
        </w:rPr>
        <w:t>Carlyle Access GP III, L.L.C.</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Access GP III,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rPr>
          <w:sz w:val="20"/>
          <w:szCs w:val="20"/>
          <w:color w:val="auto"/>
        </w:rPr>
      </w:pPr>
      <w:r>
        <w:rPr>
          <w:rFonts w:ascii="Times New Roman" w:cs="Times New Roman" w:eastAsia="Times New Roman" w:hAnsi="Times New Roman"/>
          <w:sz w:val="16"/>
          <w:szCs w:val="16"/>
          <w:color w:val="auto"/>
        </w:rPr>
        <w:t>Carlyle Access GP IV, L.L.C.</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Access GP IV,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 S1 II, L.P</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 S1,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 S2 Care,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Alternative Opportunities GP S2 II,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 S2,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GP-GP S1, L.L.C</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Alternative Opportunities GP-GP,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Asia Investment Advisors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Asia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Asia PE Alternative Opportunities GP S2 II,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Asia PE Alternative Opportunities GP S2, L.P</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Carlyle Asia Real Estate II GP, L.P.</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Asia Real Estate II GP,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Aurora Revolving Loan Fund GP, L.L.C</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Aurora Revolving Loan Fund GP,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Australia Advisors Pty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Australia Equity Management Pty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Australia Investment Advisors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Australia Real Estate Advisors Pty Lt</w:t>
      </w:r>
    </w:p>
    <w:p>
      <w:pPr>
        <w:ind w:left="1180"/>
        <w:spacing w:after="0" w:line="192" w:lineRule="auto"/>
        <w:rPr>
          <w:sz w:val="20"/>
          <w:szCs w:val="20"/>
          <w:color w:val="auto"/>
        </w:rPr>
      </w:pPr>
      <w:r>
        <w:rPr>
          <w:rFonts w:ascii="Times New Roman" w:cs="Times New Roman" w:eastAsia="Times New Roman" w:hAnsi="Times New Roman"/>
          <w:sz w:val="13"/>
          <w:szCs w:val="13"/>
          <w:color w:val="auto"/>
        </w:rPr>
        <w:t>d</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Fund Management II LL</w:t>
      </w:r>
    </w:p>
    <w:p>
      <w:pPr>
        <w:ind w:left="1180"/>
        <w:spacing w:after="0" w:line="193" w:lineRule="auto"/>
        <w:rPr>
          <w:sz w:val="20"/>
          <w:szCs w:val="20"/>
          <w:color w:val="auto"/>
        </w:rPr>
      </w:pPr>
      <w:r>
        <w:rPr>
          <w:rFonts w:ascii="Times New Roman" w:cs="Times New Roman" w:eastAsia="Times New Roman" w:hAnsi="Times New Roman"/>
          <w:sz w:val="13"/>
          <w:szCs w:val="13"/>
          <w:color w:val="auto"/>
        </w:rPr>
        <w:t>C</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Fund Management, LL</w:t>
      </w:r>
    </w:p>
    <w:p>
      <w:pPr>
        <w:ind w:left="1180"/>
        <w:spacing w:after="0" w:line="193" w:lineRule="auto"/>
        <w:rPr>
          <w:sz w:val="20"/>
          <w:szCs w:val="20"/>
          <w:color w:val="auto"/>
        </w:rPr>
      </w:pPr>
      <w:r>
        <w:rPr>
          <w:rFonts w:ascii="Times New Roman" w:cs="Times New Roman" w:eastAsia="Times New Roman" w:hAnsi="Times New Roman"/>
          <w:sz w:val="13"/>
          <w:szCs w:val="13"/>
          <w:color w:val="auto"/>
        </w:rPr>
        <w:t>C</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Aviation Group, LL</w:t>
      </w:r>
    </w:p>
    <w:p>
      <w:pPr>
        <w:ind w:left="1180"/>
        <w:spacing w:after="0" w:line="193" w:lineRule="auto"/>
        <w:rPr>
          <w:sz w:val="20"/>
          <w:szCs w:val="20"/>
          <w:color w:val="auto"/>
        </w:rPr>
      </w:pPr>
      <w:r>
        <w:rPr>
          <w:rFonts w:ascii="Times New Roman" w:cs="Times New Roman" w:eastAsia="Times New Roman" w:hAnsi="Times New Roman"/>
          <w:sz w:val="13"/>
          <w:szCs w:val="13"/>
          <w:color w:val="auto"/>
        </w:rPr>
        <w:t>C</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Holdings U.S.,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Leasing Services L</w:t>
      </w:r>
    </w:p>
    <w:p>
      <w:pPr>
        <w:ind w:left="1180"/>
        <w:spacing w:after="0" w:line="192" w:lineRule="auto"/>
        <w:rPr>
          <w:sz w:val="20"/>
          <w:szCs w:val="20"/>
          <w:color w:val="auto"/>
        </w:rPr>
      </w:pPr>
      <w:r>
        <w:rPr>
          <w:rFonts w:ascii="Times New Roman" w:cs="Times New Roman" w:eastAsia="Times New Roman" w:hAnsi="Times New Roman"/>
          <w:sz w:val="13"/>
          <w:szCs w:val="13"/>
          <w:color w:val="auto"/>
        </w:rPr>
        <w:t>P</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Leasing Services UGP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Luxembourg S.à r.l</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right="1360"/>
        <w:spacing w:after="0"/>
        <w:rPr>
          <w:sz w:val="20"/>
          <w:szCs w:val="20"/>
          <w:color w:val="auto"/>
        </w:rPr>
      </w:pPr>
      <w:r>
        <w:rPr>
          <w:rFonts w:ascii="Times New Roman" w:cs="Times New Roman" w:eastAsia="Times New Roman" w:hAnsi="Times New Roman"/>
          <w:sz w:val="14"/>
          <w:szCs w:val="14"/>
          <w:color w:val="auto"/>
        </w:rPr>
        <w:t>Carlyle Aviation Management Irish Holding Company Limite d</w:t>
      </w:r>
    </w:p>
    <w:p>
      <w:pPr>
        <w:ind w:left="1180"/>
        <w:spacing w:after="0" w:line="228" w:lineRule="auto"/>
        <w:rPr>
          <w:sz w:val="20"/>
          <w:szCs w:val="20"/>
          <w:color w:val="auto"/>
        </w:rPr>
      </w:pPr>
      <w:r>
        <w:rPr>
          <w:rFonts w:ascii="Times New Roman" w:cs="Times New Roman" w:eastAsia="Times New Roman" w:hAnsi="Times New Roman"/>
          <w:sz w:val="16"/>
          <w:szCs w:val="16"/>
          <w:color w:val="auto"/>
        </w:rPr>
        <w:t>Carlyle Aviation Management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Management Singapore Pte. Ltd</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Aviation Partners LL</w:t>
      </w:r>
    </w:p>
    <w:p>
      <w:pPr>
        <w:ind w:left="1180"/>
        <w:spacing w:after="0"/>
        <w:rPr>
          <w:sz w:val="20"/>
          <w:szCs w:val="20"/>
          <w:color w:val="auto"/>
        </w:rPr>
      </w:pPr>
      <w:r>
        <w:rPr>
          <w:rFonts w:ascii="Times New Roman" w:cs="Times New Roman" w:eastAsia="Times New Roman" w:hAnsi="Times New Roman"/>
          <w:sz w:val="16"/>
          <w:szCs w:val="16"/>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Jurisdiction of</w:t>
      </w:r>
    </w:p>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ectPr>
          <w:pgSz w:w="11900" w:h="16840" w:orient="portrait"/>
          <w:cols w:equalWidth="0" w:num="2">
            <w:col w:w="6420" w:space="720"/>
            <w:col w:w="2640"/>
          </w:cols>
          <w:pgMar w:left="1060" w:top="530" w:right="1060" w:bottom="8" w:gutter="0" w:footer="0" w:header="0"/>
          <w:type w:val="continuous"/>
        </w:sectPr>
      </w:pPr>
    </w:p>
    <w:bookmarkStart w:id="224" w:name="page225"/>
    <w:bookmarkEnd w:id="224"/>
    <w:tbl>
      <w:tblPr>
        <w:tblLayout w:type="fixed"/>
        <w:tblInd w:w="0" w:type="dxa"/>
        <w:tblCellMar>
          <w:top w:w="0" w:type="dxa"/>
          <w:left w:w="0" w:type="dxa"/>
          <w:bottom w:w="0" w:type="dxa"/>
          <w:right w:w="0" w:type="dxa"/>
        </w:tblCellMar>
      </w:tblPr>
      <w:tr>
        <w:trPr>
          <w:trHeight w:val="184"/>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Aviation Partners Ltd</w:t>
            </w:r>
          </w:p>
        </w:tc>
        <w:tc>
          <w:tcPr>
            <w:tcW w:w="43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60" w:type="dxa"/>
            <w:vAlign w:val="bottom"/>
            <w:vMerge w:val="restart"/>
          </w:tcPr>
          <w:p>
            <w:pPr>
              <w:ind w:left="1720"/>
              <w:spacing w:after="0" w:line="156"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48"/>
        </w:trPr>
        <w:tc>
          <w:tcPr>
            <w:tcW w:w="5420" w:type="dxa"/>
            <w:vAlign w:val="bottom"/>
          </w:tcPr>
          <w:p>
            <w:pPr>
              <w:ind w:left="1180"/>
              <w:spacing w:after="0"/>
              <w:rPr>
                <w:sz w:val="20"/>
                <w:szCs w:val="20"/>
                <w:color w:val="auto"/>
              </w:rPr>
            </w:pPr>
            <w:r>
              <w:rPr>
                <w:rFonts w:ascii="Times New Roman" w:cs="Times New Roman" w:eastAsia="Times New Roman" w:hAnsi="Times New Roman"/>
                <w:sz w:val="4"/>
                <w:szCs w:val="4"/>
                <w:color w:val="auto"/>
              </w:rPr>
              <w:t>Carlyle Aviation PDP Management LL</w:t>
            </w:r>
          </w:p>
        </w:tc>
        <w:tc>
          <w:tcPr>
            <w:tcW w:w="4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Runway PDP GP LL</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Securities Partners, LL</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60" w:type="dxa"/>
            <w:vAlign w:val="bottom"/>
            <w:vMerge w:val="restart"/>
          </w:tcPr>
          <w:p>
            <w:pPr>
              <w:ind w:left="17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4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II UGP Ltd</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4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5">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6000" w:type="dxa"/>
            <w:vAlign w:val="bottom"/>
          </w:tcPr>
          <w:p>
            <w:pPr>
              <w:spacing w:after="0"/>
              <w:rPr>
                <w:sz w:val="24"/>
                <w:szCs w:val="24"/>
                <w:color w:val="auto"/>
              </w:rPr>
            </w:pPr>
          </w:p>
        </w:tc>
        <w:tc>
          <w:tcPr>
            <w:tcW w:w="37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6000" w:type="dxa"/>
            <w:vAlign w:val="bottom"/>
          </w:tcPr>
          <w:p>
            <w:pPr>
              <w:spacing w:after="0"/>
              <w:rPr>
                <w:sz w:val="14"/>
                <w:szCs w:val="14"/>
                <w:color w:val="auto"/>
              </w:rPr>
            </w:pPr>
          </w:p>
        </w:tc>
        <w:tc>
          <w:tcPr>
            <w:tcW w:w="3780" w:type="dxa"/>
            <w:vAlign w:val="bottom"/>
          </w:tcPr>
          <w:p>
            <w:pPr>
              <w:jc w:val="center"/>
              <w:ind w:right="2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60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780" w:type="dxa"/>
            <w:vAlign w:val="bottom"/>
          </w:tcPr>
          <w:p>
            <w:pPr>
              <w:jc w:val="center"/>
              <w:ind w:right="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Carlyle Aviation Services III L</w:t>
            </w: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III UGP Ltd</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IV L</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IV UGP Ltd</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Limite</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V L</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V UGP Ltd</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AVIATION SERVICES VI LP</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Aviation Services VI UGP Ltd</w:t>
            </w:r>
          </w:p>
        </w:tc>
        <w:tc>
          <w:tcPr>
            <w:tcW w:w="3780" w:type="dxa"/>
            <w:vAlign w:val="bottom"/>
          </w:tcPr>
          <w:p>
            <w:pPr>
              <w:ind w:left="114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Aviation Services, II L.P</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Banyan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Beratungs Gmb</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H</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Bonus Holdings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Brasil Consultoria em Investimentos Ltda</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Bravo Credit SLP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Bravo Credit Special Limited Partner L.P</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Capital Coinvestment Partners, L.P.</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Cavalier GP, L.L.C</w:t>
            </w:r>
          </w:p>
        </w:tc>
        <w:tc>
          <w:tcPr>
            <w:tcW w:w="3780" w:type="dxa"/>
            <w:vAlign w:val="bottom"/>
          </w:tcPr>
          <w:p>
            <w:pPr>
              <w:ind w:left="114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Cavalier GP, L.P.</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China Realty GP, L.P</w:t>
            </w:r>
          </w:p>
        </w:tc>
        <w:tc>
          <w:tcPr>
            <w:tcW w:w="3780" w:type="dxa"/>
            <w:vAlign w:val="bottom"/>
          </w:tcPr>
          <w:p>
            <w:pPr>
              <w:ind w:left="114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China Realty Ltd</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CIM Agent,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CLO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CLO ILP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CLO Investment Holdings, L.P.</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CLO Management Europe LLC</w:t>
            </w:r>
          </w:p>
        </w:tc>
        <w:tc>
          <w:tcPr>
            <w:tcW w:w="37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0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Carlyle CLO Management L.L.C</w:t>
            </w:r>
          </w:p>
        </w:tc>
        <w:tc>
          <w:tcPr>
            <w:tcW w:w="3780" w:type="dxa"/>
            <w:vAlign w:val="bottom"/>
          </w:tcPr>
          <w:p>
            <w:pPr>
              <w:ind w:left="11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CLO Partners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CLO Partners Manager, L.L.</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CLOP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Commodity Management,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Credit K Fund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Credit Opportunities TX Co-Invest Manager, L.L.</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Care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GP S1,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II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II GP, L.P</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Alternative Opportunities II S1 GP, L.P</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Lending Drawdown CLO 2022-1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Lending Drawdown CLO 2023-2, LL</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Lending Fund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80" w:type="dxa"/>
            <w:vAlign w:val="bottom"/>
            <w:vMerge w:val="restart"/>
          </w:tcPr>
          <w:p>
            <w:pPr>
              <w:ind w:left="11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Direct Lending W Fund GP, L.L.C</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6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6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6">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56"/>
        </w:trPr>
        <w:tc>
          <w:tcPr>
            <w:tcW w:w="596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960" w:type="dxa"/>
            <w:vAlign w:val="bottom"/>
          </w:tcPr>
          <w:p>
            <w:pPr>
              <w:spacing w:after="0"/>
              <w:rPr>
                <w:sz w:val="14"/>
                <w:szCs w:val="14"/>
                <w:color w:val="auto"/>
              </w:rPr>
            </w:pPr>
          </w:p>
        </w:tc>
        <w:tc>
          <w:tcPr>
            <w:tcW w:w="38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9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8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Carlyle Diversified Infrastructure GP S1, L.L.C</w:t>
            </w:r>
          </w:p>
        </w:tc>
        <w:tc>
          <w:tcPr>
            <w:tcW w:w="3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Diversified Infrastructure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Diversified Infrastructure Lux GP, S.à r.l</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Diversified Infrastructure Managing GP, L.P</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Diversified Infrastructure Master Fund III, S.C.Sp</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EPE Alternative Opportunities GP S2 II, L.P</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Equity Opportunity GP AIV Cayman, L.P.</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Equity Opportunity GP AIV, L.L.C</w:t>
            </w:r>
          </w:p>
        </w:tc>
        <w:tc>
          <w:tcPr>
            <w:tcW w:w="38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Equity Opportunity GP AIV, L.P.</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Equity Opportunity GP, L.L.C</w:t>
            </w:r>
          </w:p>
        </w:tc>
        <w:tc>
          <w:tcPr>
            <w:tcW w:w="38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Equity Opportunity GP, L.P.</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Equity Opportunity GP-S1, L.P.</w:t>
            </w:r>
          </w:p>
        </w:tc>
        <w:tc>
          <w:tcPr>
            <w:tcW w:w="38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9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Carlyle ETPE Alternative Opportunities GP S2, L.P</w:t>
            </w:r>
          </w:p>
        </w:tc>
        <w:tc>
          <w:tcPr>
            <w:tcW w:w="38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2013-1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2017-1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2017-3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2018-1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2022-1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2022-2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2024-1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CLO 2024-2 Designated Activity Compan</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 DL Aggregator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Europe Real Estate St. Lazare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Falcon Structured Solutions Manager,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Falcon Structured Solutions,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Bermuda</w:t>
            </w:r>
          </w:p>
        </w:tc>
        <w:tc>
          <w:tcPr>
            <w:tcW w:w="0" w:type="dxa"/>
            <w:vAlign w:val="bottom"/>
          </w:tcPr>
          <w:p>
            <w:pPr>
              <w:spacing w:after="0"/>
              <w:rPr>
                <w:sz w:val="1"/>
                <w:szCs w:val="1"/>
                <w:color w:val="auto"/>
              </w:rPr>
            </w:pPr>
          </w:p>
        </w:tc>
      </w:tr>
      <w:tr>
        <w:trPr>
          <w:trHeight w:val="191"/>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FCA Re GP-GP, L.P.</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Finance L.L.C</w:t>
            </w:r>
          </w:p>
        </w:tc>
        <w:tc>
          <w:tcPr>
            <w:tcW w:w="38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Finance Subsidiary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Financial Services II, Ltd</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Financial Services III AIV,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Financial Services III, LL</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Financial Services, Ltd</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Financial Services-A, Ltd</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Flexible Credit Opportunities Fund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Flexible Credit Opportunities Fund GP, L.P</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Flight Services LL</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FRL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Genesis UK LLC</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Genesis US LLC</w:t>
            </w:r>
          </w:p>
        </w:tc>
        <w:tc>
          <w:tcPr>
            <w:tcW w:w="38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9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Carlyle Global Credit (HK) Limite</w:t>
            </w:r>
          </w:p>
        </w:tc>
        <w:tc>
          <w:tcPr>
            <w:tcW w:w="38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Global Credit Administration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Global Credit Asia HT GP, L.L.C</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9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Global Credit Asia HT GP, L.P</w:t>
            </w:r>
          </w:p>
        </w:tc>
        <w:tc>
          <w:tcPr>
            <w:tcW w:w="3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9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9780"/>
          </w:cols>
          <w:pgMar w:left="1060" w:top="570" w:right="1060" w:bottom="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Company Nam</w:t>
      </w:r>
    </w:p>
    <w:p>
      <w:pPr>
        <w:ind w:left="1180"/>
        <w:spacing w:after="0" w:line="187" w:lineRule="auto"/>
        <w:rPr>
          <w:sz w:val="20"/>
          <w:szCs w:val="20"/>
          <w:color w:val="auto"/>
        </w:rPr>
      </w:pPr>
      <w:r>
        <w:rPr>
          <w:rFonts w:ascii="Times New Roman" w:cs="Times New Roman" w:eastAsia="Times New Roman" w:hAnsi="Times New Roman"/>
          <w:sz w:val="12"/>
          <w:szCs w:val="12"/>
          <w:b w:val="1"/>
          <w:bCs w:val="1"/>
          <w:color w:val="auto"/>
        </w:rPr>
        <w:t>e</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Global Credit Asia HT,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Global Credit Investment Management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Global Market Strategies CLO 2012-4,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Global Market Strategies CLO 2015-5,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Global Market Strategies CLO 2016-1, LL</w:t>
      </w:r>
    </w:p>
    <w:p>
      <w:pPr>
        <w:ind w:left="1180"/>
        <w:spacing w:after="0" w:line="192" w:lineRule="auto"/>
        <w:rPr>
          <w:sz w:val="20"/>
          <w:szCs w:val="20"/>
          <w:color w:val="auto"/>
        </w:rPr>
      </w:pPr>
      <w:r>
        <w:rPr>
          <w:rFonts w:ascii="Times New Roman" w:cs="Times New Roman" w:eastAsia="Times New Roman" w:hAnsi="Times New Roman"/>
          <w:sz w:val="13"/>
          <w:szCs w:val="13"/>
          <w:color w:val="auto"/>
        </w:rPr>
        <w:t>C</w:t>
      </w:r>
    </w:p>
    <w:p>
      <w:pPr>
        <w:spacing w:after="0" w:line="1" w:lineRule="exact"/>
        <w:rPr>
          <w:sz w:val="20"/>
          <w:szCs w:val="20"/>
          <w:color w:val="auto"/>
        </w:rPr>
      </w:pPr>
    </w:p>
    <w:p>
      <w:pPr>
        <w:ind w:left="1180" w:right="1040"/>
        <w:spacing w:after="0"/>
        <w:rPr>
          <w:sz w:val="20"/>
          <w:szCs w:val="20"/>
          <w:color w:val="auto"/>
        </w:rPr>
      </w:pPr>
      <w:r>
        <w:rPr>
          <w:rFonts w:ascii="Times New Roman" w:cs="Times New Roman" w:eastAsia="Times New Roman" w:hAnsi="Times New Roman"/>
          <w:sz w:val="14"/>
          <w:szCs w:val="14"/>
          <w:color w:val="auto"/>
        </w:rPr>
        <w:t>Carlyle Global Market Strategies Commodities Funding 2014-1, Lt d</w:t>
      </w:r>
    </w:p>
    <w:p>
      <w:pPr>
        <w:spacing w:after="0" w:line="67" w:lineRule="exact"/>
        <w:rPr>
          <w:sz w:val="20"/>
          <w:szCs w:val="20"/>
          <w:color w:val="auto"/>
        </w:rPr>
      </w:pPr>
    </w:p>
    <w:p>
      <w:pPr>
        <w:ind w:left="1180" w:right="960"/>
        <w:spacing w:after="0" w:line="191" w:lineRule="auto"/>
        <w:rPr>
          <w:sz w:val="20"/>
          <w:szCs w:val="20"/>
          <w:color w:val="auto"/>
        </w:rPr>
      </w:pPr>
      <w:r>
        <w:rPr>
          <w:rFonts w:ascii="Times New Roman" w:cs="Times New Roman" w:eastAsia="Times New Roman" w:hAnsi="Times New Roman"/>
          <w:sz w:val="16"/>
          <w:szCs w:val="16"/>
          <w:color w:val="auto"/>
        </w:rPr>
        <w:t>Carlyle Global Market Strategies Commodities Funding 2015-1, Ltd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Jurisdiction of</w:t>
      </w:r>
    </w:p>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ectPr>
          <w:pgSz w:w="11900" w:h="16840" w:orient="portrait"/>
          <w:cols w:equalWidth="0" w:num="2">
            <w:col w:w="6420" w:space="720"/>
            <w:col w:w="2640"/>
          </w:cols>
          <w:pgMar w:left="1060" w:top="570" w:right="1060" w:bottom="91"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Global Market Strategies Euro CLO 2015-1 Designated Activity Compan</w:t>
            </w: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72"/>
        </w:trPr>
        <w:tc>
          <w:tcPr>
            <w:tcW w:w="1140" w:type="dxa"/>
            <w:vAlign w:val="bottom"/>
          </w:tcPr>
          <w:p>
            <w:pPr>
              <w:spacing w:after="0"/>
              <w:rPr>
                <w:sz w:val="6"/>
                <w:szCs w:val="6"/>
                <w:color w:val="auto"/>
              </w:rPr>
            </w:pPr>
          </w:p>
        </w:tc>
        <w:tc>
          <w:tcPr>
            <w:tcW w:w="582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Carlyle Global Market Strategies Euro CLO 2015-3 Designated Activity Compan</w:t>
            </w:r>
          </w:p>
        </w:tc>
        <w:tc>
          <w:tcPr>
            <w:tcW w:w="2820" w:type="dxa"/>
            <w:vAlign w:val="bottom"/>
            <w:gridSpan w:val="2"/>
          </w:tcPr>
          <w:p>
            <w:pPr>
              <w:ind w:left="180"/>
              <w:spacing w:after="0" w:line="72" w:lineRule="exact"/>
              <w:rPr>
                <w:sz w:val="20"/>
                <w:szCs w:val="20"/>
                <w:color w:val="auto"/>
              </w:rPr>
            </w:pPr>
            <w:r>
              <w:rPr>
                <w:rFonts w:ascii="Times New Roman" w:cs="Times New Roman" w:eastAsia="Times New Roman" w:hAnsi="Times New Roman"/>
                <w:sz w:val="8"/>
                <w:szCs w:val="8"/>
                <w:color w:val="auto"/>
              </w:rPr>
              <w:t>Ireland</w:t>
            </w:r>
          </w:p>
        </w:tc>
        <w:tc>
          <w:tcPr>
            <w:tcW w:w="0" w:type="dxa"/>
            <w:vAlign w:val="bottom"/>
          </w:tcPr>
          <w:p>
            <w:pPr>
              <w:spacing w:after="0"/>
              <w:rPr>
                <w:sz w:val="1"/>
                <w:szCs w:val="1"/>
                <w:color w:val="auto"/>
              </w:rPr>
            </w:pPr>
          </w:p>
        </w:tc>
      </w:tr>
      <w:tr>
        <w:trPr>
          <w:trHeight w:val="36"/>
        </w:trPr>
        <w:tc>
          <w:tcPr>
            <w:tcW w:w="1140" w:type="dxa"/>
            <w:vAlign w:val="bottom"/>
          </w:tcPr>
          <w:p>
            <w:pPr>
              <w:spacing w:after="0"/>
              <w:rPr>
                <w:sz w:val="3"/>
                <w:szCs w:val="3"/>
                <w:color w:val="auto"/>
              </w:rPr>
            </w:pPr>
          </w:p>
        </w:tc>
        <w:tc>
          <w:tcPr>
            <w:tcW w:w="5820" w:type="dxa"/>
            <w:vAlign w:val="bottom"/>
          </w:tcPr>
          <w:p>
            <w:pPr>
              <w:ind w:left="40"/>
              <w:spacing w:after="0" w:line="36" w:lineRule="exact"/>
              <w:rPr>
                <w:sz w:val="20"/>
                <w:szCs w:val="20"/>
                <w:color w:val="auto"/>
              </w:rPr>
            </w:pPr>
            <w:r>
              <w:rPr>
                <w:rFonts w:ascii="Times New Roman" w:cs="Times New Roman" w:eastAsia="Times New Roman" w:hAnsi="Times New Roman"/>
                <w:sz w:val="4"/>
                <w:szCs w:val="4"/>
                <w:color w:val="auto"/>
              </w:rPr>
              <w:t>y</w:t>
            </w: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2"/>
        </w:trPr>
        <w:tc>
          <w:tcPr>
            <w:tcW w:w="1140" w:type="dxa"/>
            <w:vAlign w:val="bottom"/>
          </w:tcPr>
          <w:p>
            <w:pPr>
              <w:spacing w:after="0"/>
              <w:rPr>
                <w:sz w:val="6"/>
                <w:szCs w:val="6"/>
                <w:color w:val="auto"/>
              </w:rPr>
            </w:pPr>
          </w:p>
        </w:tc>
        <w:tc>
          <w:tcPr>
            <w:tcW w:w="582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y</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Global Market Strategies Euro CLO 2016-1 Designated Activity Compan</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5820" w:type="dxa"/>
            <w:vAlign w:val="bottom"/>
            <w:tcBorders>
              <w:bottom w:val="single" w:sz="8" w:color="auto"/>
            </w:tcBorders>
          </w:tcPr>
          <w:p>
            <w:pPr>
              <w:ind w:left="40"/>
              <w:spacing w:after="0" w:line="76" w:lineRule="exact"/>
              <w:rPr>
                <w:sz w:val="20"/>
                <w:szCs w:val="20"/>
                <w:color w:val="auto"/>
              </w:rPr>
            </w:pPr>
            <w:r>
              <w:rPr>
                <w:rFonts w:ascii="Times New Roman" w:cs="Times New Roman" w:eastAsia="Times New Roman" w:hAnsi="Times New Roman"/>
                <w:sz w:val="8"/>
                <w:szCs w:val="8"/>
                <w:color w:val="auto"/>
              </w:rPr>
              <w:t>y</w:t>
            </w:r>
          </w:p>
        </w:tc>
        <w:tc>
          <w:tcPr>
            <w:tcW w:w="16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5820" w:type="dxa"/>
            <w:vAlign w:val="bottom"/>
          </w:tcPr>
          <w:p>
            <w:pPr>
              <w:ind w:left="40"/>
              <w:spacing w:after="0" w:line="112" w:lineRule="exact"/>
              <w:rPr>
                <w:sz w:val="20"/>
                <w:szCs w:val="20"/>
                <w:color w:val="auto"/>
              </w:rPr>
            </w:pPr>
            <w:r>
              <w:rPr>
                <w:rFonts w:ascii="Times New Roman" w:cs="Times New Roman" w:eastAsia="Times New Roman" w:hAnsi="Times New Roman"/>
                <w:sz w:val="12"/>
                <w:szCs w:val="12"/>
                <w:color w:val="auto"/>
              </w:rPr>
              <w:t>Carlyle Global Market Strategies Euro CLO 2016-2 Designated Activity Compan</w:t>
            </w:r>
          </w:p>
        </w:tc>
        <w:tc>
          <w:tcPr>
            <w:tcW w:w="2820" w:type="dxa"/>
            <w:vAlign w:val="bottom"/>
            <w:gridSpan w:val="2"/>
          </w:tcPr>
          <w:p>
            <w:pPr>
              <w:ind w:left="180"/>
              <w:spacing w:after="0" w:line="112" w:lineRule="exact"/>
              <w:rPr>
                <w:sz w:val="20"/>
                <w:szCs w:val="20"/>
                <w:color w:val="auto"/>
              </w:rPr>
            </w:pPr>
            <w:r>
              <w:rPr>
                <w:rFonts w:ascii="Times New Roman" w:cs="Times New Roman" w:eastAsia="Times New Roman" w:hAnsi="Times New Roman"/>
                <w:sz w:val="12"/>
                <w:szCs w:val="12"/>
                <w:color w:val="auto"/>
              </w:rPr>
              <w:t>Ireland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8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y</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Hodge Holdings LLC</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Holdings I Finance L.L.C</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Holdings I GP Inc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Holdings I GP Sub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Holdings I L.P</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Holdings II Finance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Holdings II Finance Ltd</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Holdings II GP L.L.C.</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Holdings II L.L.C</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Quebec</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Holdings II L.P.</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Holdings II Sub L.L.C</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Quebec</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Holdings III GP L.P.</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Holdings III GP Sub L.L.C</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Quebec</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582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Carlyle Holdings III L.P.</w:t>
            </w: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5820" w:type="dxa"/>
            <w:vAlign w:val="bottom"/>
          </w:tcPr>
          <w:p>
            <w:pPr>
              <w:ind w:left="40"/>
              <w:spacing w:after="0" w:line="163" w:lineRule="exact"/>
              <w:rPr>
                <w:sz w:val="20"/>
                <w:szCs w:val="20"/>
                <w:color w:val="auto"/>
              </w:rPr>
            </w:pPr>
            <w:r>
              <w:rPr>
                <w:rFonts w:ascii="Times New Roman" w:cs="Times New Roman" w:eastAsia="Times New Roman" w:hAnsi="Times New Roman"/>
                <w:sz w:val="16"/>
                <w:szCs w:val="16"/>
                <w:color w:val="auto"/>
              </w:rPr>
              <w:t xml:space="preserve">CARLYLE HONG KONG EQUITY MANAGEMENT LIMITED </w:t>
            </w:r>
            <w:r>
              <w:rPr>
                <w:rFonts w:ascii="PMingLiU" w:cs="PMingLiU" w:eastAsia="PMingLiU" w:hAnsi="PMingLiU"/>
                <w:sz w:val="16"/>
                <w:szCs w:val="16"/>
                <w:color w:val="auto"/>
              </w:rPr>
              <w:t>凱雷香港股權管理有</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82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限公司</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14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58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Carlyle Huatai Limite</w:t>
            </w:r>
          </w:p>
        </w:tc>
        <w:tc>
          <w:tcPr>
            <w:tcW w:w="282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8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IDF Management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India</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India Advisors Private Limite</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8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Infrastructure General Partner, L.P.</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Infrastructure GP, Ltd</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Insurance Solutions Management Inc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Insurance Solutions Management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China</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Investment Consulting (Shanghai) Co Lt</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8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Investment Management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Nova Scoti</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Investments (Canada) Corporation</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Carlyle Ireland GP, L.P.</w:t>
            </w:r>
          </w:p>
        </w:tc>
        <w:tc>
          <w:tcPr>
            <w:tcW w:w="282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vMerge w:val="continue"/>
          </w:tcPr>
          <w:p>
            <w:pPr>
              <w:spacing w:after="0"/>
              <w:rPr>
                <w:sz w:val="16"/>
                <w:szCs w:val="16"/>
                <w:color w:val="auto"/>
              </w:rPr>
            </w:pP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Irving GP, L.L.C</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Irving GP, L.P.</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82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Carlyle Irving SLP REIT Holdings, L.P</w:t>
            </w:r>
          </w:p>
        </w:tc>
        <w:tc>
          <w:tcPr>
            <w:tcW w:w="282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58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Carlyle Irving SLP REIT, L.L.C</w:t>
            </w: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Carlyle Irving SLP, L.P.</w:t>
            </w:r>
          </w:p>
        </w:tc>
        <w:tc>
          <w:tcPr>
            <w:tcW w:w="2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9"/>
        </w:trPr>
        <w:tc>
          <w:tcPr>
            <w:tcW w:w="11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780"/>
          </w:cols>
          <w:pgMar w:left="1060" w:top="530" w:right="1060" w:bottom="32" w:gutter="0" w:footer="0" w:header="0"/>
        </w:sect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7">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Company Nam</w:t>
      </w:r>
    </w:p>
    <w:p>
      <w:pPr>
        <w:ind w:left="1180"/>
        <w:spacing w:after="0" w:line="187" w:lineRule="auto"/>
        <w:rPr>
          <w:sz w:val="20"/>
          <w:szCs w:val="20"/>
          <w:color w:val="auto"/>
        </w:rPr>
      </w:pPr>
      <w:r>
        <w:rPr>
          <w:rFonts w:ascii="Times New Roman" w:cs="Times New Roman" w:eastAsia="Times New Roman" w:hAnsi="Times New Roman"/>
          <w:sz w:val="12"/>
          <w:szCs w:val="12"/>
          <w:b w:val="1"/>
          <w:bCs w:val="1"/>
          <w:color w:val="auto"/>
        </w:rPr>
        <w:t>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Carlyle Japan Equity Management LLC</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Japan II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Japan III Ltd</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Japan IV,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Japan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rPr>
          <w:sz w:val="20"/>
          <w:szCs w:val="20"/>
          <w:color w:val="auto"/>
        </w:rPr>
      </w:pPr>
      <w:r>
        <w:rPr>
          <w:rFonts w:ascii="Times New Roman" w:cs="Times New Roman" w:eastAsia="Times New Roman" w:hAnsi="Times New Roman"/>
          <w:sz w:val="16"/>
          <w:szCs w:val="16"/>
          <w:color w:val="auto"/>
        </w:rPr>
        <w:t>Carlyle Japan V, L.L.C.</w:t>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Carlyle Japan, LLC</w:t>
      </w:r>
    </w:p>
    <w:p>
      <w:pPr>
        <w:ind w:left="1180"/>
        <w:spacing w:after="0" w:line="221" w:lineRule="auto"/>
        <w:rPr>
          <w:sz w:val="20"/>
          <w:szCs w:val="20"/>
          <w:color w:val="auto"/>
        </w:rPr>
      </w:pPr>
      <w:r>
        <w:rPr>
          <w:rFonts w:ascii="Times New Roman" w:cs="Times New Roman" w:eastAsia="Times New Roman" w:hAnsi="Times New Roman"/>
          <w:sz w:val="16"/>
          <w:szCs w:val="16"/>
          <w:color w:val="auto"/>
        </w:rPr>
        <w:t>Carlyle KIPE CIP Holdings,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KIPE Co-Invest Partners GP,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rPr>
          <w:sz w:val="20"/>
          <w:szCs w:val="20"/>
          <w:color w:val="auto"/>
        </w:rPr>
      </w:pPr>
      <w:r>
        <w:rPr>
          <w:rFonts w:ascii="Times New Roman" w:cs="Times New Roman" w:eastAsia="Times New Roman" w:hAnsi="Times New Roman"/>
          <w:sz w:val="16"/>
          <w:szCs w:val="16"/>
          <w:color w:val="auto"/>
        </w:rPr>
        <w:t>CARLYLE KNOX HOLDINGS, L.L.C.</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Korea Ltd</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Latin America Real Estate Partners, L.P</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Lion River Coinvestment General Partner,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Malta Advisors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line="187" w:lineRule="auto"/>
        <w:rPr>
          <w:sz w:val="20"/>
          <w:szCs w:val="20"/>
          <w:color w:val="auto"/>
        </w:rPr>
      </w:pPr>
      <w:r>
        <w:rPr>
          <w:rFonts w:ascii="Times New Roman" w:cs="Times New Roman" w:eastAsia="Times New Roman" w:hAnsi="Times New Roman"/>
          <w:sz w:val="12"/>
          <w:szCs w:val="12"/>
          <w:color w:val="auto"/>
        </w:rPr>
        <w:t>Carlyle Management Hong Kong Limite</w:t>
      </w:r>
    </w:p>
    <w:p>
      <w:pPr>
        <w:ind w:left="1180"/>
        <w:spacing w:after="0" w:line="193" w:lineRule="auto"/>
        <w:rPr>
          <w:sz w:val="20"/>
          <w:szCs w:val="20"/>
          <w:color w:val="auto"/>
        </w:rPr>
      </w:pPr>
      <w:r>
        <w:rPr>
          <w:rFonts w:ascii="Times New Roman" w:cs="Times New Roman" w:eastAsia="Times New Roman" w:hAnsi="Times New Roman"/>
          <w:sz w:val="13"/>
          <w:szCs w:val="13"/>
          <w:color w:val="auto"/>
        </w:rPr>
        <w:t>d</w:t>
      </w:r>
    </w:p>
    <w:p>
      <w:pPr>
        <w:ind w:left="1180"/>
        <w:spacing w:after="0"/>
        <w:rPr>
          <w:sz w:val="20"/>
          <w:szCs w:val="20"/>
          <w:color w:val="auto"/>
        </w:rPr>
      </w:pPr>
      <w:r>
        <w:rPr>
          <w:rFonts w:ascii="Times New Roman" w:cs="Times New Roman" w:eastAsia="Times New Roman" w:hAnsi="Times New Roman"/>
          <w:sz w:val="16"/>
          <w:szCs w:val="16"/>
          <w:color w:val="auto"/>
        </w:rPr>
        <w:t>CARLYLE MAPLE LEAF FINANCE CO., U.L.C.</w:t>
      </w:r>
    </w:p>
    <w:p>
      <w:pPr>
        <w:ind w:left="1180"/>
        <w:spacing w:after="0" w:line="198" w:lineRule="auto"/>
        <w:rPr>
          <w:sz w:val="20"/>
          <w:szCs w:val="20"/>
          <w:color w:val="auto"/>
        </w:rPr>
      </w:pPr>
      <w:r>
        <w:rPr>
          <w:rFonts w:ascii="Times New Roman" w:cs="Times New Roman" w:eastAsia="Times New Roman" w:hAnsi="Times New Roman"/>
          <w:sz w:val="16"/>
          <w:szCs w:val="16"/>
          <w:color w:val="auto"/>
        </w:rPr>
        <w:t>Carlyle Maple Leaf Holdings (Cayman),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Maple Leaf Holdings (Cayman), Ltd</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Maple Leaf Holdings, U.L.C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Mauritius CIS Investment Management Limite</w:t>
      </w:r>
    </w:p>
    <w:p>
      <w:pPr>
        <w:ind w:left="1180"/>
        <w:spacing w:after="0"/>
        <w:rPr>
          <w:sz w:val="20"/>
          <w:szCs w:val="20"/>
          <w:color w:val="auto"/>
        </w:rPr>
      </w:pPr>
      <w:r>
        <w:rPr>
          <w:rFonts w:ascii="Times New Roman" w:cs="Times New Roman" w:eastAsia="Times New Roman" w:hAnsi="Times New Roman"/>
          <w:sz w:val="16"/>
          <w:szCs w:val="16"/>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Jurisdiction of</w:t>
      </w:r>
    </w:p>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Korea, Republic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Ontario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Malta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221" w:lineRule="auto"/>
        <w:rPr>
          <w:sz w:val="20"/>
          <w:szCs w:val="20"/>
          <w:color w:val="auto"/>
        </w:rPr>
      </w:pPr>
      <w:r>
        <w:rPr>
          <w:rFonts w:ascii="Times New Roman" w:cs="Times New Roman" w:eastAsia="Times New Roman" w:hAnsi="Times New Roman"/>
          <w:sz w:val="16"/>
          <w:szCs w:val="16"/>
          <w:color w:val="auto"/>
        </w:rPr>
        <w:t>Nova Scoti</w:t>
      </w:r>
    </w:p>
    <w:p>
      <w:pPr>
        <w:spacing w:after="0" w:line="193" w:lineRule="auto"/>
        <w:rPr>
          <w:sz w:val="20"/>
          <w:szCs w:val="20"/>
          <w:color w:val="auto"/>
        </w:rPr>
      </w:pPr>
      <w:r>
        <w:rPr>
          <w:rFonts w:ascii="Times New Roman" w:cs="Times New Roman" w:eastAsia="Times New Roman" w:hAnsi="Times New Roman"/>
          <w:sz w:val="13"/>
          <w:szCs w:val="13"/>
          <w:color w:val="auto"/>
        </w:rPr>
        <w: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221" w:lineRule="auto"/>
        <w:rPr>
          <w:sz w:val="20"/>
          <w:szCs w:val="20"/>
          <w:color w:val="auto"/>
        </w:rPr>
      </w:pPr>
      <w:r>
        <w:rPr>
          <w:rFonts w:ascii="Times New Roman" w:cs="Times New Roman" w:eastAsia="Times New Roman" w:hAnsi="Times New Roman"/>
          <w:sz w:val="16"/>
          <w:szCs w:val="16"/>
          <w:color w:val="auto"/>
        </w:rPr>
        <w:t>Nova Scoti</w:t>
      </w:r>
    </w:p>
    <w:p>
      <w:pPr>
        <w:spacing w:after="0" w:line="193" w:lineRule="auto"/>
        <w:rPr>
          <w:sz w:val="20"/>
          <w:szCs w:val="20"/>
          <w:color w:val="auto"/>
        </w:rPr>
      </w:pPr>
      <w:r>
        <w:rPr>
          <w:rFonts w:ascii="Times New Roman" w:cs="Times New Roman" w:eastAsia="Times New Roman" w:hAnsi="Times New Roman"/>
          <w:sz w:val="13"/>
          <w:szCs w:val="13"/>
          <w:color w:val="auto"/>
        </w:rPr>
        <w: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ectPr>
          <w:pgSz w:w="11900" w:h="16840" w:orient="portrait"/>
          <w:cols w:equalWidth="0" w:num="2">
            <w:col w:w="6420" w:space="720"/>
            <w:col w:w="2640"/>
          </w:cols>
          <w:pgMar w:left="1060" w:top="530" w:right="1060" w:bottom="32" w:gutter="0" w:footer="0" w:header="0"/>
          <w:type w:val="continuous"/>
        </w:sectPr>
      </w:pPr>
    </w:p>
    <w:bookmarkStart w:id="227" w:name="page228"/>
    <w:bookmarkEnd w:id="227"/>
    <w:tbl>
      <w:tblPr>
        <w:tblLayout w:type="fixed"/>
        <w:tblInd w:w="0" w:type="dxa"/>
        <w:tblCellMar>
          <w:top w:w="0" w:type="dxa"/>
          <w:left w:w="0" w:type="dxa"/>
          <w:bottom w:w="0" w:type="dxa"/>
          <w:right w:w="0" w:type="dxa"/>
        </w:tblCellMar>
      </w:tblPr>
      <w:tr>
        <w:trPr>
          <w:trHeight w:val="184"/>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Mauritius Investment Advisors, Lt</w:t>
            </w:r>
          </w:p>
        </w:tc>
        <w:tc>
          <w:tcPr>
            <w:tcW w:w="38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Mauritius</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vMerge w:val="restart"/>
          </w:tcPr>
          <w:p>
            <w:pPr>
              <w:ind w:left="1200"/>
              <w:spacing w:after="0" w:line="132" w:lineRule="exact"/>
              <w:rPr>
                <w:sz w:val="20"/>
                <w:szCs w:val="20"/>
                <w:color w:val="auto"/>
              </w:rPr>
            </w:pPr>
            <w:r>
              <w:rPr>
                <w:rFonts w:ascii="Times New Roman" w:cs="Times New Roman" w:eastAsia="Times New Roman" w:hAnsi="Times New Roman"/>
                <w:sz w:val="14"/>
                <w:szCs w:val="14"/>
                <w:color w:val="auto"/>
              </w:rPr>
              <w:t>Cayman Islands</w:t>
            </w:r>
          </w:p>
        </w:tc>
        <w:tc>
          <w:tcPr>
            <w:tcW w:w="0" w:type="dxa"/>
            <w:vAlign w:val="bottom"/>
          </w:tcPr>
          <w:p>
            <w:pPr>
              <w:spacing w:after="0"/>
              <w:rPr>
                <w:sz w:val="1"/>
                <w:szCs w:val="1"/>
                <w:color w:val="auto"/>
              </w:rPr>
            </w:pPr>
          </w:p>
        </w:tc>
      </w:tr>
      <w:tr>
        <w:trPr>
          <w:trHeight w:val="24"/>
        </w:trPr>
        <w:tc>
          <w:tcPr>
            <w:tcW w:w="5940" w:type="dxa"/>
            <w:vAlign w:val="bottom"/>
          </w:tcPr>
          <w:p>
            <w:pPr>
              <w:ind w:left="1180"/>
              <w:spacing w:after="0"/>
              <w:rPr>
                <w:sz w:val="20"/>
                <w:szCs w:val="20"/>
                <w:color w:val="auto"/>
              </w:rPr>
            </w:pPr>
            <w:r>
              <w:rPr>
                <w:rFonts w:ascii="Times New Roman" w:cs="Times New Roman" w:eastAsia="Times New Roman" w:hAnsi="Times New Roman"/>
                <w:sz w:val="2"/>
                <w:szCs w:val="2"/>
                <w:color w:val="auto"/>
              </w:rPr>
              <w:t>Carlyle MC GP, Ltd</w:t>
            </w:r>
          </w:p>
        </w:tc>
        <w:tc>
          <w:tcPr>
            <w:tcW w:w="3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United Arab Emirate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MENA (GCC) General Partner Limite</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tcPr>
          <w:p>
            <w:pPr>
              <w:ind w:left="120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MENA Advisors Limite</w:t>
            </w:r>
          </w:p>
        </w:tc>
        <w:tc>
          <w:tcPr>
            <w:tcW w:w="3840" w:type="dxa"/>
            <w:vAlign w:val="bottom"/>
          </w:tcPr>
          <w:p>
            <w:pPr>
              <w:ind w:left="1200"/>
              <w:spacing w:after="0" w:line="120" w:lineRule="exact"/>
              <w:rPr>
                <w:sz w:val="20"/>
                <w:szCs w:val="20"/>
                <w:color w:val="auto"/>
              </w:rPr>
            </w:pPr>
            <w:r>
              <w:rPr>
                <w:rFonts w:ascii="Times New Roman" w:cs="Times New Roman" w:eastAsia="Times New Roman" w:hAnsi="Times New Roman"/>
                <w:sz w:val="13"/>
                <w:szCs w:val="13"/>
                <w:color w:val="auto"/>
              </w:rPr>
              <w:t>United Arab Emirate</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tcPr>
          <w:p>
            <w:pPr>
              <w:ind w:left="120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MENA General Partner, L.P</w:t>
            </w:r>
          </w:p>
        </w:tc>
        <w:tc>
          <w:tcPr>
            <w:tcW w:w="3840" w:type="dxa"/>
            <w:vAlign w:val="bottom"/>
          </w:tcPr>
          <w:p>
            <w:pPr>
              <w:ind w:left="1200"/>
              <w:spacing w:after="0" w:line="120" w:lineRule="exact"/>
              <w:rPr>
                <w:sz w:val="20"/>
                <w:szCs w:val="20"/>
                <w:color w:val="auto"/>
              </w:rPr>
            </w:pPr>
            <w:r>
              <w:rPr>
                <w:rFonts w:ascii="Times New Roman" w:cs="Times New Roman" w:eastAsia="Times New Roman" w:hAnsi="Times New Roman"/>
                <w:sz w:val="13"/>
                <w:szCs w:val="13"/>
                <w:color w:val="auto"/>
              </w:rPr>
              <w:t>Cayman Islands</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United Arab Emirate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MENA Investment Advisors Limite</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tcPr>
          <w:p>
            <w:pPr>
              <w:ind w:left="120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MENA Limite</w:t>
            </w:r>
          </w:p>
        </w:tc>
        <w:tc>
          <w:tcPr>
            <w:tcW w:w="3840" w:type="dxa"/>
            <w:vAlign w:val="bottom"/>
          </w:tcPr>
          <w:p>
            <w:pPr>
              <w:ind w:left="1200"/>
              <w:spacing w:after="0" w:line="120" w:lineRule="exact"/>
              <w:rPr>
                <w:sz w:val="20"/>
                <w:szCs w:val="20"/>
                <w:color w:val="auto"/>
              </w:rPr>
            </w:pPr>
            <w:r>
              <w:rPr>
                <w:rFonts w:ascii="Times New Roman" w:cs="Times New Roman" w:eastAsia="Times New Roman" w:hAnsi="Times New Roman"/>
                <w:sz w:val="13"/>
                <w:szCs w:val="13"/>
                <w:color w:val="auto"/>
              </w:rPr>
              <w:t>Cayman Islands</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Mexico Advisors, S. de R.L. de C.V</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191"/>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Mexico General Partner, L.P.</w:t>
            </w:r>
          </w:p>
        </w:tc>
        <w:tc>
          <w:tcPr>
            <w:tcW w:w="3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Mexico Holdings, S.C</w:t>
            </w:r>
          </w:p>
        </w:tc>
        <w:tc>
          <w:tcPr>
            <w:tcW w:w="3840" w:type="dxa"/>
            <w:vAlign w:val="bottom"/>
          </w:tcPr>
          <w:p>
            <w:pPr>
              <w:ind w:left="1200"/>
              <w:spacing w:after="0" w:line="157" w:lineRule="exact"/>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Mexico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Middle East, Ltd.</w:t>
            </w:r>
          </w:p>
        </w:tc>
        <w:tc>
          <w:tcPr>
            <w:tcW w:w="3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Net Lease Income General Partner, LL</w:t>
            </w:r>
          </w:p>
        </w:tc>
        <w:tc>
          <w:tcPr>
            <w:tcW w:w="3840" w:type="dxa"/>
            <w:vAlign w:val="bottom"/>
          </w:tcPr>
          <w:p>
            <w:pPr>
              <w:ind w:left="12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NGP AGRIBUSINESS HOLDINGS, L.L.C.</w:t>
            </w:r>
          </w:p>
        </w:tc>
        <w:tc>
          <w:tcPr>
            <w:tcW w:w="3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NGP ETP IV Holdings, L.L.C</w:t>
            </w:r>
          </w:p>
        </w:tc>
        <w:tc>
          <w:tcPr>
            <w:tcW w:w="3840" w:type="dxa"/>
            <w:vAlign w:val="bottom"/>
          </w:tcPr>
          <w:p>
            <w:pPr>
              <w:ind w:left="12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NGP Royalties I Holdings,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NGP Royalties II Holdings,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NGP X Holdings,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NGP XI HOLDINGS, L.L.C.</w:t>
            </w:r>
          </w:p>
        </w:tc>
        <w:tc>
          <w:tcPr>
            <w:tcW w:w="3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NGP XII Holdings, L.L.C</w:t>
            </w:r>
          </w:p>
        </w:tc>
        <w:tc>
          <w:tcPr>
            <w:tcW w:w="3840" w:type="dxa"/>
            <w:vAlign w:val="bottom"/>
          </w:tcPr>
          <w:p>
            <w:pPr>
              <w:ind w:left="12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NGP XIII Holdings,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Nigeria</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Nigeria Investment Advisors Limite</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84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9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Ontario Credit SLP L.L.C</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9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8">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6040" w:type="dxa"/>
            <w:vAlign w:val="bottom"/>
          </w:tcPr>
          <w:p>
            <w:pPr>
              <w:spacing w:after="0"/>
              <w:rPr>
                <w:sz w:val="24"/>
                <w:szCs w:val="24"/>
                <w:color w:val="auto"/>
              </w:rPr>
            </w:pPr>
          </w:p>
        </w:tc>
        <w:tc>
          <w:tcPr>
            <w:tcW w:w="37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6040" w:type="dxa"/>
            <w:vAlign w:val="bottom"/>
          </w:tcPr>
          <w:p>
            <w:pPr>
              <w:spacing w:after="0"/>
              <w:rPr>
                <w:sz w:val="14"/>
                <w:szCs w:val="14"/>
                <w:color w:val="auto"/>
              </w:rPr>
            </w:pPr>
          </w:p>
        </w:tc>
        <w:tc>
          <w:tcPr>
            <w:tcW w:w="3740" w:type="dxa"/>
            <w:vAlign w:val="bottom"/>
          </w:tcPr>
          <w:p>
            <w:pPr>
              <w:jc w:val="center"/>
              <w:ind w:right="63"/>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604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740" w:type="dxa"/>
            <w:vAlign w:val="bottom"/>
          </w:tcPr>
          <w:p>
            <w:pPr>
              <w:jc w:val="center"/>
              <w:ind w:right="43"/>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Carlyle Ontario Credit Special Limited Partner, L.P</w:t>
            </w: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Pacific GP,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Pacific Limite</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Pacific Red Oak GP,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Peru</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Perú Consultoría de Inversiones S.R.L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Peru GP, L.P.</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Power General Partner, L.P</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PQ Opportunity GP, L.P.</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Principal Alternative Opportunities GP, L.L.C</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Principal Alternative Opportunities GP,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Private Credit GP S.a 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Property Investors GP,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 Estate Advisors France Sar</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l</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 ESTATE ADVISORS LLP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Carlyle Real Estate Società di Gestione del Risparmio S.p.A</w:t>
            </w:r>
          </w:p>
        </w:tc>
        <w:tc>
          <w:tcPr>
            <w:tcW w:w="3740" w:type="dxa"/>
            <w:vAlign w:val="bottom"/>
          </w:tcPr>
          <w:p>
            <w:pPr>
              <w:ind w:left="110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6040" w:type="dxa"/>
            <w:vAlign w:val="bottom"/>
            <w:vMerge w:val="continue"/>
          </w:tcPr>
          <w:p>
            <w:pPr>
              <w:spacing w:after="0"/>
              <w:rPr>
                <w:sz w:val="10"/>
                <w:szCs w:val="10"/>
                <w:color w:val="auto"/>
              </w:rPr>
            </w:pPr>
          </w:p>
        </w:tc>
        <w:tc>
          <w:tcPr>
            <w:tcW w:w="3740" w:type="dxa"/>
            <w:vAlign w:val="bottom"/>
          </w:tcPr>
          <w:p>
            <w:pPr>
              <w:ind w:left="1100"/>
              <w:spacing w:after="0" w:line="120" w:lineRule="exact"/>
              <w:rPr>
                <w:sz w:val="20"/>
                <w:szCs w:val="20"/>
                <w:color w:val="auto"/>
              </w:rPr>
            </w:pPr>
            <w:r>
              <w:rPr>
                <w:rFonts w:ascii="Times New Roman" w:cs="Times New Roman" w:eastAsia="Times New Roman" w:hAnsi="Times New Roman"/>
                <w:sz w:val="13"/>
                <w:szCs w:val="13"/>
                <w:color w:val="auto"/>
              </w:rPr>
              <w:t>Italy</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Distressed RMBS GP,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Halley Coinvestment GP,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Realty II, L.P.</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Realty III GP, L.L.C</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III,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III,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Realty Investment Holdings, L.P.</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Realty IV GP, L.L.C</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IV,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IV, L.P</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IX Lux GP, S.à r.l</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IX,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V GP,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V,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Realty V, L.P.</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4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Carlyle Realty VI, L.L.C</w:t>
            </w:r>
          </w:p>
        </w:tc>
        <w:tc>
          <w:tcPr>
            <w:tcW w:w="3740" w:type="dxa"/>
            <w:vAlign w:val="bottom"/>
          </w:tcPr>
          <w:p>
            <w:pPr>
              <w:ind w:left="110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04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Realty VII, L.L.C</w:t>
            </w:r>
          </w:p>
        </w:tc>
        <w:tc>
          <w:tcPr>
            <w:tcW w:w="3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4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74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604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Realty VIII, L.L.C</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9780"/>
          </w:cols>
          <w:pgMar w:left="1060" w:top="530" w:right="1060" w:bottom="5" w:gutter="0" w:footer="0" w:header="0"/>
        </w:sectPr>
      </w:pPr>
    </w:p>
    <w:bookmarkStart w:id="228" w:name="page229"/>
    <w:bookmarkEnd w:id="228"/>
    <w:p>
      <w:pPr>
        <w:ind w:left="1180"/>
        <w:spacing w:after="0"/>
        <w:rPr>
          <w:sz w:val="20"/>
          <w:szCs w:val="20"/>
          <w:color w:val="auto"/>
        </w:rPr>
      </w:pPr>
      <w:r>
        <w:rPr>
          <w:rFonts w:ascii="Times New Roman" w:cs="Times New Roman" w:eastAsia="Times New Roman" w:hAnsi="Times New Roman"/>
          <w:sz w:val="16"/>
          <w:szCs w:val="16"/>
          <w:color w:val="auto"/>
        </w:rPr>
        <w:t>Carlyle. Realty X Lux GP,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-90805</wp:posOffset>
            </wp:positionV>
            <wp:extent cx="6707505" cy="99695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9">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p>
      <w:pPr>
        <w:ind w:left="1180"/>
        <w:spacing w:after="0" w:line="186" w:lineRule="auto"/>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Carlyle Realty X,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Realty,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Revolving Loan GP, L.L.C</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Revolving Loan GP, L.P</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Revolving Loan II GP, L.L.C</w:t>
      </w:r>
    </w:p>
    <w:p>
      <w:pPr>
        <w:ind w:left="1180"/>
        <w:spacing w:after="0" w:line="193" w:lineRule="auto"/>
        <w:rPr>
          <w:sz w:val="20"/>
          <w:szCs w:val="20"/>
          <w:color w:val="auto"/>
        </w:rPr>
      </w:pPr>
      <w:r>
        <w:rPr>
          <w:rFonts w:ascii="Times New Roman" w:cs="Times New Roman" w:eastAsia="Times New Roman" w:hAnsi="Times New Roman"/>
          <w:sz w:val="13"/>
          <w:szCs w:val="13"/>
          <w:color w:val="auto"/>
        </w:rPr>
        <w:t>.</w:t>
      </w:r>
    </w:p>
    <w:p>
      <w:pPr>
        <w:ind w:left="1180"/>
        <w:spacing w:after="0"/>
        <w:rPr>
          <w:sz w:val="20"/>
          <w:szCs w:val="20"/>
          <w:color w:val="auto"/>
        </w:rPr>
      </w:pPr>
      <w:r>
        <w:rPr>
          <w:rFonts w:ascii="Times New Roman" w:cs="Times New Roman" w:eastAsia="Times New Roman" w:hAnsi="Times New Roman"/>
          <w:sz w:val="16"/>
          <w:szCs w:val="16"/>
          <w:color w:val="auto"/>
        </w:rPr>
        <w:t>Carlyle Revolving Loan II GP, L.P.</w:t>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Carlyle Scopel Holdings Cayman, L.P.</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color w:val="auto"/>
        </w:rPr>
        <w:t>Carlyle Scopel Mezzanine Loan GP, L.L.C</w:t>
      </w:r>
    </w:p>
    <w:p>
      <w:pPr>
        <w:ind w:left="1180"/>
        <w:spacing w:after="0" w:line="192" w:lineRule="auto"/>
        <w:rPr>
          <w:sz w:val="20"/>
          <w:szCs w:val="20"/>
          <w:color w:val="auto"/>
        </w:rPr>
      </w:pPr>
      <w:r>
        <w:rPr>
          <w:rFonts w:ascii="Times New Roman" w:cs="Times New Roman" w:eastAsia="Times New Roman" w:hAnsi="Times New Roman"/>
          <w:sz w:val="13"/>
          <w:szCs w:val="13"/>
          <w:color w:val="auto"/>
        </w:rPr>
        <w:t>.</w:t>
      </w:r>
    </w:p>
    <w:p>
      <w:pPr>
        <w:ind w:left="1180"/>
        <w:spacing w:after="0" w:line="188" w:lineRule="auto"/>
        <w:rPr>
          <w:sz w:val="20"/>
          <w:szCs w:val="20"/>
          <w:color w:val="auto"/>
        </w:rPr>
      </w:pPr>
      <w:r>
        <w:rPr>
          <w:rFonts w:ascii="Times New Roman" w:cs="Times New Roman" w:eastAsia="Times New Roman" w:hAnsi="Times New Roman"/>
          <w:sz w:val="12"/>
          <w:szCs w:val="12"/>
          <w:color w:val="auto"/>
        </w:rPr>
        <w:t>Carlyle Scopel Real Estate GP, L.L.C</w:t>
      </w:r>
    </w:p>
    <w:p>
      <w:pPr>
        <w:ind w:left="118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Luxembourg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6" w:lineRule="exact"/>
        <w:rPr>
          <w:sz w:val="20"/>
          <w:szCs w:val="20"/>
          <w:color w:val="auto"/>
        </w:rPr>
      </w:pPr>
    </w:p>
    <w:p>
      <w:pPr>
        <w:sectPr>
          <w:pgSz w:w="11900" w:h="16840" w:orient="portrait"/>
          <w:cols w:equalWidth="0" w:num="2">
            <w:col w:w="6420" w:space="720"/>
            <w:col w:w="2640"/>
          </w:cols>
          <w:pgMar w:left="1060" w:top="530" w:right="10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6220" w:type="dxa"/>
            <w:vAlign w:val="bottom"/>
          </w:tcPr>
          <w:p>
            <w:pPr>
              <w:spacing w:after="0"/>
              <w:rPr>
                <w:sz w:val="24"/>
                <w:szCs w:val="24"/>
                <w:color w:val="auto"/>
              </w:rPr>
            </w:pPr>
          </w:p>
        </w:tc>
        <w:tc>
          <w:tcPr>
            <w:tcW w:w="3560" w:type="dxa"/>
            <w:vAlign w:val="bottom"/>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6220" w:type="dxa"/>
            <w:vAlign w:val="bottom"/>
          </w:tcPr>
          <w:p>
            <w:pPr>
              <w:spacing w:after="0"/>
              <w:rPr>
                <w:sz w:val="14"/>
                <w:szCs w:val="14"/>
                <w:color w:val="auto"/>
              </w:rPr>
            </w:pPr>
          </w:p>
        </w:tc>
        <w:tc>
          <w:tcPr>
            <w:tcW w:w="3560" w:type="dxa"/>
            <w:vAlign w:val="bottom"/>
          </w:tcPr>
          <w:p>
            <w:pPr>
              <w:jc w:val="center"/>
              <w:ind w:right="24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622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560" w:type="dxa"/>
            <w:vAlign w:val="bottom"/>
          </w:tcPr>
          <w:p>
            <w:pPr>
              <w:jc w:val="center"/>
              <w:ind w:right="22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Carlyle Scopel Senior Loan Partners GP, L.L.C</w:t>
            </w: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91"/>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SCOTLAND GP LIMITED</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SINGAPORE INVESTMENT ADVISORS PTE LTD</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182"/>
        </w:trPr>
        <w:tc>
          <w:tcPr>
            <w:tcW w:w="62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Carlyle Skyline Credit Fund GP, L.L.C</w:t>
            </w:r>
          </w:p>
        </w:tc>
        <w:tc>
          <w:tcPr>
            <w:tcW w:w="3560" w:type="dxa"/>
            <w:vAlign w:val="bottom"/>
          </w:tcPr>
          <w:p>
            <w:pPr>
              <w:ind w:left="9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Skyline Credit Fund GP, L.P</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South Afric</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South Africa Advisor</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3560" w:type="dxa"/>
            <w:vAlign w:val="bottom"/>
          </w:tcPr>
          <w:p>
            <w:pPr>
              <w:ind w:left="920"/>
              <w:spacing w:after="0" w:line="108"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91"/>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Spinnaker Partners 1 GP,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Carlyle Spinnaker Partners 2 GP,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2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Carlyle Star Co-Investment GP, L.L.C</w:t>
            </w:r>
          </w:p>
        </w:tc>
        <w:tc>
          <w:tcPr>
            <w:tcW w:w="3560" w:type="dxa"/>
            <w:vAlign w:val="bottom"/>
          </w:tcPr>
          <w:p>
            <w:pPr>
              <w:ind w:left="9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Structured Credit GP, L.L.C</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Structured Solutions G Co-Invest GP, L.L.C</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Structured Solutions G Co-Invest GP, L.P</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Tango RE Credit GP, L.P</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Tango, L.L.C</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England</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UK GP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2019-4,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2023-E,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2024-2,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2024-4,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2024-7,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2024-8,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2025-A,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US CLO Master, Ltd</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Carlyle Westwood Coinvestment, S.C.Sp</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CASCOF, L.L.C.</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CBAM CLO Management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CCD-CIF General Partner, L.P.</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CCD-CIF,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2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CCEE Advisors (Delaware), L.L.C</w:t>
            </w:r>
          </w:p>
        </w:tc>
        <w:tc>
          <w:tcPr>
            <w:tcW w:w="3560" w:type="dxa"/>
            <w:vAlign w:val="bottom"/>
          </w:tcPr>
          <w:p>
            <w:pPr>
              <w:ind w:left="9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CCIF Dollar Feeder GP, L.P.</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CCIF GP Ltd.</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CCIF GP, L.P.</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General Partner, L.P.</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 General Partner, L.P.</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2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CCOF II Lux General Partner, S.à r.l</w:t>
            </w:r>
          </w:p>
        </w:tc>
        <w:tc>
          <w:tcPr>
            <w:tcW w:w="3560" w:type="dxa"/>
            <w:vAlign w:val="bottom"/>
          </w:tcPr>
          <w:p>
            <w:pPr>
              <w:ind w:left="92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CCOF II Note Issuer General Partner, L.L.C</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 SPV GP, LLC</w:t>
            </w:r>
          </w:p>
        </w:tc>
        <w:tc>
          <w:tcPr>
            <w:tcW w:w="3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General Partner, L.P.</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L.L.C.</w:t>
            </w:r>
          </w:p>
        </w:tc>
        <w:tc>
          <w:tcPr>
            <w:tcW w:w="35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62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CCOF III Lux General Partner, S.à r.l</w:t>
            </w:r>
          </w:p>
        </w:tc>
        <w:tc>
          <w:tcPr>
            <w:tcW w:w="3560" w:type="dxa"/>
            <w:vAlign w:val="bottom"/>
          </w:tcPr>
          <w:p>
            <w:pPr>
              <w:ind w:left="92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62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CCOF III Note Issuer Lux General Partner, S.à r.l</w:t>
            </w: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560" w:type="dxa"/>
            <w:vAlign w:val="bottom"/>
            <w:vMerge w:val="restart"/>
          </w:tcPr>
          <w:p>
            <w:pPr>
              <w:ind w:left="9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Plus General Partner, L.P.</w:t>
            </w:r>
          </w:p>
        </w:tc>
        <w:tc>
          <w:tcPr>
            <w:tcW w:w="3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1"/>
        </w:trPr>
        <w:tc>
          <w:tcPr>
            <w:tcW w:w="6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 w:gutter="0" w:footer="0" w:header="0"/>
          <w:type w:val="continuous"/>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0">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8"/>
        </w:trPr>
        <w:tc>
          <w:tcPr>
            <w:tcW w:w="5520" w:type="dxa"/>
            <w:vAlign w:val="bottom"/>
          </w:tcPr>
          <w:p>
            <w:pPr>
              <w:spacing w:after="0"/>
              <w:rPr>
                <w:sz w:val="24"/>
                <w:szCs w:val="24"/>
                <w:color w:val="auto"/>
              </w:rPr>
            </w:pPr>
          </w:p>
        </w:tc>
        <w:tc>
          <w:tcPr>
            <w:tcW w:w="4260" w:type="dxa"/>
            <w:vAlign w:val="bottom"/>
          </w:tcPr>
          <w:p>
            <w:pPr>
              <w:jc w:val="center"/>
              <w:ind w:left="303"/>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4260" w:type="dxa"/>
            <w:vAlign w:val="bottom"/>
          </w:tcPr>
          <w:p>
            <w:pPr>
              <w:jc w:val="center"/>
              <w:ind w:left="303"/>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52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260" w:type="dxa"/>
            <w:vAlign w:val="bottom"/>
          </w:tcPr>
          <w:p>
            <w:pPr>
              <w:jc w:val="center"/>
              <w:ind w:left="323"/>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52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CCOF III Plus L.L.C.</w:t>
            </w:r>
          </w:p>
        </w:tc>
        <w:tc>
          <w:tcPr>
            <w:tcW w:w="4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CCOF III Plus Lux General Partner, S.à r.l</w:t>
            </w:r>
          </w:p>
        </w:tc>
        <w:tc>
          <w:tcPr>
            <w:tcW w:w="4260" w:type="dxa"/>
            <w:vAlign w:val="bottom"/>
          </w:tcPr>
          <w:p>
            <w:pPr>
              <w:ind w:left="1620"/>
              <w:spacing w:after="0" w:line="157"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Plus SPV GP,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PSV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PSV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CCOF III Purple Co-Invest GP, LL</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III SPV GP,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CCOF SPV GP,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CDI Lux General Partner S1, S.C.Sp</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CDI Master Fund III,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CDL 2018-1 GP,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CDL 2018-1 Manager,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CDL 2018-2 GP, Ltd</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CDL 2020-3 Manager,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CDL 2020-3,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CDL Offshore GP,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CDL Tender Fund 2022-1 GP, L.L.C</w:t>
            </w:r>
          </w:p>
        </w:tc>
        <w:tc>
          <w:tcPr>
            <w:tcW w:w="4260" w:type="dxa"/>
            <w:vAlign w:val="bottom"/>
          </w:tcPr>
          <w:p>
            <w:pPr>
              <w:ind w:left="162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CDPI General Partner, L.P.</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CDPI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CECP Advisors Ireland Limited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CECP Advisors LL</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260" w:type="dxa"/>
            <w:vAlign w:val="bottom"/>
          </w:tcPr>
          <w:p>
            <w:pPr>
              <w:ind w:left="162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CECP Investment Advisors France S.A.R.L</w:t>
            </w:r>
          </w:p>
        </w:tc>
        <w:tc>
          <w:tcPr>
            <w:tcW w:w="4260" w:type="dxa"/>
            <w:vAlign w:val="bottom"/>
          </w:tcPr>
          <w:p>
            <w:pPr>
              <w:ind w:left="1620"/>
              <w:spacing w:after="0" w:line="120" w:lineRule="exact"/>
              <w:rPr>
                <w:sz w:val="20"/>
                <w:szCs w:val="20"/>
                <w:color w:val="auto"/>
              </w:rPr>
            </w:pPr>
            <w:r>
              <w:rPr>
                <w:rFonts w:ascii="Times New Roman" w:cs="Times New Roman" w:eastAsia="Times New Roman" w:hAnsi="Times New Roman"/>
                <w:sz w:val="13"/>
                <w:szCs w:val="13"/>
                <w:color w:val="auto"/>
              </w:rPr>
              <w:t>France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CECP,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Celadon Partners,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CELF ADVISORS LLP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England</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CELF,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CEMOF General Partner Cayman,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CEMOF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CEMOF GP Cayman, Ltd.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CEMOF II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AIV GP Cayman,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AIV GP Cayman, Ltd.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GP Cayman, Ltd.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II DE AIV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II DE GP AIV,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II GP,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CEOF II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Advisors S.r.l.</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Italy</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II ARC 1S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II ARC 2S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II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Alberta</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II Limited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2"/>
        </w:trPr>
        <w:tc>
          <w:tcPr>
            <w:tcW w:w="5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300" w:type="dxa"/>
            <w:vAlign w:val="bottom"/>
          </w:tcPr>
          <w:p>
            <w:pPr>
              <w:spacing w:after="0"/>
              <w:rPr>
                <w:sz w:val="24"/>
                <w:szCs w:val="24"/>
                <w:color w:val="auto"/>
              </w:rPr>
            </w:pPr>
          </w:p>
        </w:tc>
        <w:tc>
          <w:tcPr>
            <w:tcW w:w="4480" w:type="dxa"/>
            <w:vAlign w:val="bottom"/>
          </w:tcPr>
          <w:p>
            <w:pPr>
              <w:jc w:val="center"/>
              <w:ind w:left="52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300" w:type="dxa"/>
            <w:vAlign w:val="bottom"/>
          </w:tcPr>
          <w:p>
            <w:pPr>
              <w:spacing w:after="0"/>
              <w:rPr>
                <w:sz w:val="14"/>
                <w:szCs w:val="14"/>
                <w:color w:val="auto"/>
              </w:rPr>
            </w:pPr>
          </w:p>
        </w:tc>
        <w:tc>
          <w:tcPr>
            <w:tcW w:w="4480" w:type="dxa"/>
            <w:vAlign w:val="bottom"/>
          </w:tcPr>
          <w:p>
            <w:pPr>
              <w:jc w:val="center"/>
              <w:ind w:left="52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3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480" w:type="dxa"/>
            <w:vAlign w:val="bottom"/>
          </w:tcPr>
          <w:p>
            <w:pPr>
              <w:jc w:val="center"/>
              <w:ind w:left="54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3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480" w:type="dxa"/>
            <w:vAlign w:val="bottom"/>
            <w:vMerge w:val="restart"/>
          </w:tcPr>
          <w:p>
            <w:pPr>
              <w:ind w:left="18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79"/>
        </w:trPr>
        <w:tc>
          <w:tcPr>
            <w:tcW w:w="530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CEP II Managing GP Holdings, Ltd.</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CEP II Managing GP, L.P.</w:t>
            </w:r>
          </w:p>
        </w:tc>
        <w:tc>
          <w:tcPr>
            <w:tcW w:w="448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1194" w:right="1060" w:bottom="5" w:gutter="0" w:footer="0" w:header="0"/>
        </w:sectPr>
      </w:pPr>
    </w:p>
    <w:bookmarkStart w:id="230" w:name="page231"/>
    <w:bookmarkEnd w:id="2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1">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III ARC 1P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1140" w:type="dxa"/>
            <w:vAlign w:val="bottom"/>
          </w:tcPr>
          <w:p>
            <w:pPr>
              <w:spacing w:after="0"/>
              <w:rPr>
                <w:sz w:val="15"/>
                <w:szCs w:val="15"/>
                <w:color w:val="auto"/>
              </w:rPr>
            </w:pPr>
          </w:p>
        </w:tc>
        <w:tc>
          <w:tcPr>
            <w:tcW w:w="4460" w:type="dxa"/>
            <w:vAlign w:val="bottom"/>
          </w:tcPr>
          <w:p>
            <w:pPr>
              <w:ind w:left="40"/>
              <w:spacing w:after="0" w:line="179" w:lineRule="exact"/>
              <w:rPr>
                <w:sz w:val="20"/>
                <w:szCs w:val="20"/>
                <w:color w:val="auto"/>
              </w:rPr>
            </w:pPr>
            <w:r>
              <w:rPr>
                <w:rFonts w:ascii="Times New Roman" w:cs="Times New Roman" w:eastAsia="Times New Roman" w:hAnsi="Times New Roman"/>
                <w:sz w:val="16"/>
                <w:szCs w:val="16"/>
                <w:color w:val="auto"/>
              </w:rPr>
              <w:t>CEP III ARC 1Q GP, L.P.</w:t>
            </w:r>
          </w:p>
        </w:tc>
        <w:tc>
          <w:tcPr>
            <w:tcW w:w="4180" w:type="dxa"/>
            <w:vAlign w:val="bottom"/>
            <w:gridSpan w:val="2"/>
          </w:tcPr>
          <w:p>
            <w:pPr>
              <w:ind w:left="1540"/>
              <w:spacing w:after="0" w:line="179"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III ARC 2P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CEP III ARC 2Q GP, L.P.</w:t>
            </w:r>
          </w:p>
        </w:tc>
        <w:tc>
          <w:tcPr>
            <w:tcW w:w="304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III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III Limited</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CEP III Managing GP Holdings, Ltd</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III Managing GP, L.P.</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Investment Administration II Limited</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Investment Administration Limited</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 ARC 1A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 ARC 2A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 Dollar Feeder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 Managing GP Holdings, Ltd.</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 MANAGING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IV-C Limited Partner,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CEP V Holdings, L.L.C</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 Lux GP S.à r.l.</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 Managing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V-C Limited Partner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VI Holdings, L.L.C.</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VI Lux GP S.à r.l.</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CEP VI Managing GP, L.P.</w:t>
            </w:r>
          </w:p>
        </w:tc>
        <w:tc>
          <w:tcPr>
            <w:tcW w:w="418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4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CER Berlin RP Co-Investment GP, Ltd</w:t>
            </w:r>
          </w:p>
        </w:tc>
        <w:tc>
          <w:tcPr>
            <w:tcW w:w="4180" w:type="dxa"/>
            <w:vAlign w:val="bottom"/>
            <w:gridSpan w:val="2"/>
          </w:tcPr>
          <w:p>
            <w:pPr>
              <w:ind w:left="154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Berlin RP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Berlin RP, Ltd</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Coinvest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Coinvest, L.L.C</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Coinvest, Ltd</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Italian Logistics GP LL</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46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180" w:type="dxa"/>
            <w:vAlign w:val="bottom"/>
            <w:gridSpan w:val="2"/>
          </w:tcPr>
          <w:p>
            <w:pPr>
              <w:ind w:left="154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Italian Logistics GP, L.P</w:t>
            </w:r>
          </w:p>
        </w:tc>
        <w:tc>
          <w:tcPr>
            <w:tcW w:w="4180" w:type="dxa"/>
            <w:vAlign w:val="bottom"/>
            <w:gridSpan w:val="2"/>
          </w:tcPr>
          <w:p>
            <w:pPr>
              <w:ind w:left="1540"/>
              <w:spacing w:after="0" w:line="120" w:lineRule="exact"/>
              <w:rPr>
                <w:sz w:val="20"/>
                <w:szCs w:val="20"/>
                <w:color w:val="auto"/>
              </w:rPr>
            </w:pPr>
            <w:r>
              <w:rPr>
                <w:rFonts w:ascii="Times New Roman" w:cs="Times New Roman" w:eastAsia="Times New Roman" w:hAnsi="Times New Roman"/>
                <w:sz w:val="13"/>
                <w:szCs w:val="13"/>
                <w:color w:val="auto"/>
              </w:rPr>
              <w:t>Scotland</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Italian Logistics Holdings, Ltd</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 Italian Logistics Managing GP, L.P</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 Net.Works GP, L.P.</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6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CER Net.Works, Ltd</w:t>
            </w:r>
          </w:p>
        </w:tc>
        <w:tc>
          <w:tcPr>
            <w:tcW w:w="4180" w:type="dxa"/>
            <w:vAlign w:val="bottom"/>
            <w:gridSpan w:val="2"/>
          </w:tcPr>
          <w:p>
            <w:pPr>
              <w:ind w:left="154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CEREP GP, L.L.C.</w:t>
            </w:r>
          </w:p>
        </w:tc>
        <w:tc>
          <w:tcPr>
            <w:tcW w:w="4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46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CEREP II Master Holdings, L.L.C</w:t>
            </w:r>
          </w:p>
        </w:tc>
        <w:tc>
          <w:tcPr>
            <w:tcW w:w="4180" w:type="dxa"/>
            <w:vAlign w:val="bottom"/>
            <w:gridSpan w:val="2"/>
          </w:tcPr>
          <w:p>
            <w:pPr>
              <w:ind w:left="154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CEREP II Mezzanine GP B, L.L.C</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CEREP II Mezzanine GP B-2, L.L.C</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46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CEREP II Mezzanine GP, L.L.C</w:t>
            </w:r>
          </w:p>
        </w:tc>
        <w:tc>
          <w:tcPr>
            <w:tcW w:w="4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CEREP II Mezzanine Loan Partners B-2, L.P.</w:t>
            </w:r>
          </w:p>
        </w:tc>
        <w:tc>
          <w:tcPr>
            <w:tcW w:w="4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5"/>
        </w:trPr>
        <w:tc>
          <w:tcPr>
            <w:tcW w:w="1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400" w:type="dxa"/>
            <w:vAlign w:val="bottom"/>
          </w:tcPr>
          <w:p>
            <w:pPr>
              <w:spacing w:after="0"/>
              <w:rPr>
                <w:sz w:val="24"/>
                <w:szCs w:val="24"/>
                <w:color w:val="auto"/>
              </w:rPr>
            </w:pPr>
          </w:p>
        </w:tc>
        <w:tc>
          <w:tcPr>
            <w:tcW w:w="4380" w:type="dxa"/>
            <w:vAlign w:val="bottom"/>
          </w:tcPr>
          <w:p>
            <w:pPr>
              <w:jc w:val="center"/>
              <w:ind w:left="423"/>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400" w:type="dxa"/>
            <w:vAlign w:val="bottom"/>
          </w:tcPr>
          <w:p>
            <w:pPr>
              <w:spacing w:after="0"/>
              <w:rPr>
                <w:sz w:val="14"/>
                <w:szCs w:val="14"/>
                <w:color w:val="auto"/>
              </w:rPr>
            </w:pPr>
          </w:p>
        </w:tc>
        <w:tc>
          <w:tcPr>
            <w:tcW w:w="4380" w:type="dxa"/>
            <w:vAlign w:val="bottom"/>
          </w:tcPr>
          <w:p>
            <w:pPr>
              <w:jc w:val="center"/>
              <w:ind w:left="423"/>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4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380" w:type="dxa"/>
            <w:vAlign w:val="bottom"/>
          </w:tcPr>
          <w:p>
            <w:pPr>
              <w:jc w:val="center"/>
              <w:ind w:left="443"/>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40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CEREP III ARC 1O GP, L.P.</w:t>
            </w: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CEREP III ARC 2O GP, L.P.</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CEREP III GP, L.L.C.</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CEREP III-X, L.L.C.</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CEREP Investment Holdings II, LLC</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4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CEREP Investment Holdings III, L.L.C</w:t>
            </w:r>
          </w:p>
        </w:tc>
        <w:tc>
          <w:tcPr>
            <w:tcW w:w="4380" w:type="dxa"/>
            <w:vAlign w:val="bottom"/>
          </w:tcPr>
          <w:p>
            <w:pPr>
              <w:ind w:left="17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CEREP Investment Holdings, L.L.C</w:t>
            </w: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CEREP Master Holdings, L.L.C</w:t>
            </w: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20"/>
        </w:trPr>
        <w:tc>
          <w:tcPr>
            <w:tcW w:w="54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CERF ARC LL</w:t>
            </w: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380" w:type="dxa"/>
            <w:vAlign w:val="bottom"/>
          </w:tcPr>
          <w:p>
            <w:pPr>
              <w:ind w:left="174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CERF GP S.à r.l.</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CERF II Lux GP, S.à r.l.</w:t>
            </w:r>
          </w:p>
        </w:tc>
        <w:tc>
          <w:tcPr>
            <w:tcW w:w="43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54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CERF II Managing GP Holdings, L.L.C</w:t>
            </w:r>
          </w:p>
        </w:tc>
        <w:tc>
          <w:tcPr>
            <w:tcW w:w="4380" w:type="dxa"/>
            <w:vAlign w:val="bottom"/>
          </w:tcPr>
          <w:p>
            <w:pPr>
              <w:ind w:left="17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191"/>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CERF II Managing GP, L.P.</w:t>
            </w:r>
          </w:p>
        </w:tc>
        <w:tc>
          <w:tcPr>
            <w:tcW w:w="4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4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CERF Managing GP Holdings, L.L.C</w:t>
            </w:r>
          </w:p>
        </w:tc>
        <w:tc>
          <w:tcPr>
            <w:tcW w:w="4380" w:type="dxa"/>
            <w:vAlign w:val="bottom"/>
          </w:tcPr>
          <w:p>
            <w:pPr>
              <w:ind w:left="174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80" w:type="dxa"/>
            <w:vAlign w:val="bottom"/>
            <w:vMerge w:val="restart"/>
          </w:tcPr>
          <w:p>
            <w:pPr>
              <w:ind w:left="174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03"/>
        </w:trPr>
        <w:tc>
          <w:tcPr>
            <w:tcW w:w="5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CERF Managing GP, L.P.</w:t>
            </w:r>
          </w:p>
        </w:tc>
        <w:tc>
          <w:tcPr>
            <w:tcW w:w="4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 w:gutter="0" w:footer="0" w:header="0"/>
        </w:sectPr>
      </w:pPr>
    </w:p>
    <w:bookmarkStart w:id="231" w:name="page232"/>
    <w:bookmarkEnd w:id="2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2">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ARC 1I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ARC 1J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300" w:type="dxa"/>
            <w:vAlign w:val="bottom"/>
            <w:tcBorders>
              <w:bottom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CETP ARC 2I GP, L.P.</w:t>
            </w:r>
          </w:p>
        </w:tc>
        <w:tc>
          <w:tcPr>
            <w:tcW w:w="3200" w:type="dxa"/>
            <w:vAlign w:val="bottom"/>
            <w:tcBorders>
              <w:bottom w:val="single" w:sz="8" w:color="auto"/>
            </w:tcBorders>
          </w:tcPr>
          <w:p>
            <w:pPr>
              <w:ind w:left="1700"/>
              <w:spacing w:after="0" w:line="162" w:lineRule="exact"/>
              <w:rPr>
                <w:sz w:val="20"/>
                <w:szCs w:val="20"/>
                <w:color w:val="auto"/>
              </w:rPr>
            </w:pPr>
            <w:r>
              <w:rPr>
                <w:rFonts w:ascii="Times New Roman" w:cs="Times New Roman" w:eastAsia="Times New Roman" w:hAnsi="Times New Roman"/>
                <w:sz w:val="16"/>
                <w:szCs w:val="16"/>
                <w:color w:val="auto"/>
              </w:rPr>
              <w:t>Delaware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ARC 2J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GP (Cayman) Limited</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ARC 1L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ARC 1M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ARC 2L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ARC 2M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GP (Cayman) Limited</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Managing GP Holdings, Ltd.</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 Managing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ARC 1F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ARC 1G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ARC 2F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ARC 2G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30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CETP III Holdings, L.L.C</w:t>
            </w:r>
          </w:p>
        </w:tc>
        <w:tc>
          <w:tcPr>
            <w:tcW w:w="4340" w:type="dxa"/>
            <w:vAlign w:val="bottom"/>
            <w:gridSpan w:val="2"/>
          </w:tcPr>
          <w:p>
            <w:pPr>
              <w:ind w:left="17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4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4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Managing GP Holdings, L.L.C.</w:t>
            </w:r>
          </w:p>
        </w:tc>
        <w:tc>
          <w:tcPr>
            <w:tcW w:w="4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III Managing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IV Holdings, L.L.C.</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IV Lux GP S.à r.l.</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IV Managing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Managing GP Holdings, Ltd.</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CETP Managing GP, L.P.</w:t>
            </w:r>
          </w:p>
        </w:tc>
        <w:tc>
          <w:tcPr>
            <w:tcW w:w="434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30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CETP V Holdings, L.L.C</w:t>
            </w:r>
          </w:p>
        </w:tc>
        <w:tc>
          <w:tcPr>
            <w:tcW w:w="4340" w:type="dxa"/>
            <w:vAlign w:val="bottom"/>
            <w:gridSpan w:val="2"/>
          </w:tcPr>
          <w:p>
            <w:pPr>
              <w:ind w:left="170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360" w:type="dxa"/>
            <w:vAlign w:val="bottom"/>
          </w:tcPr>
          <w:p>
            <w:pPr>
              <w:spacing w:after="0"/>
              <w:rPr>
                <w:sz w:val="24"/>
                <w:szCs w:val="24"/>
                <w:color w:val="auto"/>
              </w:rPr>
            </w:pPr>
          </w:p>
        </w:tc>
        <w:tc>
          <w:tcPr>
            <w:tcW w:w="4420" w:type="dxa"/>
            <w:vAlign w:val="bottom"/>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4"/>
                <w:szCs w:val="14"/>
                <w:color w:val="auto"/>
              </w:rPr>
            </w:pPr>
          </w:p>
        </w:tc>
        <w:tc>
          <w:tcPr>
            <w:tcW w:w="4420" w:type="dxa"/>
            <w:vAlign w:val="bottom"/>
          </w:tcPr>
          <w:p>
            <w:pPr>
              <w:jc w:val="center"/>
              <w:ind w:left="46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3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420" w:type="dxa"/>
            <w:vAlign w:val="bottom"/>
          </w:tcPr>
          <w:p>
            <w:pPr>
              <w:jc w:val="center"/>
              <w:ind w:left="48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3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4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79"/>
        </w:trPr>
        <w:tc>
          <w:tcPr>
            <w:tcW w:w="536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CETP V Lux GP S.à r.l</w:t>
            </w:r>
          </w:p>
        </w:tc>
        <w:tc>
          <w:tcPr>
            <w:tcW w:w="4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CETP V Managing GP,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 AlpInvest Holdings B.V.</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 Subsidiary Holdings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CGCIM (Southern),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3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CGEP General Partner Lux S1, S.C.Sp</w:t>
            </w:r>
          </w:p>
        </w:tc>
        <w:tc>
          <w:tcPr>
            <w:tcW w:w="4420" w:type="dxa"/>
            <w:vAlign w:val="bottom"/>
          </w:tcPr>
          <w:p>
            <w:pPr>
              <w:ind w:left="178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3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CGEP GP S1, L.L.C.</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CGEP GP,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CGEP Lux GP, S.à r.l.</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CGEP Managing GP,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CGFSP II Limited</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CGH,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CGH-1,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3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CGIOF Feeder (Scotland) GP, LL</w:t>
            </w:r>
          </w:p>
        </w:tc>
        <w:tc>
          <w:tcPr>
            <w:tcW w:w="4420" w:type="dxa"/>
            <w:vAlign w:val="bottom"/>
          </w:tcPr>
          <w:p>
            <w:pPr>
              <w:ind w:left="1780"/>
              <w:spacing w:after="0" w:line="182" w:lineRule="exact"/>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08"/>
        </w:trPr>
        <w:tc>
          <w:tcPr>
            <w:tcW w:w="53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4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General Partner S1, L.P.</w:t>
            </w:r>
          </w:p>
        </w:tc>
        <w:tc>
          <w:tcPr>
            <w:tcW w:w="4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General Partner,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GP S1,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GP,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II GP,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II Lux GP S.à r.l.</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CGIOF II Managing GP,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Care GP, L.L.C.</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General Partner (CY-1),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General Partner (DE-1),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General Partner II S1,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General Partner II, L.P.</w:t>
            </w:r>
          </w:p>
        </w:tc>
        <w:tc>
          <w:tcPr>
            <w:tcW w:w="442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53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CGP General Partner S3, L.L.C</w:t>
            </w:r>
          </w:p>
        </w:tc>
        <w:tc>
          <w:tcPr>
            <w:tcW w:w="4420" w:type="dxa"/>
            <w:vAlign w:val="bottom"/>
          </w:tcPr>
          <w:p>
            <w:pPr>
              <w:ind w:left="17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3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4"/>
        </w:trPr>
        <w:tc>
          <w:tcPr>
            <w:tcW w:w="53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CGP General Partner S3, L.P.</w:t>
            </w:r>
          </w:p>
        </w:tc>
        <w:tc>
          <w:tcPr>
            <w:tcW w:w="4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41" w:right="1060" w:bottom="5" w:gutter="0" w:footer="0" w:header="0"/>
        </w:sectPr>
      </w:pPr>
    </w:p>
    <w:bookmarkStart w:id="232" w:name="page233"/>
    <w:bookmarkEnd w:id="2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3">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General Partner, L.P.</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II General Partner S3, L.L.C.</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II General Partner S3, L.P.</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II Lux GP, S.à r.l.</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24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CGP II S1 Holdings, L.L.C</w:t>
            </w:r>
          </w:p>
        </w:tc>
        <w:tc>
          <w:tcPr>
            <w:tcW w:w="4400" w:type="dxa"/>
            <w:vAlign w:val="bottom"/>
          </w:tcPr>
          <w:p>
            <w:pPr>
              <w:ind w:left="17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38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00" w:type="dxa"/>
            <w:vAlign w:val="bottom"/>
            <w:vMerge w:val="restart"/>
          </w:tcPr>
          <w:p>
            <w:pPr>
              <w:ind w:left="17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II S1, L.L.C.</w:t>
            </w:r>
          </w:p>
        </w:tc>
        <w:tc>
          <w:tcPr>
            <w:tcW w:w="4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CGP II, L.L.C.</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CHACP I General Partner, L.P.</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CHACP I SLP, L.P.</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China CMA GP, L.P.</w:t>
            </w: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24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China CMA GP, Ltd</w:t>
            </w:r>
          </w:p>
        </w:tc>
        <w:tc>
          <w:tcPr>
            <w:tcW w:w="4400" w:type="dxa"/>
            <w:vAlign w:val="bottom"/>
          </w:tcPr>
          <w:p>
            <w:pPr>
              <w:ind w:left="176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38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00" w:type="dxa"/>
            <w:vAlign w:val="bottom"/>
            <w:vMerge w:val="restart"/>
          </w:tcPr>
          <w:p>
            <w:pPr>
              <w:ind w:left="1760"/>
              <w:spacing w:after="0"/>
              <w:rPr>
                <w:sz w:val="20"/>
                <w:szCs w:val="20"/>
                <w:color w:val="auto"/>
              </w:rPr>
            </w:pPr>
            <w:r>
              <w:rPr>
                <w:rFonts w:ascii="Times New Roman" w:cs="Times New Roman" w:eastAsia="Times New Roman" w:hAnsi="Times New Roman"/>
                <w:sz w:val="16"/>
                <w:szCs w:val="16"/>
                <w:color w:val="auto"/>
              </w:rPr>
              <w:t>England &amp; Wale</w:t>
            </w:r>
          </w:p>
        </w:tc>
        <w:tc>
          <w:tcPr>
            <w:tcW w:w="0" w:type="dxa"/>
            <w:vAlign w:val="bottom"/>
          </w:tcPr>
          <w:p>
            <w:pPr>
              <w:spacing w:after="0"/>
              <w:rPr>
                <w:sz w:val="1"/>
                <w:szCs w:val="1"/>
                <w:color w:val="auto"/>
              </w:rPr>
            </w:pPr>
          </w:p>
        </w:tc>
      </w:tr>
      <w:tr>
        <w:trPr>
          <w:trHeight w:val="120"/>
        </w:trPr>
        <w:tc>
          <w:tcPr>
            <w:tcW w:w="1140" w:type="dxa"/>
            <w:vAlign w:val="bottom"/>
          </w:tcPr>
          <w:p>
            <w:pPr>
              <w:spacing w:after="0"/>
              <w:rPr>
                <w:sz w:val="10"/>
                <w:szCs w:val="10"/>
                <w:color w:val="auto"/>
              </w:rPr>
            </w:pPr>
          </w:p>
        </w:tc>
        <w:tc>
          <w:tcPr>
            <w:tcW w:w="424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color w:val="auto"/>
              </w:rPr>
              <w:t>CIC Advisors LLP</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CIC UK, L.L.C.</w:t>
            </w:r>
          </w:p>
        </w:tc>
        <w:tc>
          <w:tcPr>
            <w:tcW w:w="4400" w:type="dxa"/>
            <w:vAlign w:val="bottom"/>
          </w:tcPr>
          <w:p>
            <w:pPr>
              <w:ind w:left="176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44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240" w:type="dxa"/>
            <w:vAlign w:val="bottom"/>
          </w:tcPr>
          <w:p>
            <w:pPr>
              <w:ind w:left="40"/>
              <w:spacing w:after="0" w:line="157" w:lineRule="exact"/>
              <w:rPr>
                <w:sz w:val="20"/>
                <w:szCs w:val="20"/>
                <w:color w:val="auto"/>
              </w:rPr>
            </w:pPr>
            <w:r>
              <w:rPr>
                <w:rFonts w:ascii="Times New Roman" w:cs="Times New Roman" w:eastAsia="Times New Roman" w:hAnsi="Times New Roman"/>
                <w:sz w:val="16"/>
                <w:szCs w:val="16"/>
                <w:color w:val="auto"/>
              </w:rPr>
              <w:t>CICF General Partner (Parallel), S.à r.l</w:t>
            </w:r>
          </w:p>
        </w:tc>
        <w:tc>
          <w:tcPr>
            <w:tcW w:w="4400" w:type="dxa"/>
            <w:vAlign w:val="bottom"/>
          </w:tcPr>
          <w:p>
            <w:pPr>
              <w:ind w:left="1760"/>
              <w:spacing w:after="0" w:line="157"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380" w:type="dxa"/>
            <w:vAlign w:val="bottom"/>
            <w:gridSpan w:val="2"/>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400" w:type="dxa"/>
            <w:vAlign w:val="bottom"/>
            <w:vMerge w:val="restart"/>
          </w:tcPr>
          <w:p>
            <w:pPr>
              <w:ind w:left="17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CICF General Partner, L.P.</w:t>
            </w:r>
          </w:p>
        </w:tc>
        <w:tc>
          <w:tcPr>
            <w:tcW w:w="4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5"/>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520" w:type="dxa"/>
            <w:vAlign w:val="bottom"/>
          </w:tcPr>
          <w:p>
            <w:pPr>
              <w:spacing w:after="0"/>
              <w:rPr>
                <w:sz w:val="24"/>
                <w:szCs w:val="24"/>
                <w:color w:val="auto"/>
              </w:rPr>
            </w:pPr>
          </w:p>
        </w:tc>
        <w:tc>
          <w:tcPr>
            <w:tcW w:w="426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4260" w:type="dxa"/>
            <w:vAlign w:val="bottom"/>
          </w:tcPr>
          <w:p>
            <w:pPr>
              <w:jc w:val="center"/>
              <w:ind w:left="30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52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260" w:type="dxa"/>
            <w:vAlign w:val="bottom"/>
          </w:tcPr>
          <w:p>
            <w:pPr>
              <w:jc w:val="center"/>
              <w:ind w:left="32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52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CICF II General Partner, L.P.</w:t>
            </w:r>
          </w:p>
        </w:tc>
        <w:tc>
          <w:tcPr>
            <w:tcW w:w="4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2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CICF II Lux General Partner, S.à r.l</w:t>
            </w:r>
          </w:p>
        </w:tc>
        <w:tc>
          <w:tcPr>
            <w:tcW w:w="4260" w:type="dxa"/>
            <w:vAlign w:val="bottom"/>
          </w:tcPr>
          <w:p>
            <w:pPr>
              <w:ind w:left="1620"/>
              <w:spacing w:after="0" w:line="157"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CICF II Note Issuer General Partner, L.L.C</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CICF II SPV GP,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CICF II,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CICF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CICF Note Issuer General Partner, L.L.C</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CIEP General Partner, L.P.</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CIEP GP,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CIEP II GP,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CIEP II Lux GP S.à r.l.</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CIEP II Managing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CIM (Delaware), Inc.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CIM Advisors France SAS</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France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CIM Europe S.à r.l.</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CIM Global Asia, L.L.C</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52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CIM Global Cayman Limite</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CIM Global, L.L.C.</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CIP ARC 1H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CIP ARC 2H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CIP Cayman GP Ltd</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CIP Direct GP (Cayman), L.P.</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CIP Direct GP LLC</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CIP U.S. Direct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Co-Investment III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III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IV Co-Investment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IV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IV Lux GP, S.à r.l.</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552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CJIP V Co-Investment GP, L.P</w:t>
            </w:r>
          </w:p>
        </w:tc>
        <w:tc>
          <w:tcPr>
            <w:tcW w:w="4260" w:type="dxa"/>
            <w:vAlign w:val="bottom"/>
          </w:tcPr>
          <w:p>
            <w:pPr>
              <w:ind w:left="162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52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6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V General Partner, L.P.</w:t>
            </w: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CJIP V Lux GP, S.à r.l</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Co-Investment II GP A,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Co-Investment II GP B,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Co-Investment III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II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II International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III General Partner,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III Japan ILP GP, Ltd.</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IV Co-Investment GP, L.P.</w:t>
            </w:r>
          </w:p>
        </w:tc>
        <w:tc>
          <w:tcPr>
            <w:tcW w:w="42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33" w:name="page234"/>
    <w:bookmarkEnd w:id="2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4">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CJP IV General Partner, L.P.</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31"/>
        </w:trPr>
        <w:tc>
          <w:tcPr>
            <w:tcW w:w="1140" w:type="dxa"/>
            <w:vAlign w:val="bottom"/>
          </w:tcPr>
          <w:p>
            <w:pPr>
              <w:spacing w:after="0"/>
              <w:rPr>
                <w:sz w:val="11"/>
                <w:szCs w:val="11"/>
                <w:color w:val="auto"/>
              </w:rPr>
            </w:pPr>
          </w:p>
        </w:tc>
        <w:tc>
          <w:tcPr>
            <w:tcW w:w="402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color w:val="auto"/>
              </w:rPr>
              <w:t>CJP IV Japan ILP GP, Ltd.</w:t>
            </w:r>
          </w:p>
        </w:tc>
        <w:tc>
          <w:tcPr>
            <w:tcW w:w="4620" w:type="dxa"/>
            <w:vAlign w:val="bottom"/>
            <w:gridSpan w:val="2"/>
          </w:tcPr>
          <w:p>
            <w:pPr>
              <w:ind w:left="1980"/>
              <w:spacing w:after="0" w:line="131" w:lineRule="exact"/>
              <w:rPr>
                <w:sz w:val="20"/>
                <w:szCs w:val="20"/>
                <w:color w:val="auto"/>
              </w:rPr>
            </w:pPr>
            <w:r>
              <w:rPr>
                <w:rFonts w:ascii="Times New Roman" w:cs="Times New Roman" w:eastAsia="Times New Roman" w:hAnsi="Times New Roman"/>
                <w:sz w:val="14"/>
                <w:szCs w:val="14"/>
                <w:color w:val="auto"/>
              </w:rPr>
              <w:t>Cayman Islands</w:t>
            </w:r>
          </w:p>
        </w:tc>
      </w:tr>
      <w:tr>
        <w:trPr>
          <w:trHeight w:val="203"/>
        </w:trPr>
        <w:tc>
          <w:tcPr>
            <w:tcW w:w="1140" w:type="dxa"/>
            <w:vAlign w:val="bottom"/>
          </w:tcPr>
          <w:p>
            <w:pPr>
              <w:spacing w:after="0"/>
              <w:rPr>
                <w:sz w:val="17"/>
                <w:szCs w:val="17"/>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CJP SE IX Holdings GP, L.L.C.</w:t>
            </w:r>
          </w:p>
        </w:tc>
        <w:tc>
          <w:tcPr>
            <w:tcW w:w="4620" w:type="dxa"/>
            <w:vAlign w:val="bottom"/>
            <w:gridSpan w:val="2"/>
          </w:tcPr>
          <w:p>
            <w:pPr>
              <w:ind w:left="1980"/>
              <w:spacing w:after="0"/>
              <w:rPr>
                <w:sz w:val="20"/>
                <w:szCs w:val="20"/>
                <w:color w:val="auto"/>
              </w:rPr>
            </w:pPr>
            <w:r>
              <w:rPr>
                <w:rFonts w:ascii="Times New Roman" w:cs="Times New Roman" w:eastAsia="Times New Roman" w:hAnsi="Times New Roman"/>
                <w:sz w:val="16"/>
                <w:szCs w:val="16"/>
                <w:color w:val="auto"/>
              </w:rPr>
              <w:t>Delaware</w:t>
            </w:r>
          </w:p>
        </w:tc>
      </w:tr>
      <w:tr>
        <w:trPr>
          <w:trHeight w:val="62"/>
        </w:trPr>
        <w:tc>
          <w:tcPr>
            <w:tcW w:w="1140" w:type="dxa"/>
            <w:vAlign w:val="bottom"/>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1140" w:type="dxa"/>
            <w:vAlign w:val="bottom"/>
          </w:tcPr>
          <w:p>
            <w:pPr>
              <w:spacing w:after="0"/>
              <w:rPr>
                <w:sz w:val="5"/>
                <w:szCs w:val="5"/>
                <w:color w:val="auto"/>
              </w:rPr>
            </w:pPr>
          </w:p>
        </w:tc>
      </w:tr>
      <w:tr>
        <w:trPr>
          <w:trHeight w:val="1120"/>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260" w:type="dxa"/>
            <w:vAlign w:val="bottom"/>
          </w:tcPr>
          <w:p>
            <w:pPr>
              <w:spacing w:after="0"/>
              <w:rPr>
                <w:sz w:val="24"/>
                <w:szCs w:val="24"/>
                <w:color w:val="auto"/>
              </w:rPr>
            </w:pPr>
          </w:p>
        </w:tc>
        <w:tc>
          <w:tcPr>
            <w:tcW w:w="452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260" w:type="dxa"/>
            <w:vAlign w:val="bottom"/>
          </w:tcPr>
          <w:p>
            <w:pPr>
              <w:spacing w:after="0"/>
              <w:rPr>
                <w:sz w:val="14"/>
                <w:szCs w:val="14"/>
                <w:color w:val="auto"/>
              </w:rPr>
            </w:pPr>
          </w:p>
        </w:tc>
        <w:tc>
          <w:tcPr>
            <w:tcW w:w="4520" w:type="dxa"/>
            <w:vAlign w:val="bottom"/>
          </w:tcPr>
          <w:p>
            <w:pPr>
              <w:jc w:val="center"/>
              <w:ind w:left="56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2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520" w:type="dxa"/>
            <w:vAlign w:val="bottom"/>
          </w:tcPr>
          <w:p>
            <w:pPr>
              <w:jc w:val="center"/>
              <w:ind w:left="58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CJP SE X Holdings GP, L.L.C</w:t>
            </w: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SE XIX Holdings GP, L.L.C.</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CJP V Co-Investment GP, L.P</w:t>
            </w:r>
          </w:p>
        </w:tc>
        <w:tc>
          <w:tcPr>
            <w:tcW w:w="4520" w:type="dxa"/>
            <w:vAlign w:val="bottom"/>
          </w:tcPr>
          <w:p>
            <w:pPr>
              <w:ind w:left="188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CJP V General Partner, L.</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CJP V HC Holdings I GP, L.L.C</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V HC Holdings II GP, L.L.C.</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V HC Holdings III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CJP V HC Holdings IV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2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CJP V HC Holdings V GP, L.L.</w:t>
            </w:r>
          </w:p>
        </w:tc>
        <w:tc>
          <w:tcPr>
            <w:tcW w:w="4520" w:type="dxa"/>
            <w:vAlign w:val="bottom"/>
          </w:tcPr>
          <w:p>
            <w:pPr>
              <w:ind w:left="18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CJP V Japan ILP GP, Lt</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CLABF General Partner, L.P.</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CLABF,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CLARE Partners D, L.P.</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CLAREP Co-Investment, L.P.</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CLAREP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CLAREP Mexico, L.P.</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CLOE III General Partner,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2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CMP General Partner, L.P</w:t>
            </w:r>
          </w:p>
        </w:tc>
        <w:tc>
          <w:tcPr>
            <w:tcW w:w="4520" w:type="dxa"/>
            <w:vAlign w:val="bottom"/>
          </w:tcPr>
          <w:p>
            <w:pPr>
              <w:ind w:left="18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Corra Holdings GP, Ltd.</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Corra Investments GP, Ltd.</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Circle Holdco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Deluxe Holdco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Granite Holdco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GP Cayman,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GP Cayman, L.P.</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GP, L.P.</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Holdings,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Growth Lux GP, S.à r.l.</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82"/>
        </w:trPr>
        <w:tc>
          <w:tcPr>
            <w:tcW w:w="52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CP Medalist Holdco GP, LL</w:t>
            </w:r>
          </w:p>
        </w:tc>
        <w:tc>
          <w:tcPr>
            <w:tcW w:w="4520" w:type="dxa"/>
            <w:vAlign w:val="bottom"/>
          </w:tcPr>
          <w:p>
            <w:pPr>
              <w:ind w:left="18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Mercury Holdco GP, LLC</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CP Moose Holdco GP, LL</w:t>
            </w:r>
          </w:p>
        </w:tc>
        <w:tc>
          <w:tcPr>
            <w:tcW w:w="4520" w:type="dxa"/>
            <w:vAlign w:val="bottom"/>
          </w:tcPr>
          <w:p>
            <w:pPr>
              <w:ind w:left="18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CP Prime Holdings GP, L.L.C</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CP Riser Holdco GP, LL</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CP V General Partner, L.L.C</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CP V Landmark GP LL</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V S3 GP, Ltd.</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CP Warrior Holdco GP, LL</w:t>
            </w:r>
          </w:p>
        </w:tc>
        <w:tc>
          <w:tcPr>
            <w:tcW w:w="4520" w:type="dxa"/>
            <w:vAlign w:val="bottom"/>
          </w:tcPr>
          <w:p>
            <w:pPr>
              <w:ind w:left="18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 Yield Holdco GP, LLC</w:t>
            </w:r>
          </w:p>
        </w:tc>
        <w:tc>
          <w:tcPr>
            <w:tcW w:w="4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CPC V GP, LLC</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2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CPCV General Partner, L.L.C</w:t>
            </w:r>
          </w:p>
        </w:tc>
        <w:tc>
          <w:tcPr>
            <w:tcW w:w="4520" w:type="dxa"/>
            <w:vAlign w:val="bottom"/>
          </w:tcPr>
          <w:p>
            <w:pPr>
              <w:ind w:left="18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20"/>
        </w:trPr>
        <w:tc>
          <w:tcPr>
            <w:tcW w:w="52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CPE Buyout GP, S.à r.l</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520" w:type="dxa"/>
            <w:vAlign w:val="bottom"/>
            <w:vMerge w:val="restart"/>
          </w:tcPr>
          <w:p>
            <w:pPr>
              <w:ind w:left="18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CPEP Seed Investments GP, LLC</w:t>
            </w:r>
          </w:p>
        </w:tc>
        <w:tc>
          <w:tcPr>
            <w:tcW w:w="4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5"/>
        </w:trPr>
        <w:tc>
          <w:tcPr>
            <w:tcW w:w="5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4"/>
        </w:trPr>
        <w:tc>
          <w:tcPr>
            <w:tcW w:w="5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 w:gutter="0" w:footer="0" w:header="0"/>
        </w:sectPr>
      </w:pPr>
    </w:p>
    <w:bookmarkStart w:id="234" w:name="page235"/>
    <w:bookmarkEnd w:id="2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5">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40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14"/>
                <w:szCs w:val="14"/>
                <w:color w:val="auto"/>
              </w:rPr>
            </w:pPr>
          </w:p>
        </w:tc>
        <w:tc>
          <w:tcPr>
            <w:tcW w:w="4080" w:type="dxa"/>
            <w:vAlign w:val="bottom"/>
          </w:tcPr>
          <w:p>
            <w:pPr>
              <w:jc w:val="center"/>
              <w:ind w:left="12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70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080" w:type="dxa"/>
            <w:vAlign w:val="bottom"/>
          </w:tcPr>
          <w:p>
            <w:pPr>
              <w:jc w:val="center"/>
              <w:ind w:left="14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CPEP Seed Investments, L.P</w:t>
            </w:r>
          </w:p>
        </w:tc>
        <w:tc>
          <w:tcPr>
            <w:tcW w:w="4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CPEX Aggregator GP,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CPP II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CREA Germany Gmb</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Germany</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H</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CREA UK,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Credit Acquisitions-2 General Partner, L.P</w:t>
            </w:r>
          </w:p>
        </w:tc>
        <w:tc>
          <w:tcPr>
            <w:tcW w:w="4080" w:type="dxa"/>
            <w:vAlign w:val="bottom"/>
          </w:tcPr>
          <w:p>
            <w:pPr>
              <w:ind w:left="144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Credit Acquisitions-2,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Credit Acquisitions-3 General Partner, L.P</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Credit Acquisitions-3,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CREV General Partner,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CREV General Partner,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CRFI IV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Crispy Holdings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III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III AIV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IV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IV AIV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V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V AIV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CRP V-A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CRQP III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CRQP IV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CRQP IV-A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CRSEF General Partner Lux S1, S.C.Sp</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GP S1,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CRSEF II General Partner Lux S1, S.C.Sp</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II GP S1,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II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II Lux GP S.à r.l.</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II Managing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Lux GP S.à r.l.</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CRSEF Managing GP,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CSABF AIV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CSABF General Partner Limite</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CSABF General Partner,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CSG IIF SM Member GP,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CSG IIF SM Member,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CSG Manager, LL</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CSG Special Member, LL</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CSL III Advisor,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 (CAYMAN) GENERAL PARTNER, L.P.</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 (Cayman) GP, Ltd.</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2"/>
        </w:trPr>
        <w:tc>
          <w:tcPr>
            <w:tcW w:w="5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560" w:type="dxa"/>
            <w:vAlign w:val="bottom"/>
          </w:tcPr>
          <w:p>
            <w:pPr>
              <w:spacing w:after="0"/>
              <w:rPr>
                <w:sz w:val="24"/>
                <w:szCs w:val="24"/>
                <w:color w:val="auto"/>
              </w:rPr>
            </w:pPr>
          </w:p>
        </w:tc>
        <w:tc>
          <w:tcPr>
            <w:tcW w:w="4220" w:type="dxa"/>
            <w:vAlign w:val="bottom"/>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220" w:type="dxa"/>
            <w:vAlign w:val="bottom"/>
          </w:tcPr>
          <w:p>
            <w:pPr>
              <w:jc w:val="center"/>
              <w:ind w:left="262"/>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5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220" w:type="dxa"/>
            <w:vAlign w:val="bottom"/>
          </w:tcPr>
          <w:p>
            <w:pPr>
              <w:jc w:val="center"/>
              <w:ind w:left="282"/>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5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22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56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CSP II General Partner, L.P.</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III (Cayman) General Partner, L.P.</w:t>
            </w:r>
          </w:p>
        </w:tc>
        <w:tc>
          <w:tcPr>
            <w:tcW w:w="42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III AIV General Partner (Cayman), L.P.</w:t>
            </w:r>
          </w:p>
        </w:tc>
        <w:tc>
          <w:tcPr>
            <w:tcW w:w="42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III AIV GP (Cayman), Ltd.</w:t>
            </w:r>
          </w:p>
        </w:tc>
        <w:tc>
          <w:tcPr>
            <w:tcW w:w="42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55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CSP III Cayman International AIV GP, L.P</w:t>
            </w:r>
          </w:p>
        </w:tc>
        <w:tc>
          <w:tcPr>
            <w:tcW w:w="4220" w:type="dxa"/>
            <w:vAlign w:val="bottom"/>
          </w:tcPr>
          <w:p>
            <w:pPr>
              <w:ind w:left="15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5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2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III General Partner, L.P.</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5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CSP Investment Advisors (HK) Limite</w:t>
            </w:r>
          </w:p>
        </w:tc>
        <w:tc>
          <w:tcPr>
            <w:tcW w:w="4220" w:type="dxa"/>
            <w:vAlign w:val="bottom"/>
          </w:tcPr>
          <w:p>
            <w:pPr>
              <w:ind w:left="1580"/>
              <w:spacing w:after="0" w:line="157" w:lineRule="exact"/>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108"/>
        </w:trPr>
        <w:tc>
          <w:tcPr>
            <w:tcW w:w="55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d</w:t>
            </w:r>
          </w:p>
        </w:tc>
        <w:tc>
          <w:tcPr>
            <w:tcW w:w="422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(Cayman 1) General Partner, L.P.</w:t>
            </w: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(Cayman 2) General Partner, L.P.</w:t>
            </w:r>
          </w:p>
        </w:tc>
        <w:tc>
          <w:tcPr>
            <w:tcW w:w="42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5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(Cayman 2) GP, Ltd.</w:t>
            </w:r>
          </w:p>
        </w:tc>
        <w:tc>
          <w:tcPr>
            <w:tcW w:w="42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62"/>
        </w:trPr>
        <w:tc>
          <w:tcPr>
            <w:tcW w:w="5560" w:type="dxa"/>
            <w:vAlign w:val="bottom"/>
          </w:tcPr>
          <w:p>
            <w:pPr>
              <w:spacing w:after="0"/>
              <w:rPr>
                <w:sz w:val="5"/>
                <w:szCs w:val="5"/>
                <w:color w:val="auto"/>
              </w:rPr>
            </w:pPr>
          </w:p>
        </w:tc>
        <w:tc>
          <w:tcPr>
            <w:tcW w:w="4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6">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(Cayman 3) General Partner,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(Cayman 3) GP, Ltd.</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ARF Delaware 3,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ARF General Partner,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CSP IV General Partner,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CSS ESHL 2024-1 Topco LL</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ESHL 2024-1 Topco Manager LL</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MH 2023-1 Topco Manager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MH 2024-1 Topco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NB Topco LL</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NB Topco Manager LL</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PSL 2023-1 AcquisitionCo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PSL 2023-1 AcquisitionCo Manager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SL 2024-1 Topco LL</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SL 2024-1 Topco Manager LL</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Solar 2024-1 TopCo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Solar 2024-1 TopCo Manager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Swift Topco Manager 2024-1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 Swift Topco Manager L.L.C</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South Afric</w:t>
            </w:r>
          </w:p>
        </w:tc>
        <w:tc>
          <w:tcPr>
            <w:tcW w:w="0" w:type="dxa"/>
            <w:vAlign w:val="bottom"/>
          </w:tcPr>
          <w:p>
            <w:pPr>
              <w:spacing w:after="0"/>
              <w:rPr>
                <w:sz w:val="1"/>
                <w:szCs w:val="1"/>
                <w:color w:val="auto"/>
              </w:rPr>
            </w:pPr>
          </w:p>
        </w:tc>
      </w:tr>
      <w:tr>
        <w:trPr>
          <w:trHeight w:val="120"/>
        </w:trPr>
        <w:tc>
          <w:tcPr>
            <w:tcW w:w="56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CSSAF General Partner (SA) Partnershi</w:t>
            </w: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4120" w:type="dxa"/>
            <w:vAlign w:val="bottom"/>
          </w:tcPr>
          <w:p>
            <w:pPr>
              <w:ind w:left="1480"/>
              <w:spacing w:after="0" w:line="108"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CSSAF GP Ltd.</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CSSAF Managing Partnership, L.P.</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CVP II DHS Holdings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DBD Investors III,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DGAM Management Services, Inc.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Direct Portfolio Management B.V</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Dynasty General Partner, LLC</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6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EF Holdings, Ltd</w:t>
            </w:r>
          </w:p>
        </w:tc>
        <w:tc>
          <w:tcPr>
            <w:tcW w:w="4120" w:type="dxa"/>
            <w:vAlign w:val="bottom"/>
          </w:tcPr>
          <w:p>
            <w:pPr>
              <w:ind w:left="148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Emu Holdings GP, Ltd.</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Everlast Holdings Partnership GP, LLC</w:t>
            </w:r>
          </w:p>
        </w:tc>
        <w:tc>
          <w:tcPr>
            <w:tcW w:w="412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6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Five Overseas CG Investment L.L.C</w:t>
            </w:r>
          </w:p>
        </w:tc>
        <w:tc>
          <w:tcPr>
            <w:tcW w:w="4120" w:type="dxa"/>
            <w:vAlign w:val="bottom"/>
          </w:tcPr>
          <w:p>
            <w:pPr>
              <w:ind w:left="14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6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12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Flex Credit Acquisition Company LLC</w:t>
            </w:r>
          </w:p>
        </w:tc>
        <w:tc>
          <w:tcPr>
            <w:tcW w:w="4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6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Fountain Holdings GP, L.L.C</w:t>
            </w:r>
          </w:p>
        </w:tc>
        <w:tc>
          <w:tcPr>
            <w:tcW w:w="4120" w:type="dxa"/>
            <w:vAlign w:val="bottom"/>
          </w:tcPr>
          <w:p>
            <w:pPr>
              <w:ind w:left="14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6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460" w:type="dxa"/>
            <w:vAlign w:val="bottom"/>
          </w:tcPr>
          <w:p>
            <w:pPr>
              <w:spacing w:after="0"/>
              <w:rPr>
                <w:sz w:val="24"/>
                <w:szCs w:val="24"/>
                <w:color w:val="auto"/>
              </w:rPr>
            </w:pPr>
          </w:p>
        </w:tc>
        <w:tc>
          <w:tcPr>
            <w:tcW w:w="4320" w:type="dxa"/>
            <w:vAlign w:val="bottom"/>
          </w:tcPr>
          <w:p>
            <w:pPr>
              <w:jc w:val="center"/>
              <w:ind w:left="363"/>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460" w:type="dxa"/>
            <w:vAlign w:val="bottom"/>
          </w:tcPr>
          <w:p>
            <w:pPr>
              <w:spacing w:after="0"/>
              <w:rPr>
                <w:sz w:val="14"/>
                <w:szCs w:val="14"/>
                <w:color w:val="auto"/>
              </w:rPr>
            </w:pPr>
          </w:p>
        </w:tc>
        <w:tc>
          <w:tcPr>
            <w:tcW w:w="4320" w:type="dxa"/>
            <w:vAlign w:val="bottom"/>
          </w:tcPr>
          <w:p>
            <w:pPr>
              <w:jc w:val="center"/>
              <w:ind w:left="363"/>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4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4320" w:type="dxa"/>
            <w:vAlign w:val="bottom"/>
          </w:tcPr>
          <w:p>
            <w:pPr>
              <w:jc w:val="center"/>
              <w:ind w:left="383"/>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46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Geo Holdings GP, L.L.C.</w:t>
            </w:r>
          </w:p>
        </w:tc>
        <w:tc>
          <w:tcPr>
            <w:tcW w:w="4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Green Holdings GP, L.L.C.</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4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Greenleaf Co-Invest Partners GP, L.L.C</w:t>
            </w:r>
          </w:p>
        </w:tc>
        <w:tc>
          <w:tcPr>
            <w:tcW w:w="4320" w:type="dxa"/>
            <w:vAlign w:val="bottom"/>
          </w:tcPr>
          <w:p>
            <w:pPr>
              <w:ind w:left="16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Guaymas GP, L.L.C.</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HSP ARC 1D GP,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HSP ARC 1E GP,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HSP ARC 2D GP,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HSP ARC 2E GP,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4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Invisible Holdings GP, L.L.C</w:t>
            </w:r>
          </w:p>
        </w:tc>
        <w:tc>
          <w:tcPr>
            <w:tcW w:w="4320" w:type="dxa"/>
            <w:vAlign w:val="bottom"/>
          </w:tcPr>
          <w:p>
            <w:pPr>
              <w:ind w:left="16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Java Parent GP, LLC</w:t>
            </w: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Kilometer Holdings GP, Ltd.</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LA Real Estate Partners C,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LAREP B,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228"/>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Latin America RE Partners E, L.P.</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Ontario</w:t>
            </w:r>
          </w:p>
        </w:tc>
        <w:tc>
          <w:tcPr>
            <w:tcW w:w="0" w:type="dxa"/>
            <w:vAlign w:val="bottom"/>
          </w:tcPr>
          <w:p>
            <w:pPr>
              <w:spacing w:after="0"/>
              <w:rPr>
                <w:sz w:val="1"/>
                <w:szCs w:val="1"/>
                <w:color w:val="auto"/>
              </w:rPr>
            </w:pPr>
          </w:p>
        </w:tc>
      </w:tr>
      <w:tr>
        <w:trPr>
          <w:trHeight w:val="182"/>
        </w:trPr>
        <w:tc>
          <w:tcPr>
            <w:tcW w:w="54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Lux General Partner, L.L.C</w:t>
            </w:r>
          </w:p>
        </w:tc>
        <w:tc>
          <w:tcPr>
            <w:tcW w:w="4320" w:type="dxa"/>
            <w:vAlign w:val="bottom"/>
          </w:tcPr>
          <w:p>
            <w:pPr>
              <w:ind w:left="16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South Afric</w:t>
            </w:r>
          </w:p>
        </w:tc>
        <w:tc>
          <w:tcPr>
            <w:tcW w:w="0" w:type="dxa"/>
            <w:vAlign w:val="bottom"/>
          </w:tcPr>
          <w:p>
            <w:pPr>
              <w:spacing w:after="0"/>
              <w:rPr>
                <w:sz w:val="1"/>
                <w:szCs w:val="1"/>
                <w:color w:val="auto"/>
              </w:rPr>
            </w:pPr>
          </w:p>
        </w:tc>
      </w:tr>
      <w:tr>
        <w:trPr>
          <w:trHeight w:val="120"/>
        </w:trPr>
        <w:tc>
          <w:tcPr>
            <w:tcW w:w="54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MAIN STREET 1045 (PTY) LTD.</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60" w:type="dxa"/>
            <w:vAlign w:val="bottom"/>
            <w:vMerge w:val="restart"/>
          </w:tcPr>
          <w:p>
            <w:pPr>
              <w:ind w:left="1180"/>
              <w:spacing w:after="0"/>
              <w:rPr>
                <w:sz w:val="20"/>
                <w:szCs w:val="20"/>
                <w:color w:val="auto"/>
              </w:rPr>
            </w:pPr>
            <w:r>
              <w:rPr>
                <w:rFonts w:ascii="Times New Roman" w:cs="Times New Roman" w:eastAsia="Times New Roman" w:hAnsi="Times New Roman"/>
                <w:sz w:val="16"/>
                <w:szCs w:val="16"/>
                <w:color w:val="auto"/>
              </w:rPr>
              <w:t>NW Alp GP, LLC</w:t>
            </w:r>
          </w:p>
        </w:tc>
        <w:tc>
          <w:tcPr>
            <w:tcW w:w="4320" w:type="dxa"/>
            <w:vAlign w:val="bottom"/>
          </w:tcPr>
          <w:p>
            <w:pPr>
              <w:ind w:left="1680"/>
              <w:spacing w:after="0" w:line="108" w:lineRule="exact"/>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191"/>
        </w:trPr>
        <w:tc>
          <w:tcPr>
            <w:tcW w:w="5460" w:type="dxa"/>
            <w:vAlign w:val="bottom"/>
            <w:vMerge w:val="continue"/>
          </w:tcPr>
          <w:p>
            <w:pPr>
              <w:spacing w:after="0"/>
              <w:rPr>
                <w:sz w:val="16"/>
                <w:szCs w:val="16"/>
                <w:color w:val="auto"/>
              </w:rPr>
            </w:pP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4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Oeral Investments BV</w:t>
            </w:r>
          </w:p>
        </w:tc>
        <w:tc>
          <w:tcPr>
            <w:tcW w:w="43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182"/>
        </w:trPr>
        <w:tc>
          <w:tcPr>
            <w:tcW w:w="54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PrimeFlight Aviation Services, GP, L.L.C</w:t>
            </w:r>
          </w:p>
        </w:tc>
        <w:tc>
          <w:tcPr>
            <w:tcW w:w="4320" w:type="dxa"/>
            <w:vAlign w:val="bottom"/>
          </w:tcPr>
          <w:p>
            <w:pPr>
              <w:ind w:left="16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Prism Parent Holdings GP, LL</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4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Project Titan General Partner, L.L.C</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Indonesia</w:t>
            </w:r>
          </w:p>
        </w:tc>
        <w:tc>
          <w:tcPr>
            <w:tcW w:w="0" w:type="dxa"/>
            <w:vAlign w:val="bottom"/>
          </w:tcPr>
          <w:p>
            <w:pPr>
              <w:spacing w:after="0"/>
              <w:rPr>
                <w:sz w:val="1"/>
                <w:szCs w:val="1"/>
                <w:color w:val="auto"/>
              </w:rPr>
            </w:pPr>
          </w:p>
        </w:tc>
      </w:tr>
      <w:tr>
        <w:trPr>
          <w:trHeight w:val="120"/>
        </w:trPr>
        <w:tc>
          <w:tcPr>
            <w:tcW w:w="54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PT. Carlyle Indonesia Advisor</w:t>
            </w:r>
          </w:p>
        </w:tc>
        <w:tc>
          <w:tcPr>
            <w:tcW w:w="4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s</w:t>
            </w:r>
          </w:p>
        </w:tc>
        <w:tc>
          <w:tcPr>
            <w:tcW w:w="432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68"/>
        </w:trPr>
        <w:tc>
          <w:tcPr>
            <w:tcW w:w="5460" w:type="dxa"/>
            <w:vAlign w:val="bottom"/>
          </w:tcPr>
          <w:p>
            <w:pPr>
              <w:ind w:left="1180"/>
              <w:spacing w:after="0" w:line="168" w:lineRule="exact"/>
              <w:rPr>
                <w:sz w:val="20"/>
                <w:szCs w:val="20"/>
                <w:color w:val="auto"/>
              </w:rPr>
            </w:pPr>
            <w:r>
              <w:rPr>
                <w:rFonts w:ascii="Times New Roman" w:cs="Times New Roman" w:eastAsia="Times New Roman" w:hAnsi="Times New Roman"/>
                <w:sz w:val="16"/>
                <w:szCs w:val="16"/>
                <w:color w:val="auto"/>
              </w:rPr>
              <w:t>Rio Branco 2 GP, L.L.C.</w:t>
            </w:r>
          </w:p>
        </w:tc>
        <w:tc>
          <w:tcPr>
            <w:tcW w:w="4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70" w:right="1060" w:bottom="5" w:gutter="0" w:footer="0" w:header="0"/>
        </w:sectPr>
      </w:pPr>
    </w:p>
    <w:bookmarkStart w:id="236" w:name="page237"/>
    <w:bookmarkEnd w:id="2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7">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Riser General Partner, LL</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Ruby Holdings GP,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SCPI General Partner, L.L.C</w:t>
            </w:r>
          </w:p>
        </w:tc>
        <w:tc>
          <w:tcPr>
            <w:tcW w:w="4080" w:type="dxa"/>
            <w:vAlign w:val="bottom"/>
          </w:tcPr>
          <w:p>
            <w:pPr>
              <w:ind w:left="1440"/>
              <w:spacing w:after="0" w:line="120" w:lineRule="exact"/>
              <w:rPr>
                <w:sz w:val="20"/>
                <w:szCs w:val="20"/>
                <w:color w:val="auto"/>
              </w:rPr>
            </w:pPr>
            <w:r>
              <w:rPr>
                <w:rFonts w:ascii="Times New Roman" w:cs="Times New Roman" w:eastAsia="Times New Roman" w:hAnsi="Times New Roman"/>
                <w:sz w:val="13"/>
                <w:szCs w:val="13"/>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Siren Holdings GP, Ltd</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Strategic Ag Ventures Topco Manager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Studio Cruise GP,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Cayman Investment Holdings Sub L.P</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Cayman Investment Holdings, L.P</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Cayman Sub L.P</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Cayman, L.P.</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CEMOF II,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CEMOF, L.L.C</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CMP,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CPP II,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CSP II,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CSP III Cayman, L.L.C</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70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CSP III Cayman-S3, L.L.C</w:t>
            </w:r>
          </w:p>
        </w:tc>
        <w:tc>
          <w:tcPr>
            <w:tcW w:w="4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8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CSP III, L.L.C.</w:t>
            </w: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CSP IV, L.L.C.</w:t>
            </w:r>
          </w:p>
        </w:tc>
        <w:tc>
          <w:tcPr>
            <w:tcW w:w="40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70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Infrastructure Direct GP, L.L.C</w:t>
            </w:r>
          </w:p>
        </w:tc>
        <w:tc>
          <w:tcPr>
            <w:tcW w:w="4080" w:type="dxa"/>
            <w:vAlign w:val="bottom"/>
          </w:tcPr>
          <w:p>
            <w:pPr>
              <w:ind w:left="144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7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86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860" w:type="dxa"/>
            <w:vAlign w:val="bottom"/>
          </w:tcPr>
          <w:p>
            <w:pPr>
              <w:spacing w:after="0"/>
              <w:rPr>
                <w:sz w:val="14"/>
                <w:szCs w:val="14"/>
                <w:color w:val="auto"/>
              </w:rPr>
            </w:pPr>
          </w:p>
        </w:tc>
        <w:tc>
          <w:tcPr>
            <w:tcW w:w="39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86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9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TC Group Infrastructure, L.L.C</w:t>
            </w: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Investment Holdings Limited Partner L.L.C</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Investment Holdings Sub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 Group Investment Holdings, L.L.C</w:t>
            </w:r>
          </w:p>
        </w:tc>
        <w:tc>
          <w:tcPr>
            <w:tcW w:w="3920" w:type="dxa"/>
            <w:vAlign w:val="bottom"/>
          </w:tcPr>
          <w:p>
            <w:pPr>
              <w:ind w:left="12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Investment Holdings,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 Group Management, L.L.C</w:t>
            </w:r>
          </w:p>
        </w:tc>
        <w:tc>
          <w:tcPr>
            <w:tcW w:w="3920" w:type="dxa"/>
            <w:vAlign w:val="bottom"/>
          </w:tcPr>
          <w:p>
            <w:pPr>
              <w:ind w:left="12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Sub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 Group V Cayman S3, L.P</w:t>
            </w:r>
          </w:p>
        </w:tc>
        <w:tc>
          <w:tcPr>
            <w:tcW w:w="3920" w:type="dxa"/>
            <w:vAlign w:val="bottom"/>
          </w:tcPr>
          <w:p>
            <w:pPr>
              <w:ind w:left="128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Cayman,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 Group V Managing GP, L.L.C</w:t>
            </w:r>
          </w:p>
        </w:tc>
        <w:tc>
          <w:tcPr>
            <w:tcW w:w="3920" w:type="dxa"/>
            <w:vAlign w:val="bottom"/>
          </w:tcPr>
          <w:p>
            <w:pPr>
              <w:ind w:left="12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V S1, L.L.C</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S1,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US,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US,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 F,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CAYMAN,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Cayman,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S1,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S1,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S1-F,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Care,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8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VII Cayman Care, L.P</w:t>
            </w:r>
          </w:p>
        </w:tc>
        <w:tc>
          <w:tcPr>
            <w:tcW w:w="3920" w:type="dxa"/>
            <w:vAlign w:val="bottom"/>
          </w:tcPr>
          <w:p>
            <w:pPr>
              <w:ind w:left="12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6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 Group VII Cayman, L.L.C</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20" w:type="dxa"/>
            <w:vAlign w:val="bottom"/>
            <w:vMerge w:val="restart"/>
          </w:tcPr>
          <w:p>
            <w:pPr>
              <w:ind w:left="12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Cayman, L.P.</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Lux Care GP, S.à r.l.</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Lux GP, S.à r.l.</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S1,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S1,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L.L.C.</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 L.P.</w:t>
            </w:r>
          </w:p>
        </w:tc>
        <w:tc>
          <w:tcPr>
            <w:tcW w:w="392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8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VIII Cayman Holdings, L.L.C</w:t>
            </w:r>
          </w:p>
        </w:tc>
        <w:tc>
          <w:tcPr>
            <w:tcW w:w="3920" w:type="dxa"/>
            <w:vAlign w:val="bottom"/>
          </w:tcPr>
          <w:p>
            <w:pPr>
              <w:ind w:left="128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16"/>
        </w:trPr>
        <w:tc>
          <w:tcPr>
            <w:tcW w:w="58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66" w:right="1060" w:bottom="5" w:gutter="0" w:footer="0" w:header="0"/>
        </w:sectPr>
      </w:pPr>
    </w:p>
    <w:bookmarkStart w:id="237" w:name="page238"/>
    <w:bookmarkEnd w:id="2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99695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8">
                      <a:extLst>
                        <a:ext uri="{28A0092B-C50C-407E-A947-70E740481C1C}"/>
                      </a:extLst>
                    </a:blip>
                    <a:srcRect/>
                    <a:stretch>
                      <a:fillRect/>
                    </a:stretch>
                  </pic:blipFill>
                  <pic:spPr bwMode="auto">
                    <a:xfrm>
                      <a:off x="0" y="0"/>
                      <a:ext cx="6707505" cy="9969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1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VIII Cayman, L.L.C</w:t>
            </w:r>
          </w:p>
        </w:tc>
        <w:tc>
          <w:tcPr>
            <w:tcW w:w="46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67"/>
        </w:trPr>
        <w:tc>
          <w:tcPr>
            <w:tcW w:w="5160" w:type="dxa"/>
            <w:vAlign w:val="bottom"/>
          </w:tcPr>
          <w:p>
            <w:pPr>
              <w:ind w:left="1180"/>
              <w:spacing w:after="0" w:line="167" w:lineRule="exact"/>
              <w:rPr>
                <w:sz w:val="20"/>
                <w:szCs w:val="20"/>
                <w:color w:val="auto"/>
              </w:rPr>
            </w:pPr>
            <w:r>
              <w:rPr>
                <w:rFonts w:ascii="Times New Roman" w:cs="Times New Roman" w:eastAsia="Times New Roman" w:hAnsi="Times New Roman"/>
                <w:sz w:val="16"/>
                <w:szCs w:val="16"/>
                <w:color w:val="auto"/>
              </w:rPr>
              <w:t>.TC Group VIII Cayman, L.P.</w:t>
            </w:r>
          </w:p>
        </w:tc>
        <w:tc>
          <w:tcPr>
            <w:tcW w:w="4620" w:type="dxa"/>
            <w:vAlign w:val="bottom"/>
          </w:tcPr>
          <w:p>
            <w:pPr>
              <w:ind w:left="1980"/>
              <w:spacing w:after="0" w:line="16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57"/>
        </w:trPr>
        <w:tc>
          <w:tcPr>
            <w:tcW w:w="516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 Group VIII Holdings, L.L.C</w:t>
            </w:r>
          </w:p>
        </w:tc>
        <w:tc>
          <w:tcPr>
            <w:tcW w:w="4620" w:type="dxa"/>
            <w:vAlign w:val="bottom"/>
          </w:tcPr>
          <w:p>
            <w:pPr>
              <w:ind w:left="198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1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20" w:type="dxa"/>
            <w:vAlign w:val="bottom"/>
            <w:vMerge w:val="restart"/>
          </w:tcPr>
          <w:p>
            <w:pPr>
              <w:ind w:left="19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91"/>
        </w:trPr>
        <w:tc>
          <w:tcPr>
            <w:tcW w:w="51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VIII Lux GP, S.à r.l.</w:t>
            </w:r>
          </w:p>
        </w:tc>
        <w:tc>
          <w:tcPr>
            <w:tcW w:w="4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VIII, L.L.C.</w:t>
            </w:r>
          </w:p>
        </w:tc>
        <w:tc>
          <w:tcPr>
            <w:tcW w:w="46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1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 VIII, L.P.</w:t>
            </w:r>
          </w:p>
        </w:tc>
        <w:tc>
          <w:tcPr>
            <w:tcW w:w="46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16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 Group, L.L.C</w:t>
            </w:r>
          </w:p>
        </w:tc>
        <w:tc>
          <w:tcPr>
            <w:tcW w:w="4620" w:type="dxa"/>
            <w:vAlign w:val="bottom"/>
          </w:tcPr>
          <w:p>
            <w:pPr>
              <w:ind w:left="198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16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20" w:type="dxa"/>
            <w:vAlign w:val="bottom"/>
            <w:vMerge w:val="restart"/>
          </w:tcPr>
          <w:p>
            <w:pPr>
              <w:ind w:left="19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6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 Group-Energy LLC</w:t>
            </w:r>
          </w:p>
        </w:tc>
        <w:tc>
          <w:tcPr>
            <w:tcW w:w="4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5"/>
        </w:trPr>
        <w:tc>
          <w:tcPr>
            <w:tcW w:w="51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08"/>
        </w:trPr>
        <w:tc>
          <w:tcPr>
            <w:tcW w:w="58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39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Incorporation or</w:t>
            </w:r>
          </w:p>
        </w:tc>
        <w:tc>
          <w:tcPr>
            <w:tcW w:w="0" w:type="dxa"/>
            <w:vAlign w:val="bottom"/>
          </w:tcPr>
          <w:p>
            <w:pPr>
              <w:spacing w:after="0"/>
              <w:rPr>
                <w:sz w:val="1"/>
                <w:szCs w:val="1"/>
                <w:color w:val="auto"/>
              </w:rPr>
            </w:pPr>
          </w:p>
        </w:tc>
      </w:tr>
      <w:tr>
        <w:trPr>
          <w:trHeight w:val="159"/>
        </w:trPr>
        <w:tc>
          <w:tcPr>
            <w:tcW w:w="5880" w:type="dxa"/>
            <w:vAlign w:val="bottom"/>
          </w:tcPr>
          <w:p>
            <w:pPr>
              <w:ind w:left="1180"/>
              <w:spacing w:after="0" w:line="159" w:lineRule="exact"/>
              <w:rPr>
                <w:sz w:val="20"/>
                <w:szCs w:val="20"/>
                <w:color w:val="auto"/>
              </w:rPr>
            </w:pPr>
            <w:r>
              <w:rPr>
                <w:rFonts w:ascii="Times New Roman" w:cs="Times New Roman" w:eastAsia="Times New Roman" w:hAnsi="Times New Roman"/>
                <w:sz w:val="16"/>
                <w:szCs w:val="16"/>
                <w:b w:val="1"/>
                <w:bCs w:val="1"/>
                <w:color w:val="auto"/>
              </w:rPr>
              <w:t>Company Nam</w:t>
            </w:r>
          </w:p>
        </w:tc>
        <w:tc>
          <w:tcPr>
            <w:tcW w:w="39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Organization</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b w:val="1"/>
                <w:bCs w:val="1"/>
                <w:color w:val="auto"/>
              </w:rPr>
              <w:t>e</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79"/>
        </w:trPr>
        <w:tc>
          <w:tcPr>
            <w:tcW w:w="5880" w:type="dxa"/>
            <w:vAlign w:val="bottom"/>
          </w:tcPr>
          <w:p>
            <w:pPr>
              <w:ind w:left="1180"/>
              <w:spacing w:after="0" w:line="179" w:lineRule="exact"/>
              <w:rPr>
                <w:sz w:val="20"/>
                <w:szCs w:val="20"/>
                <w:color w:val="auto"/>
              </w:rPr>
            </w:pPr>
            <w:r>
              <w:rPr>
                <w:rFonts w:ascii="Times New Roman" w:cs="Times New Roman" w:eastAsia="Times New Roman" w:hAnsi="Times New Roman"/>
                <w:sz w:val="16"/>
                <w:szCs w:val="16"/>
                <w:color w:val="auto"/>
              </w:rPr>
              <w:t>TC Group-Energy-S2 LLC</w:t>
            </w:r>
          </w:p>
        </w:tc>
        <w:tc>
          <w:tcPr>
            <w:tcW w:w="3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88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TCG 2014 Coinvestment Acquisitions, L.P</w:t>
            </w:r>
          </w:p>
        </w:tc>
        <w:tc>
          <w:tcPr>
            <w:tcW w:w="3900" w:type="dxa"/>
            <w:vAlign w:val="bottom"/>
          </w:tcPr>
          <w:p>
            <w:pPr>
              <w:ind w:left="1260"/>
              <w:spacing w:after="0" w:line="157"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2014 GP Ltd</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AP Investment Holdings Ltd.</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Capital Markets L.L.C.</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8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TCG Credit KFA Co-Invest Manager, LL</w:t>
            </w:r>
          </w:p>
        </w:tc>
        <w:tc>
          <w:tcPr>
            <w:tcW w:w="3900" w:type="dxa"/>
            <w:vAlign w:val="bottom"/>
          </w:tcPr>
          <w:p>
            <w:pPr>
              <w:ind w:left="12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C</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Energy Investment Holdings (Cayman), L.P.</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Energy Investment Holdings III Cayman,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Energy Investment Holdings III Cayman-S1,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Energy Investment Holdings III Cayman-S3,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Energy Investment Holdings,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8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TCG FBIE Holdings Ltd</w:t>
            </w:r>
          </w:p>
        </w:tc>
        <w:tc>
          <w:tcPr>
            <w:tcW w:w="3900" w:type="dxa"/>
            <w:vAlign w:val="bottom"/>
          </w:tcPr>
          <w:p>
            <w:pPr>
              <w:ind w:left="1260"/>
              <w:spacing w:after="0" w:line="182" w:lineRule="exact"/>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FBIE Holdings, L.P.</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8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TCG FBIE Manager (Delaware), L.L.C</w:t>
            </w:r>
          </w:p>
        </w:tc>
        <w:tc>
          <w:tcPr>
            <w:tcW w:w="3900" w:type="dxa"/>
            <w:vAlign w:val="bottom"/>
          </w:tcPr>
          <w:p>
            <w:pPr>
              <w:ind w:left="126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(Scot),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II A, L.L.C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II A1,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II,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III AIV,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III,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Financial Services-A, L.P</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Holdings Finance Co. L.L.C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Horizon Strategic GP, LLC</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Pattern Investment Holdings,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82"/>
        </w:trPr>
        <w:tc>
          <w:tcPr>
            <w:tcW w:w="58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TCG Power Opportunities, L.L.C</w:t>
            </w:r>
          </w:p>
        </w:tc>
        <w:tc>
          <w:tcPr>
            <w:tcW w:w="3900" w:type="dxa"/>
            <w:vAlign w:val="bottom"/>
          </w:tcPr>
          <w:p>
            <w:pPr>
              <w:ind w:left="1260"/>
              <w:spacing w:after="0" w:line="182"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R/C RW GP Corp</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8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TCG Realty Investment Holdings, L.L.C</w:t>
            </w:r>
          </w:p>
        </w:tc>
        <w:tc>
          <w:tcPr>
            <w:tcW w:w="3900" w:type="dxa"/>
            <w:vAlign w:val="bottom"/>
          </w:tcPr>
          <w:p>
            <w:pPr>
              <w:ind w:left="126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RW ILP Cor</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p</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TCG Senior Funding L.L.C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V (SCOT), L.P.</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Ventures II, L.L.C.</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Ventures II,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Ventures III, L.L.C.</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28"/>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TCG Ventures III, L.P.</w:t>
            </w:r>
          </w:p>
        </w:tc>
        <w:tc>
          <w:tcPr>
            <w:tcW w:w="390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82"/>
        </w:trPr>
        <w:tc>
          <w:tcPr>
            <w:tcW w:w="5880" w:type="dxa"/>
            <w:vAlign w:val="bottom"/>
          </w:tcPr>
          <w:p>
            <w:pPr>
              <w:ind w:left="1180"/>
              <w:spacing w:after="0" w:line="182" w:lineRule="exact"/>
              <w:rPr>
                <w:sz w:val="20"/>
                <w:szCs w:val="20"/>
                <w:color w:val="auto"/>
              </w:rPr>
            </w:pPr>
            <w:r>
              <w:rPr>
                <w:rFonts w:ascii="Times New Roman" w:cs="Times New Roman" w:eastAsia="Times New Roman" w:hAnsi="Times New Roman"/>
                <w:sz w:val="16"/>
                <w:szCs w:val="16"/>
                <w:color w:val="auto"/>
              </w:rPr>
              <w:t>The Carlyle Group (Luxembourg) S.à r.l</w:t>
            </w:r>
          </w:p>
        </w:tc>
        <w:tc>
          <w:tcPr>
            <w:tcW w:w="3900" w:type="dxa"/>
            <w:vAlign w:val="bottom"/>
          </w:tcPr>
          <w:p>
            <w:pPr>
              <w:ind w:left="1260"/>
              <w:spacing w:after="0" w:line="182" w:lineRule="exact"/>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The Carlyle Group Employee Co., L.L.C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Spain</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The Carlyle Group Espana, S</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L</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The Carlyle Group Inc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The Shaper Holdings GP, L.L.C</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20"/>
        </w:trPr>
        <w:tc>
          <w:tcPr>
            <w:tcW w:w="5880" w:type="dxa"/>
            <w:vAlign w:val="bottom"/>
          </w:tcPr>
          <w:p>
            <w:pPr>
              <w:ind w:left="1180"/>
              <w:spacing w:after="0" w:line="120" w:lineRule="exact"/>
              <w:rPr>
                <w:sz w:val="20"/>
                <w:szCs w:val="20"/>
                <w:color w:val="auto"/>
              </w:rPr>
            </w:pPr>
            <w:r>
              <w:rPr>
                <w:rFonts w:ascii="Times New Roman" w:cs="Times New Roman" w:eastAsia="Times New Roman" w:hAnsi="Times New Roman"/>
                <w:sz w:val="13"/>
                <w:szCs w:val="13"/>
                <w:color w:val="auto"/>
              </w:rPr>
              <w:t>Trinity Holdings GP, Ltd</w:t>
            </w:r>
          </w:p>
        </w:tc>
        <w:tc>
          <w:tcPr>
            <w:tcW w:w="3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80" w:type="dxa"/>
            <w:vAlign w:val="bottom"/>
          </w:tcPr>
          <w:p>
            <w:pPr>
              <w:ind w:left="11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90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191"/>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TTC Holdings GP, L.L.C.</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80" w:type="dxa"/>
            <w:vAlign w:val="bottom"/>
          </w:tcPr>
          <w:p>
            <w:pPr>
              <w:ind w:left="1180"/>
              <w:spacing w:after="0" w:line="157" w:lineRule="exact"/>
              <w:rPr>
                <w:sz w:val="20"/>
                <w:szCs w:val="20"/>
                <w:color w:val="auto"/>
              </w:rPr>
            </w:pPr>
            <w:r>
              <w:rPr>
                <w:rFonts w:ascii="Times New Roman" w:cs="Times New Roman" w:eastAsia="Times New Roman" w:hAnsi="Times New Roman"/>
                <w:sz w:val="16"/>
                <w:szCs w:val="16"/>
                <w:color w:val="auto"/>
              </w:rPr>
              <w:t>Ultimate General Partner, LL</w:t>
            </w:r>
          </w:p>
        </w:tc>
        <w:tc>
          <w:tcPr>
            <w:tcW w:w="3900" w:type="dxa"/>
            <w:vAlign w:val="bottom"/>
          </w:tcPr>
          <w:p>
            <w:pPr>
              <w:ind w:left="1260"/>
              <w:spacing w:after="0" w:line="157" w:lineRule="exact"/>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88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5"/>
        </w:trPr>
        <w:tc>
          <w:tcPr>
            <w:tcW w:w="5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80"/>
          </w:cols>
          <w:pgMar w:left="1060" w:top="530" w:right="1060" w:bottom="53"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9">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r>
    </w:p>
    <w:p>
      <w:pPr>
        <w:spacing w:after="0" w:line="3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Company Nam</w:t>
      </w:r>
    </w:p>
    <w:p>
      <w:pPr>
        <w:ind w:left="800"/>
        <w:spacing w:after="0" w:line="187" w:lineRule="auto"/>
        <w:rPr>
          <w:sz w:val="20"/>
          <w:szCs w:val="20"/>
          <w:color w:val="auto"/>
        </w:rPr>
      </w:pPr>
      <w:r>
        <w:rPr>
          <w:rFonts w:ascii="Times New Roman" w:cs="Times New Roman" w:eastAsia="Times New Roman" w:hAnsi="Times New Roman"/>
          <w:sz w:val="12"/>
          <w:szCs w:val="12"/>
          <w:b w:val="1"/>
          <w:bCs w:val="1"/>
          <w:color w:val="auto"/>
        </w:rPr>
        <w:t>e</w:t>
      </w:r>
    </w:p>
    <w:p>
      <w:pPr>
        <w:ind w:left="800"/>
        <w:spacing w:after="0" w:line="188" w:lineRule="auto"/>
        <w:rPr>
          <w:sz w:val="20"/>
          <w:szCs w:val="20"/>
          <w:color w:val="auto"/>
        </w:rPr>
      </w:pPr>
      <w:r>
        <w:rPr>
          <w:rFonts w:ascii="Times New Roman" w:cs="Times New Roman" w:eastAsia="Times New Roman" w:hAnsi="Times New Roman"/>
          <w:sz w:val="12"/>
          <w:szCs w:val="12"/>
          <w:color w:val="auto"/>
        </w:rPr>
        <w:t>Violet Holdings GP, L.L.C</w:t>
      </w:r>
    </w:p>
    <w:p>
      <w:pPr>
        <w:ind w:left="800"/>
        <w:spacing w:after="0" w:line="193" w:lineRule="auto"/>
        <w:rPr>
          <w:sz w:val="20"/>
          <w:szCs w:val="20"/>
          <w:color w:val="auto"/>
        </w:rPr>
      </w:pPr>
      <w:r>
        <w:rPr>
          <w:rFonts w:ascii="Times New Roman" w:cs="Times New Roman" w:eastAsia="Times New Roman" w:hAnsi="Times New Roman"/>
          <w:sz w:val="13"/>
          <w:szCs w:val="13"/>
          <w:color w:val="auto"/>
        </w:rPr>
        <w:t>.</w:t>
      </w:r>
    </w:p>
    <w:p>
      <w:pPr>
        <w:ind w:left="800"/>
        <w:spacing w:after="0" w:line="188" w:lineRule="auto"/>
        <w:rPr>
          <w:sz w:val="20"/>
          <w:szCs w:val="20"/>
          <w:color w:val="auto"/>
        </w:rPr>
      </w:pPr>
      <w:r>
        <w:rPr>
          <w:rFonts w:ascii="Times New Roman" w:cs="Times New Roman" w:eastAsia="Times New Roman" w:hAnsi="Times New Roman"/>
          <w:sz w:val="12"/>
          <w:szCs w:val="12"/>
          <w:color w:val="auto"/>
        </w:rPr>
        <w:t>Wheels Aggregator GP, L.L.C</w:t>
      </w:r>
    </w:p>
    <w:p>
      <w:pPr>
        <w:ind w:left="800"/>
        <w:spacing w:after="0" w:line="193" w:lineRule="auto"/>
        <w:rPr>
          <w:sz w:val="20"/>
          <w:szCs w:val="20"/>
          <w:color w:val="auto"/>
        </w:rPr>
      </w:pPr>
      <w:r>
        <w:rPr>
          <w:rFonts w:ascii="Times New Roman" w:cs="Times New Roman" w:eastAsia="Times New Roman" w:hAnsi="Times New Roman"/>
          <w:sz w:val="13"/>
          <w:szCs w:val="13"/>
          <w:color w:val="auto"/>
        </w:rPr>
        <w:t>.</w:t>
      </w:r>
    </w:p>
    <w:p>
      <w:pPr>
        <w:ind w:left="800"/>
        <w:spacing w:after="0" w:line="187" w:lineRule="auto"/>
        <w:rPr>
          <w:sz w:val="20"/>
          <w:szCs w:val="20"/>
          <w:color w:val="auto"/>
        </w:rPr>
      </w:pPr>
      <w:r>
        <w:rPr>
          <w:rFonts w:ascii="Times New Roman" w:cs="Times New Roman" w:eastAsia="Times New Roman" w:hAnsi="Times New Roman"/>
          <w:sz w:val="12"/>
          <w:szCs w:val="12"/>
          <w:color w:val="auto"/>
        </w:rPr>
        <w:t>Wisdom Holdings GP, L.L.C</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Jurisdiction of</w:t>
      </w:r>
    </w:p>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40" w:orient="portrait"/>
          <w:cols w:equalWidth="0" w:num="2">
            <w:col w:w="6040" w:space="720"/>
            <w:col w:w="2260"/>
          </w:cols>
          <w:pgMar w:left="1440" w:top="1440" w:right="1440" w:bottom="1440" w:gutter="0" w:footer="0" w:header="0"/>
        </w:sectPr>
      </w:pPr>
    </w:p>
    <w:bookmarkStart w:id="239" w:name="page240"/>
    <w:bookmarkEnd w:id="239"/>
    <w:p>
      <w:pPr>
        <w:ind w:left="740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0">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 and affiliates whose securities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collateralize securities of the registrant</w:t>
      </w:r>
    </w:p>
    <w:p>
      <w:pPr>
        <w:spacing w:after="0" w:line="193" w:lineRule="exact"/>
        <w:rPr>
          <w:sz w:val="20"/>
          <w:szCs w:val="20"/>
          <w:color w:val="auto"/>
        </w:rPr>
      </w:pPr>
    </w:p>
    <w:p>
      <w:pPr>
        <w:ind w:left="760" w:right="680" w:firstLine="576"/>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the “Notes”) issued by the corresponding issuer listed below, each a wholly-owned subsidiary of The Carlyle Group Inc. (the “Company”), were outstanding as of December 31, 2024:</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Notes Issued Under</w:t>
            </w:r>
          </w:p>
        </w:tc>
        <w:tc>
          <w:tcPr>
            <w:tcW w:w="28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180"/>
        </w:trPr>
        <w:tc>
          <w:tcPr>
            <w:tcW w:w="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80" w:type="dxa"/>
            <w:vAlign w:val="bottom"/>
          </w:tcPr>
          <w:p>
            <w:pPr>
              <w:jc w:val="center"/>
              <w:ind w:left="10"/>
              <w:spacing w:after="0" w:line="180" w:lineRule="exact"/>
              <w:rPr>
                <w:sz w:val="20"/>
                <w:szCs w:val="20"/>
                <w:color w:val="auto"/>
              </w:rPr>
            </w:pPr>
            <w:r>
              <w:rPr>
                <w:rFonts w:ascii="Times New Roman" w:cs="Times New Roman" w:eastAsia="Times New Roman" w:hAnsi="Times New Roman"/>
                <w:sz w:val="18"/>
                <w:szCs w:val="18"/>
                <w:b w:val="1"/>
                <w:bCs w:val="1"/>
                <w:color w:val="auto"/>
              </w:rPr>
              <w:t>Formation, Organization,</w:t>
            </w:r>
          </w:p>
        </w:tc>
      </w:tr>
      <w:tr>
        <w:trPr>
          <w:trHeight w:val="216"/>
        </w:trPr>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Incorporation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5.625%</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2043</w:t>
            </w: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Carlyle Holdings II Finance L.L.C.</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44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5.65% Senior Notes due 2048</w:t>
            </w: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Carlyle Finance L.L.C.</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44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3.500%</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2029</w:t>
            </w: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Carlyle Finance Subsidiary L.L.C.</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39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4.625%</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Subordinated Notes due</w:t>
            </w: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Carlyle Finance L.L.C.</w:t>
            </w:r>
          </w:p>
        </w:tc>
        <w:tc>
          <w:tcPr>
            <w:tcW w:w="2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2061</w:t>
            </w:r>
          </w:p>
        </w:tc>
        <w:tc>
          <w:tcPr>
            <w:tcW w:w="1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81" w:lineRule="exact"/>
        <w:rPr>
          <w:sz w:val="20"/>
          <w:szCs w:val="20"/>
          <w:color w:val="auto"/>
        </w:rPr>
      </w:pPr>
    </w:p>
    <w:p>
      <w:pPr>
        <w:ind w:left="760" w:right="760" w:firstLine="576"/>
        <w:spacing w:after="0" w:line="259" w:lineRule="auto"/>
        <w:rPr>
          <w:sz w:val="20"/>
          <w:szCs w:val="20"/>
          <w:color w:val="auto"/>
        </w:rPr>
      </w:pPr>
      <w:r>
        <w:rPr>
          <w:rFonts w:ascii="Times New Roman" w:cs="Times New Roman" w:eastAsia="Times New Roman" w:hAnsi="Times New Roman"/>
          <w:sz w:val="18"/>
          <w:szCs w:val="18"/>
          <w:color w:val="auto"/>
        </w:rPr>
        <w:t>As of December 31, 2024, the guarantors under the Notes consisted of the Company, as a guarantor that provides an unsecured guarantee of the Notes, and its wholly-owned subsidiaries listed in the below table. The guarantees are joint and several, and full and unconditional.</w:t>
      </w:r>
    </w:p>
    <w:p>
      <w:pPr>
        <w:sectPr>
          <w:pgSz w:w="11900" w:h="16840" w:orient="portrait"/>
          <w:cols w:equalWidth="0" w:num="1">
            <w:col w:w="9020"/>
          </w:cols>
          <w:pgMar w:left="1440" w:top="722" w:right="1440" w:bottom="1440" w:gutter="0" w:footer="0" w:header="0"/>
        </w:sectPr>
      </w:pP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Guarantor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 of Formation, Organization, or</w:t>
      </w:r>
    </w:p>
    <w:p>
      <w:pPr>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37"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Carlyle Holdings 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5"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Carlyle Holdings 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Quebec</w:t>
      </w:r>
    </w:p>
    <w:p>
      <w:pPr>
        <w:spacing w:after="0" w:line="45"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Carlyle Holdings III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Quebec</w:t>
      </w:r>
    </w:p>
    <w:p>
      <w:pPr>
        <w:spacing w:after="0" w:line="45"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CG Subsidiary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45"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Carlyle Holdings 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9" w:lineRule="exact"/>
        <w:rPr>
          <w:sz w:val="20"/>
          <w:szCs w:val="20"/>
          <w:color w:val="auto"/>
        </w:rPr>
      </w:pPr>
    </w:p>
    <w:p>
      <w:pPr>
        <w:sectPr>
          <w:pgSz w:w="11900" w:h="16840" w:orient="portrait"/>
          <w:cols w:equalWidth="0" w:num="2">
            <w:col w:w="3820" w:space="720"/>
            <w:col w:w="4480"/>
          </w:cols>
          <w:pgMar w:left="1440" w:top="722"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 Carlyle Holdings II L.P. is not a guarantor of the 4.625% Subordinated Notes due 2061</w:t>
      </w:r>
    </w:p>
    <w:p>
      <w:pPr>
        <w:sectPr>
          <w:pgSz w:w="11900" w:h="16840" w:orient="portrait"/>
          <w:cols w:equalWidth="0" w:num="1">
            <w:col w:w="9020"/>
          </w:cols>
          <w:pgMar w:left="1440" w:top="722" w:right="1440" w:bottom="1440" w:gutter="0" w:footer="0" w:header="0"/>
          <w:type w:val="continuous"/>
        </w:sectPr>
      </w:pPr>
    </w:p>
    <w:bookmarkStart w:id="240" w:name="page241"/>
    <w:bookmarkEnd w:id="240"/>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1">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23.1</w:t>
      </w:r>
    </w:p>
    <w:p>
      <w:pPr>
        <w:spacing w:after="0" w:line="200" w:lineRule="exact"/>
        <w:rPr>
          <w:sz w:val="20"/>
          <w:szCs w:val="20"/>
          <w:color w:val="auto"/>
        </w:rPr>
      </w:pPr>
    </w:p>
    <w:p>
      <w:pPr>
        <w:spacing w:after="0" w:line="38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w:t>
      </w:r>
    </w:p>
    <w:p>
      <w:pPr>
        <w:ind w:left="2460"/>
        <w:spacing w:after="0"/>
        <w:rPr>
          <w:sz w:val="20"/>
          <w:szCs w:val="20"/>
          <w:color w:val="auto"/>
        </w:rPr>
      </w:pPr>
      <w:r>
        <w:rPr>
          <w:rFonts w:ascii="Times New Roman" w:cs="Times New Roman" w:eastAsia="Times New Roman" w:hAnsi="Times New Roman"/>
          <w:sz w:val="16"/>
          <w:szCs w:val="16"/>
          <w:b w:val="1"/>
          <w:bCs w:val="1"/>
          <w:color w:val="auto"/>
        </w:rPr>
        <w:t>m</w:t>
      </w:r>
    </w:p>
    <w:p>
      <w:pPr>
        <w:spacing w:after="0" w:line="74" w:lineRule="exact"/>
        <w:rPr>
          <w:sz w:val="20"/>
          <w:szCs w:val="20"/>
          <w:color w:val="auto"/>
        </w:rPr>
      </w:pPr>
    </w:p>
    <w:p>
      <w:pPr>
        <w:ind w:left="400" w:right="3240"/>
        <w:spacing w:after="0" w:line="202" w:lineRule="auto"/>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 :</w:t>
      </w:r>
    </w:p>
    <w:p>
      <w:pPr>
        <w:spacing w:after="0" w:line="74" w:lineRule="exact"/>
        <w:rPr>
          <w:sz w:val="20"/>
          <w:szCs w:val="20"/>
          <w:color w:val="auto"/>
        </w:rPr>
      </w:pPr>
    </w:p>
    <w:p>
      <w:pPr>
        <w:ind w:left="980" w:right="680" w:hanging="290"/>
        <w:spacing w:after="0" w:line="257"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POS No. 333-181109) pertaining to The Carlyle Group Inc. Amended and Restated 2012 Equity Incentive Plan,</w:t>
      </w:r>
    </w:p>
    <w:p>
      <w:pPr>
        <w:spacing w:after="0" w:line="1" w:lineRule="exact"/>
        <w:rPr>
          <w:rFonts w:ascii="Times New Roman" w:cs="Times New Roman" w:eastAsia="Times New Roman" w:hAnsi="Times New Roman"/>
          <w:sz w:val="16"/>
          <w:szCs w:val="16"/>
          <w:color w:val="auto"/>
        </w:rPr>
      </w:pPr>
    </w:p>
    <w:p>
      <w:pPr>
        <w:ind w:left="980" w:right="680" w:hanging="290"/>
        <w:spacing w:after="0" w:line="250"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POS No. 333-187264)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333-194164)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333-202315)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333-209690)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333-216100)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333-223051) pertaining to The Carlyle Group Inc. Amended and Restated 2012 Equity Incentive Plan</w:t>
      </w:r>
    </w:p>
    <w:p>
      <w:pPr>
        <w:ind w:left="980" w:right="68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POS No. 333-229663) pertaining to The Carlyle Group Inc. Amended and Restated 2012 Equity Incentive Plan</w:t>
      </w:r>
    </w:p>
    <w:p>
      <w:pPr>
        <w:ind w:left="980" w:right="66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No. 333-236394) pertaining to The Carlyle Group Inc. Amended and Restated 2012 Equity Incentive Plan</w:t>
      </w:r>
    </w:p>
    <w:p>
      <w:pPr>
        <w:ind w:left="980" w:right="66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No. 333-252992) pertaining to The Carlyle Group Inc. Amended and Restated 2012 Equity Incentive Plan</w:t>
      </w:r>
    </w:p>
    <w:p>
      <w:pPr>
        <w:ind w:left="980" w:right="660" w:hanging="290"/>
        <w:spacing w:after="0" w:line="182" w:lineRule="auto"/>
        <w:tabs>
          <w:tab w:leader="none" w:pos="98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Registration Statement (Form S-8 No. 333-269328) pertaining to The Carlyle Group Inc. Amended and Restated 2012 Equity Incentive Plan</w:t>
      </w:r>
    </w:p>
    <w:p>
      <w:pPr>
        <w:ind w:left="980" w:right="720" w:hanging="290"/>
        <w:spacing w:after="0" w:line="180" w:lineRule="auto"/>
        <w:tabs>
          <w:tab w:leader="none" w:pos="98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Registration Statement (Form S-8 No. 333-269723) pertaining to The Carlyle Group Inc. Inducement Award – Globa l</w:t>
      </w:r>
    </w:p>
    <w:p>
      <w:pPr>
        <w:ind w:left="9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Restricted Stock Unit Agreement and Performance-Based Restricted Stock Unit Agreement,</w:t>
      </w:r>
    </w:p>
    <w:p>
      <w:pPr>
        <w:spacing w:after="0" w:line="1" w:lineRule="exact"/>
        <w:rPr>
          <w:rFonts w:ascii="Times New Roman" w:cs="Times New Roman" w:eastAsia="Times New Roman" w:hAnsi="Times New Roman"/>
          <w:sz w:val="13"/>
          <w:szCs w:val="13"/>
          <w:color w:val="auto"/>
        </w:rPr>
      </w:pPr>
    </w:p>
    <w:p>
      <w:pPr>
        <w:ind w:left="980" w:right="1120" w:hanging="290"/>
        <w:spacing w:after="0" w:line="250"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S-3ASR No. 333-270745) pertaining to The Carlyle Group Inc. Automatic Shelf Registration Statement,</w:t>
      </w:r>
    </w:p>
    <w:p>
      <w:pPr>
        <w:ind w:left="980" w:right="660" w:hanging="290"/>
        <w:spacing w:after="0" w:line="200"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333-272726) pertaining to The Carlyle Group Inc. Amended and Restated 2012 Equity Incentive Plan, an</w:t>
      </w:r>
    </w:p>
    <w:p>
      <w:pPr>
        <w:ind w:left="980"/>
        <w:spacing w:after="0" w:line="194" w:lineRule="auto"/>
        <w:rPr>
          <w:rFonts w:ascii="Times New Roman" w:cs="Times New Roman" w:eastAsia="Times New Roman" w:hAnsi="Times New Roman"/>
          <w:sz w:val="16"/>
          <w:szCs w:val="16"/>
          <w:color w:val="auto"/>
        </w:rPr>
      </w:pPr>
      <w:r>
        <w:rPr>
          <w:rFonts w:ascii="Times New Roman" w:cs="Times New Roman" w:eastAsia="Times New Roman" w:hAnsi="Times New Roman"/>
          <w:sz w:val="9"/>
          <w:szCs w:val="9"/>
          <w:color w:val="auto"/>
        </w:rPr>
        <w:t>d</w:t>
      </w:r>
    </w:p>
    <w:p>
      <w:pPr>
        <w:ind w:left="980" w:right="660" w:hanging="290"/>
        <w:spacing w:after="0" w:line="195" w:lineRule="auto"/>
        <w:tabs>
          <w:tab w:leader="none" w:pos="98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333-281300) pertaining to The Carlyle Group Inc. Amended and Restated 2012 Equity Incentive Pla</w:t>
      </w:r>
    </w:p>
    <w:p>
      <w:pPr>
        <w:spacing w:after="0" w:line="1"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w:t>
      </w:r>
    </w:p>
    <w:p>
      <w:pPr>
        <w:spacing w:after="0" w:line="62" w:lineRule="exact"/>
        <w:rPr>
          <w:sz w:val="20"/>
          <w:szCs w:val="20"/>
          <w:color w:val="auto"/>
        </w:rPr>
      </w:pPr>
    </w:p>
    <w:p>
      <w:pPr>
        <w:ind w:left="1700" w:right="700" w:hanging="1295"/>
        <w:spacing w:after="0"/>
        <w:rPr>
          <w:sz w:val="20"/>
          <w:szCs w:val="20"/>
          <w:color w:val="auto"/>
        </w:rPr>
      </w:pPr>
      <w:r>
        <w:rPr>
          <w:rFonts w:ascii="Times New Roman" w:cs="Times New Roman" w:eastAsia="Times New Roman" w:hAnsi="Times New Roman"/>
          <w:sz w:val="16"/>
          <w:szCs w:val="16"/>
          <w:color w:val="auto"/>
        </w:rPr>
        <w:t>of our reports dated February 27, 202</w:t>
      </w:r>
      <w:r>
        <w:rPr>
          <w:sz w:val="20"/>
          <w:szCs w:val="20"/>
          <w:color w:val="auto"/>
        </w:rPr>
        <w:t xml:space="preserve"> </w:t>
      </w:r>
      <w:r>
        <w:rPr>
          <w:rFonts w:ascii="Times New Roman" w:cs="Times New Roman" w:eastAsia="Times New Roman" w:hAnsi="Times New Roman"/>
          <w:sz w:val="16"/>
          <w:szCs w:val="16"/>
          <w:color w:val="auto"/>
        </w:rPr>
        <w:t>with respect to the consolidated financial statements of The Carlyle Group Inc. and the 5</w:t>
      </w:r>
    </w:p>
    <w:p>
      <w:pPr>
        <w:spacing w:after="0" w:line="7" w:lineRule="exact"/>
        <w:rPr>
          <w:sz w:val="20"/>
          <w:szCs w:val="20"/>
          <w:color w:val="auto"/>
        </w:rPr>
      </w:pPr>
    </w:p>
    <w:p>
      <w:pPr>
        <w:ind w:left="400" w:right="720"/>
        <w:spacing w:after="0"/>
        <w:rPr>
          <w:sz w:val="20"/>
          <w:szCs w:val="20"/>
          <w:color w:val="auto"/>
        </w:rPr>
      </w:pPr>
      <w:r>
        <w:rPr>
          <w:rFonts w:ascii="Times New Roman" w:cs="Times New Roman" w:eastAsia="Times New Roman" w:hAnsi="Times New Roman"/>
          <w:sz w:val="14"/>
          <w:szCs w:val="14"/>
          <w:color w:val="auto"/>
        </w:rPr>
        <w:t>effectiveness of internal control over financial reporting of The Carlyle Group Inc. included in this Annual Report (Form 10-K )</w:t>
      </w:r>
    </w:p>
    <w:p>
      <w:pPr>
        <w:ind w:left="400"/>
        <w:spacing w:after="0" w:line="181" w:lineRule="auto"/>
        <w:rPr>
          <w:sz w:val="20"/>
          <w:szCs w:val="20"/>
          <w:color w:val="auto"/>
        </w:rPr>
      </w:pPr>
      <w:r>
        <w:rPr>
          <w:rFonts w:ascii="Times New Roman" w:cs="Times New Roman" w:eastAsia="Times New Roman" w:hAnsi="Times New Roman"/>
          <w:sz w:val="16"/>
          <w:szCs w:val="16"/>
          <w:color w:val="auto"/>
        </w:rPr>
        <w:t>of The Carlyle Group Inc. for the year ended December 31, 202</w:t>
      </w:r>
    </w:p>
    <w:p>
      <w:pPr>
        <w:ind w:left="400"/>
        <w:spacing w:after="0"/>
        <w:rPr>
          <w:sz w:val="20"/>
          <w:szCs w:val="20"/>
          <w:color w:val="auto"/>
        </w:rPr>
      </w:pPr>
      <w:r>
        <w:rPr>
          <w:rFonts w:ascii="Times New Roman" w:cs="Times New Roman" w:eastAsia="Times New Roman" w:hAnsi="Times New Roman"/>
          <w:sz w:val="16"/>
          <w:szCs w:val="16"/>
          <w:color w:val="auto"/>
        </w:rPr>
        <w:t>4.</w:t>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Ernst &amp; Young LL</w:t>
      </w:r>
    </w:p>
    <w:p>
      <w:pPr>
        <w:ind w:left="400"/>
        <w:spacing w:after="0"/>
        <w:rPr>
          <w:sz w:val="20"/>
          <w:szCs w:val="20"/>
          <w:color w:val="auto"/>
        </w:rPr>
      </w:pPr>
      <w:r>
        <w:rPr>
          <w:rFonts w:ascii="Times New Roman" w:cs="Times New Roman" w:eastAsia="Times New Roman" w:hAnsi="Times New Roman"/>
          <w:sz w:val="16"/>
          <w:szCs w:val="16"/>
          <w:color w:val="auto"/>
        </w:rPr>
        <w:t>P</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Tysons, Virginia</w:t>
      </w:r>
    </w:p>
    <w:p>
      <w:pPr>
        <w:ind w:left="400"/>
        <w:spacing w:after="0" w:line="199" w:lineRule="auto"/>
        <w:rPr>
          <w:sz w:val="20"/>
          <w:szCs w:val="20"/>
          <w:color w:val="auto"/>
        </w:rPr>
      </w:pPr>
      <w:r>
        <w:rPr>
          <w:rFonts w:ascii="Times New Roman" w:cs="Times New Roman" w:eastAsia="Times New Roman" w:hAnsi="Times New Roman"/>
          <w:sz w:val="14"/>
          <w:szCs w:val="14"/>
          <w:color w:val="auto"/>
        </w:rPr>
        <w:t>February 27, 202</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020"/>
          </w:cols>
          <w:pgMar w:left="1440" w:top="807" w:right="1440" w:bottom="1440" w:gutter="0" w:footer="0" w:header="0"/>
        </w:sectPr>
      </w:pPr>
    </w:p>
    <w:bookmarkStart w:id="241" w:name="page242"/>
    <w:bookmarkEnd w:id="241"/>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2">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31.1</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 Harvey M. Schwartz, certify that:</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82"/>
              </w:rPr>
              <w:t>1.</w:t>
            </w: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I have reviewed this Annual Report on Form 10-K for the year ende</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 2024 of The Carlyle Group Inc.</w:t>
            </w:r>
          </w:p>
        </w:tc>
      </w:tr>
      <w:tr>
        <w:trPr>
          <w:trHeight w:val="203"/>
        </w:trPr>
        <w:tc>
          <w:tcPr>
            <w:tcW w:w="34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w:t>
            </w:r>
          </w:p>
        </w:tc>
        <w:tc>
          <w:tcPr>
            <w:tcW w:w="3020" w:type="dxa"/>
            <w:vAlign w:val="bottom"/>
          </w:tcPr>
          <w:p>
            <w:pPr>
              <w:jc w:val="right"/>
              <w:ind w:right="1542"/>
              <w:spacing w:after="0"/>
              <w:rPr>
                <w:sz w:val="20"/>
                <w:szCs w:val="20"/>
                <w:color w:val="auto"/>
              </w:rPr>
            </w:pPr>
            <w:r>
              <w:rPr>
                <w:rFonts w:ascii="Times New Roman" w:cs="Times New Roman" w:eastAsia="Times New Roman" w:hAnsi="Times New Roman"/>
                <w:sz w:val="16"/>
                <w:szCs w:val="16"/>
                <w:color w:val="auto"/>
              </w:rPr>
              <w:t>;</w:t>
            </w:r>
          </w:p>
        </w:tc>
      </w:tr>
    </w:tbl>
    <w:p>
      <w:pPr>
        <w:spacing w:after="0" w:line="24" w:lineRule="exact"/>
        <w:rPr>
          <w:sz w:val="20"/>
          <w:szCs w:val="20"/>
          <w:color w:val="auto"/>
        </w:rPr>
      </w:pPr>
    </w:p>
    <w:p>
      <w:pPr>
        <w:jc w:val="both"/>
        <w:ind w:left="980" w:right="660" w:hanging="578"/>
        <w:spacing w:after="0"/>
        <w:tabs>
          <w:tab w:leader="none" w:pos="9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 t</w:t>
      </w:r>
    </w:p>
    <w:p>
      <w:pPr>
        <w:spacing w:after="0" w:line="80" w:lineRule="exact"/>
        <w:rPr>
          <w:rFonts w:ascii="Times New Roman" w:cs="Times New Roman" w:eastAsia="Times New Roman" w:hAnsi="Times New Roman"/>
          <w:sz w:val="14"/>
          <w:szCs w:val="14"/>
          <w:color w:val="auto"/>
        </w:rPr>
      </w:pP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misleading with respect to the period covered by this report</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ind w:left="980" w:right="660" w:hanging="578"/>
        <w:spacing w:after="0"/>
        <w:tabs>
          <w:tab w:leader="none" w:pos="9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 t</w:t>
      </w:r>
    </w:p>
    <w:p>
      <w:pPr>
        <w:spacing w:after="0" w:line="49" w:lineRule="exact"/>
        <w:rPr>
          <w:rFonts w:ascii="Times New Roman" w:cs="Times New Roman" w:eastAsia="Times New Roman" w:hAnsi="Times New Roman"/>
          <w:sz w:val="14"/>
          <w:szCs w:val="14"/>
          <w:color w:val="auto"/>
        </w:rPr>
      </w:pPr>
    </w:p>
    <w:p>
      <w:pPr>
        <w:ind w:left="980" w:right="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material respects the financial condition, results of operations and cash flows of the registrant as of, and for, th e</w:t>
      </w:r>
    </w:p>
    <w:p>
      <w:pPr>
        <w:spacing w:after="0" w:line="31" w:lineRule="exact"/>
        <w:rPr>
          <w:rFonts w:ascii="Times New Roman" w:cs="Times New Roman" w:eastAsia="Times New Roman" w:hAnsi="Times New Roman"/>
          <w:sz w:val="14"/>
          <w:szCs w:val="14"/>
          <w:color w:val="auto"/>
        </w:rPr>
      </w:pP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periods presented in this report</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ind w:left="980" w:right="840" w:hanging="578"/>
        <w:spacing w:after="0" w:line="221" w:lineRule="auto"/>
        <w:tabs>
          <w:tab w:leader="none" w:pos="9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10" w:lineRule="exact"/>
        <w:rPr>
          <w:rFonts w:ascii="Times New Roman" w:cs="Times New Roman" w:eastAsia="Times New Roman" w:hAnsi="Times New Roman"/>
          <w:sz w:val="16"/>
          <w:szCs w:val="16"/>
          <w:color w:val="auto"/>
        </w:rPr>
      </w:pPr>
    </w:p>
    <w:p>
      <w:pPr>
        <w:ind w:left="1420" w:right="960" w:hanging="441"/>
        <w:spacing w:after="0"/>
        <w:tabs>
          <w:tab w:leader="none" w:pos="14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 s</w:t>
      </w:r>
    </w:p>
    <w:p>
      <w:pPr>
        <w:spacing w:after="0" w:line="80" w:lineRule="exact"/>
        <w:rPr>
          <w:rFonts w:ascii="Times New Roman" w:cs="Times New Roman" w:eastAsia="Times New Roman" w:hAnsi="Times New Roman"/>
          <w:sz w:val="14"/>
          <w:szCs w:val="14"/>
          <w:color w:val="auto"/>
        </w:rPr>
      </w:pPr>
    </w:p>
    <w:p>
      <w:pPr>
        <w:ind w:left="1420" w:right="70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4"/>
          <w:szCs w:val="14"/>
          <w:color w:val="auto"/>
        </w:rPr>
      </w:pPr>
    </w:p>
    <w:p>
      <w:pPr>
        <w:ind w:left="1420" w:right="680" w:hanging="441"/>
        <w:spacing w:after="0" w:line="253" w:lineRule="auto"/>
        <w:tabs>
          <w:tab w:leader="none" w:pos="14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w:t>
      </w:r>
    </w:p>
    <w:p>
      <w:pPr>
        <w:spacing w:after="0" w:line="1" w:lineRule="exact"/>
        <w:rPr>
          <w:rFonts w:ascii="Times New Roman" w:cs="Times New Roman" w:eastAsia="Times New Roman" w:hAnsi="Times New Roman"/>
          <w:sz w:val="14"/>
          <w:szCs w:val="14"/>
          <w:color w:val="auto"/>
        </w:rPr>
      </w:pPr>
    </w:p>
    <w:p>
      <w:pPr>
        <w:ind w:left="1420"/>
        <w:spacing w:after="0" w:line="194" w:lineRule="auto"/>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auto"/>
        </w:rPr>
        <w:t>y</w:t>
      </w:r>
    </w:p>
    <w:p>
      <w:pPr>
        <w:ind w:left="142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accepted accounting principles</w:t>
      </w: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jc w:val="both"/>
        <w:ind w:left="1420" w:right="820" w:hanging="441"/>
        <w:spacing w:after="0" w:line="221" w:lineRule="auto"/>
        <w:tabs>
          <w:tab w:leader="none" w:pos="142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w:t>
      </w:r>
    </w:p>
    <w:p>
      <w:pPr>
        <w:spacing w:after="0" w:line="1"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6"/>
          <w:szCs w:val="16"/>
          <w:color w:val="auto"/>
        </w:rPr>
      </w:pPr>
    </w:p>
    <w:p>
      <w:pPr>
        <w:ind w:left="1420" w:right="1000" w:hanging="441"/>
        <w:spacing w:after="0"/>
        <w:tabs>
          <w:tab w:leader="none" w:pos="14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 d</w:t>
      </w:r>
    </w:p>
    <w:p>
      <w:pPr>
        <w:spacing w:after="0" w:line="49" w:lineRule="exact"/>
        <w:rPr>
          <w:rFonts w:ascii="Times New Roman" w:cs="Times New Roman" w:eastAsia="Times New Roman" w:hAnsi="Times New Roman"/>
          <w:sz w:val="14"/>
          <w:szCs w:val="14"/>
          <w:color w:val="auto"/>
        </w:rPr>
      </w:pPr>
    </w:p>
    <w:p>
      <w:pPr>
        <w:ind w:left="1420" w:righ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registrant’s most recent fiscal quarter (the registrant’s fourth fiscal quarter in the case of an annua l</w:t>
      </w:r>
    </w:p>
    <w:p>
      <w:pPr>
        <w:spacing w:after="0" w:line="31" w:lineRule="exact"/>
        <w:rPr>
          <w:rFonts w:ascii="Times New Roman" w:cs="Times New Roman" w:eastAsia="Times New Roman" w:hAnsi="Times New Roman"/>
          <w:sz w:val="14"/>
          <w:szCs w:val="14"/>
          <w:color w:val="auto"/>
        </w:rPr>
      </w:pPr>
    </w:p>
    <w:p>
      <w:pPr>
        <w:ind w:left="1420" w:right="760"/>
        <w:spacing w:after="0" w:line="1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report) that has materially affected, or is reasonably likely to materially affect, the registrant’s internal control over financial reporting; an</w:t>
      </w:r>
    </w:p>
    <w:p>
      <w:pPr>
        <w:spacing w:after="0" w:line="1" w:lineRule="exact"/>
        <w:rPr>
          <w:rFonts w:ascii="Times New Roman" w:cs="Times New Roman" w:eastAsia="Times New Roman" w:hAnsi="Times New Roman"/>
          <w:sz w:val="14"/>
          <w:szCs w:val="14"/>
          <w:color w:val="auto"/>
        </w:rPr>
      </w:pP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4"/>
          <w:szCs w:val="14"/>
          <w:color w:val="auto"/>
        </w:rPr>
      </w:pPr>
    </w:p>
    <w:p>
      <w:pPr>
        <w:ind w:left="980" w:right="640" w:hanging="578"/>
        <w:spacing w:after="0" w:line="237" w:lineRule="auto"/>
        <w:tabs>
          <w:tab w:leader="none" w:pos="9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w:t>
      </w:r>
    </w:p>
    <w:p>
      <w:pPr>
        <w:ind w:left="980"/>
        <w:spacing w:after="0" w:line="194" w:lineRule="auto"/>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auto"/>
        </w:rPr>
        <w:t>r</w:t>
      </w: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persons performing the equivalent functions)</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182" w:lineRule="exact"/>
        <w:rPr>
          <w:rFonts w:ascii="Times New Roman" w:cs="Times New Roman" w:eastAsia="Times New Roman" w:hAnsi="Times New Roman"/>
          <w:sz w:val="14"/>
          <w:szCs w:val="14"/>
          <w:color w:val="auto"/>
        </w:rPr>
      </w:pPr>
    </w:p>
    <w:p>
      <w:pPr>
        <w:ind w:left="1420" w:right="640" w:hanging="441"/>
        <w:spacing w:after="0" w:line="221" w:lineRule="auto"/>
        <w:tabs>
          <w:tab w:leader="none" w:pos="142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w:t>
      </w:r>
    </w:p>
    <w:p>
      <w:pPr>
        <w:spacing w:after="0" w:line="1"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6"/>
          <w:szCs w:val="16"/>
          <w:color w:val="auto"/>
        </w:rPr>
      </w:pPr>
    </w:p>
    <w:p>
      <w:pPr>
        <w:ind w:left="1420" w:right="600" w:hanging="441"/>
        <w:spacing w:after="0" w:line="207" w:lineRule="auto"/>
        <w:tabs>
          <w:tab w:leader="none" w:pos="142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Date:  February 27, 202</w:t>
      </w:r>
    </w:p>
    <w:p>
      <w:pPr>
        <w:ind w:left="1900"/>
        <w:spacing w:after="0"/>
        <w:rPr>
          <w:sz w:val="20"/>
          <w:szCs w:val="20"/>
          <w:color w:val="auto"/>
        </w:rPr>
      </w:pPr>
      <w:r>
        <w:rPr>
          <w:rFonts w:ascii="Times New Roman" w:cs="Times New Roman" w:eastAsia="Times New Roman" w:hAnsi="Times New Roman"/>
          <w:sz w:val="16"/>
          <w:szCs w:val="16"/>
          <w:color w:val="auto"/>
        </w:rPr>
        <w:t>5</w:t>
      </w:r>
    </w:p>
    <w:p>
      <w:pPr>
        <w:spacing w:after="0" w:line="10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Harvey M. Schwart</w:t>
      </w:r>
    </w:p>
    <w:p>
      <w:pPr>
        <w:ind w:left="1440"/>
        <w:spacing w:after="0" w:line="192" w:lineRule="auto"/>
        <w:rPr>
          <w:sz w:val="20"/>
          <w:szCs w:val="20"/>
          <w:color w:val="auto"/>
        </w:rPr>
      </w:pPr>
      <w:r>
        <w:rPr>
          <w:rFonts w:ascii="Times New Roman" w:cs="Times New Roman" w:eastAsia="Times New Roman" w:hAnsi="Times New Roman"/>
          <w:sz w:val="13"/>
          <w:szCs w:val="13"/>
          <w:color w:val="auto"/>
        </w:rPr>
        <w:t>z</w:t>
      </w:r>
    </w:p>
    <w:p>
      <w:pPr>
        <w:ind w:left="1440"/>
        <w:spacing w:after="0" w:line="188" w:lineRule="auto"/>
        <w:rPr>
          <w:sz w:val="20"/>
          <w:szCs w:val="20"/>
          <w:color w:val="auto"/>
        </w:rPr>
      </w:pPr>
      <w:r>
        <w:rPr>
          <w:rFonts w:ascii="Times New Roman" w:cs="Times New Roman" w:eastAsia="Times New Roman" w:hAnsi="Times New Roman"/>
          <w:sz w:val="12"/>
          <w:szCs w:val="12"/>
          <w:color w:val="auto"/>
        </w:rPr>
        <w:t>Harvey M. Schwart</w:t>
      </w:r>
    </w:p>
    <w:p>
      <w:pPr>
        <w:ind w:left="1440"/>
        <w:spacing w:after="0" w:line="193" w:lineRule="auto"/>
        <w:rPr>
          <w:sz w:val="20"/>
          <w:szCs w:val="20"/>
          <w:color w:val="auto"/>
        </w:rPr>
      </w:pPr>
      <w:r>
        <w:rPr>
          <w:rFonts w:ascii="Times New Roman" w:cs="Times New Roman" w:eastAsia="Times New Roman" w:hAnsi="Times New Roman"/>
          <w:sz w:val="13"/>
          <w:szCs w:val="13"/>
          <w:color w:val="auto"/>
        </w:rPr>
        <w:t>z</w:t>
      </w:r>
    </w:p>
    <w:p>
      <w:pPr>
        <w:ind w:left="1440"/>
        <w:spacing w:after="0"/>
        <w:rPr>
          <w:sz w:val="20"/>
          <w:szCs w:val="20"/>
          <w:color w:val="auto"/>
        </w:rPr>
      </w:pPr>
      <w:r>
        <w:rPr>
          <w:rFonts w:ascii="Times New Roman" w:cs="Times New Roman" w:eastAsia="Times New Roman" w:hAnsi="Times New Roman"/>
          <w:sz w:val="16"/>
          <w:szCs w:val="16"/>
          <w:color w:val="auto"/>
        </w:rPr>
        <w:t>Chief Executive Officer</w:t>
      </w:r>
    </w:p>
    <w:p>
      <w:pPr>
        <w:ind w:left="1440"/>
        <w:spacing w:after="0" w:line="198" w:lineRule="auto"/>
        <w:rPr>
          <w:sz w:val="20"/>
          <w:szCs w:val="20"/>
          <w:color w:val="auto"/>
        </w:rPr>
      </w:pPr>
      <w:r>
        <w:rPr>
          <w:rFonts w:ascii="Times New Roman" w:cs="Times New Roman" w:eastAsia="Times New Roman" w:hAnsi="Times New Roman"/>
          <w:sz w:val="16"/>
          <w:szCs w:val="16"/>
          <w:color w:val="auto"/>
        </w:rPr>
        <w:t>The Carlyle Group Inc</w:t>
      </w:r>
    </w:p>
    <w:p>
      <w:pPr>
        <w:ind w:left="1440"/>
        <w:spacing w:after="0" w:line="197" w:lineRule="auto"/>
        <w:rPr>
          <w:sz w:val="20"/>
          <w:szCs w:val="20"/>
          <w:color w:val="auto"/>
        </w:rPr>
      </w:pPr>
      <w:r>
        <w:rPr>
          <w:rFonts w:ascii="Times New Roman" w:cs="Times New Roman" w:eastAsia="Times New Roman" w:hAnsi="Times New Roman"/>
          <w:sz w:val="14"/>
          <w:szCs w:val="14"/>
          <w:color w:val="auto"/>
        </w:rPr>
        <w:t>.</w:t>
      </w:r>
    </w:p>
    <w:p>
      <w:pPr>
        <w:ind w:left="1440"/>
        <w:spacing w:after="0" w:line="1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Executive Office</w:t>
      </w:r>
      <w:r>
        <w:rPr>
          <w:rFonts w:ascii="Times New Roman" w:cs="Times New Roman" w:eastAsia="Times New Roman" w:hAnsi="Times New Roman"/>
          <w:sz w:val="12"/>
          <w:szCs w:val="12"/>
          <w:color w:val="auto"/>
        </w:rPr>
        <w:t xml:space="preserve">  )</w:t>
      </w:r>
    </w:p>
    <w:p>
      <w:pPr>
        <w:ind w:left="1500"/>
        <w:spacing w:after="0"/>
        <w:rPr>
          <w:sz w:val="20"/>
          <w:szCs w:val="20"/>
          <w:color w:val="auto"/>
        </w:rPr>
      </w:pPr>
      <w:r>
        <w:rPr>
          <w:rFonts w:ascii="Times New Roman" w:cs="Times New Roman" w:eastAsia="Times New Roman" w:hAnsi="Times New Roman"/>
          <w:sz w:val="16"/>
          <w:szCs w:val="16"/>
          <w:i w:val="1"/>
          <w:iCs w:val="1"/>
          <w:color w:val="auto"/>
        </w:rPr>
        <w:t>r</w:t>
      </w:r>
    </w:p>
    <w:p>
      <w:pPr>
        <w:sectPr>
          <w:pgSz w:w="11900" w:h="16840" w:orient="portrait"/>
          <w:cols w:equalWidth="0" w:num="1">
            <w:col w:w="9020"/>
          </w:cols>
          <w:pgMar w:left="1440" w:top="1203" w:right="1440" w:bottom="1440" w:gutter="0" w:footer="0" w:header="0"/>
        </w:sectPr>
      </w:pPr>
    </w:p>
    <w:bookmarkStart w:id="242" w:name="page243"/>
    <w:bookmarkEnd w:id="242"/>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3">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31.2</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 John C. Redett, certify that:</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82"/>
              </w:rPr>
              <w:t>1.</w:t>
            </w: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I have reviewed this Annual Report on Form 10-K for the year ende</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 2024 of The Carlyle Group Inc.</w:t>
            </w:r>
          </w:p>
        </w:tc>
      </w:tr>
      <w:tr>
        <w:trPr>
          <w:trHeight w:val="203"/>
        </w:trPr>
        <w:tc>
          <w:tcPr>
            <w:tcW w:w="34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w:t>
            </w:r>
          </w:p>
        </w:tc>
        <w:tc>
          <w:tcPr>
            <w:tcW w:w="3020" w:type="dxa"/>
            <w:vAlign w:val="bottom"/>
          </w:tcPr>
          <w:p>
            <w:pPr>
              <w:jc w:val="right"/>
              <w:ind w:right="1542"/>
              <w:spacing w:after="0"/>
              <w:rPr>
                <w:sz w:val="20"/>
                <w:szCs w:val="20"/>
                <w:color w:val="auto"/>
              </w:rPr>
            </w:pPr>
            <w:r>
              <w:rPr>
                <w:rFonts w:ascii="Times New Roman" w:cs="Times New Roman" w:eastAsia="Times New Roman" w:hAnsi="Times New Roman"/>
                <w:sz w:val="16"/>
                <w:szCs w:val="16"/>
                <w:color w:val="auto"/>
              </w:rPr>
              <w:t>;</w:t>
            </w:r>
          </w:p>
        </w:tc>
      </w:tr>
    </w:tbl>
    <w:p>
      <w:pPr>
        <w:spacing w:after="0" w:line="24" w:lineRule="exact"/>
        <w:rPr>
          <w:sz w:val="20"/>
          <w:szCs w:val="20"/>
          <w:color w:val="auto"/>
        </w:rPr>
      </w:pPr>
    </w:p>
    <w:p>
      <w:pPr>
        <w:jc w:val="both"/>
        <w:ind w:left="980" w:right="660" w:hanging="578"/>
        <w:spacing w:after="0"/>
        <w:tabs>
          <w:tab w:leader="none" w:pos="9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 t</w:t>
      </w:r>
    </w:p>
    <w:p>
      <w:pPr>
        <w:spacing w:after="0" w:line="80" w:lineRule="exact"/>
        <w:rPr>
          <w:rFonts w:ascii="Times New Roman" w:cs="Times New Roman" w:eastAsia="Times New Roman" w:hAnsi="Times New Roman"/>
          <w:sz w:val="14"/>
          <w:szCs w:val="14"/>
          <w:color w:val="auto"/>
        </w:rPr>
      </w:pP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misleading with respect to the period covered by this report</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ind w:left="980" w:right="660" w:hanging="578"/>
        <w:spacing w:after="0"/>
        <w:tabs>
          <w:tab w:leader="none" w:pos="9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 t</w:t>
      </w:r>
    </w:p>
    <w:p>
      <w:pPr>
        <w:spacing w:after="0" w:line="49" w:lineRule="exact"/>
        <w:rPr>
          <w:rFonts w:ascii="Times New Roman" w:cs="Times New Roman" w:eastAsia="Times New Roman" w:hAnsi="Times New Roman"/>
          <w:sz w:val="14"/>
          <w:szCs w:val="14"/>
          <w:color w:val="auto"/>
        </w:rPr>
      </w:pPr>
    </w:p>
    <w:p>
      <w:pPr>
        <w:ind w:left="980" w:right="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all material respects the financial condition, results of operations and cash flows of the registrant as of, and for, th e</w:t>
      </w:r>
    </w:p>
    <w:p>
      <w:pPr>
        <w:spacing w:after="0" w:line="31" w:lineRule="exact"/>
        <w:rPr>
          <w:rFonts w:ascii="Times New Roman" w:cs="Times New Roman" w:eastAsia="Times New Roman" w:hAnsi="Times New Roman"/>
          <w:sz w:val="14"/>
          <w:szCs w:val="14"/>
          <w:color w:val="auto"/>
        </w:rPr>
      </w:pP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periods presented in this report</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ind w:left="980" w:right="840" w:hanging="578"/>
        <w:spacing w:after="0" w:line="221" w:lineRule="auto"/>
        <w:tabs>
          <w:tab w:leader="none" w:pos="98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6"/>
          <w:szCs w:val="16"/>
          <w:color w:val="auto"/>
        </w:rPr>
      </w:pPr>
    </w:p>
    <w:p>
      <w:pPr>
        <w:ind w:left="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1420" w:right="960" w:hanging="441"/>
        <w:spacing w:after="0"/>
        <w:tabs>
          <w:tab w:leader="none" w:pos="14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 s</w:t>
      </w:r>
    </w:p>
    <w:p>
      <w:pPr>
        <w:spacing w:after="0" w:line="69" w:lineRule="exact"/>
        <w:rPr>
          <w:rFonts w:ascii="Times New Roman" w:cs="Times New Roman" w:eastAsia="Times New Roman" w:hAnsi="Times New Roman"/>
          <w:sz w:val="14"/>
          <w:szCs w:val="14"/>
          <w:color w:val="auto"/>
        </w:rPr>
      </w:pPr>
    </w:p>
    <w:p>
      <w:pPr>
        <w:ind w:left="1420" w:right="70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4"/>
          <w:szCs w:val="14"/>
          <w:color w:val="auto"/>
        </w:rPr>
      </w:pPr>
    </w:p>
    <w:p>
      <w:pPr>
        <w:ind w:left="1420" w:right="680" w:hanging="441"/>
        <w:spacing w:after="0" w:line="253" w:lineRule="auto"/>
        <w:tabs>
          <w:tab w:leader="none" w:pos="14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w:t>
      </w:r>
    </w:p>
    <w:p>
      <w:pPr>
        <w:spacing w:after="0" w:line="1" w:lineRule="exact"/>
        <w:rPr>
          <w:rFonts w:ascii="Times New Roman" w:cs="Times New Roman" w:eastAsia="Times New Roman" w:hAnsi="Times New Roman"/>
          <w:sz w:val="14"/>
          <w:szCs w:val="14"/>
          <w:color w:val="auto"/>
        </w:rPr>
      </w:pPr>
    </w:p>
    <w:p>
      <w:pPr>
        <w:ind w:left="1420"/>
        <w:spacing w:after="0" w:line="194" w:lineRule="auto"/>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auto"/>
        </w:rPr>
        <w:t>y</w:t>
      </w:r>
    </w:p>
    <w:p>
      <w:pPr>
        <w:ind w:left="142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accepted accounting principles</w:t>
      </w: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4"/>
          <w:szCs w:val="14"/>
          <w:color w:val="auto"/>
        </w:rPr>
      </w:pPr>
    </w:p>
    <w:p>
      <w:pPr>
        <w:jc w:val="both"/>
        <w:ind w:left="1420" w:right="820" w:hanging="441"/>
        <w:spacing w:after="0" w:line="221" w:lineRule="auto"/>
        <w:tabs>
          <w:tab w:leader="none" w:pos="142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w:t>
      </w:r>
    </w:p>
    <w:p>
      <w:pPr>
        <w:spacing w:after="0" w:line="1"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6"/>
          <w:szCs w:val="16"/>
          <w:color w:val="auto"/>
        </w:rPr>
      </w:pPr>
    </w:p>
    <w:p>
      <w:pPr>
        <w:ind w:left="1420" w:right="1000" w:hanging="441"/>
        <w:spacing w:after="0"/>
        <w:tabs>
          <w:tab w:leader="none" w:pos="14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 d</w:t>
      </w:r>
    </w:p>
    <w:p>
      <w:pPr>
        <w:spacing w:after="0" w:line="49" w:lineRule="exact"/>
        <w:rPr>
          <w:rFonts w:ascii="Times New Roman" w:cs="Times New Roman" w:eastAsia="Times New Roman" w:hAnsi="Times New Roman"/>
          <w:sz w:val="14"/>
          <w:szCs w:val="14"/>
          <w:color w:val="auto"/>
        </w:rPr>
      </w:pPr>
    </w:p>
    <w:p>
      <w:pPr>
        <w:ind w:left="1420" w:righ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registrant’s most recent fiscal quarter (the registrant’s fourth fiscal quarter in the case of an annua l</w:t>
      </w:r>
    </w:p>
    <w:p>
      <w:pPr>
        <w:spacing w:after="0" w:line="31" w:lineRule="exact"/>
        <w:rPr>
          <w:rFonts w:ascii="Times New Roman" w:cs="Times New Roman" w:eastAsia="Times New Roman" w:hAnsi="Times New Roman"/>
          <w:sz w:val="14"/>
          <w:szCs w:val="14"/>
          <w:color w:val="auto"/>
        </w:rPr>
      </w:pPr>
    </w:p>
    <w:p>
      <w:pPr>
        <w:ind w:left="1420" w:right="760"/>
        <w:spacing w:after="0" w:line="1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report) that has materially affected, or is reasonably likely to materially affect, the registrant’s internal control over financial reporting; an</w:t>
      </w:r>
    </w:p>
    <w:p>
      <w:pPr>
        <w:spacing w:after="0" w:line="1" w:lineRule="exact"/>
        <w:rPr>
          <w:rFonts w:ascii="Times New Roman" w:cs="Times New Roman" w:eastAsia="Times New Roman" w:hAnsi="Times New Roman"/>
          <w:sz w:val="14"/>
          <w:szCs w:val="14"/>
          <w:color w:val="auto"/>
        </w:rPr>
      </w:pPr>
    </w:p>
    <w:p>
      <w:pPr>
        <w:ind w:left="1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4"/>
          <w:szCs w:val="14"/>
          <w:color w:val="auto"/>
        </w:rPr>
      </w:pPr>
    </w:p>
    <w:p>
      <w:pPr>
        <w:ind w:left="980" w:right="640" w:hanging="578"/>
        <w:spacing w:after="0" w:line="237" w:lineRule="auto"/>
        <w:tabs>
          <w:tab w:leader="none" w:pos="9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w:t>
      </w:r>
    </w:p>
    <w:p>
      <w:pPr>
        <w:ind w:left="980"/>
        <w:spacing w:after="0" w:line="194" w:lineRule="auto"/>
        <w:rPr>
          <w:rFonts w:ascii="Times New Roman" w:cs="Times New Roman" w:eastAsia="Times New Roman" w:hAnsi="Times New Roman"/>
          <w:sz w:val="14"/>
          <w:szCs w:val="14"/>
          <w:color w:val="auto"/>
        </w:rPr>
      </w:pPr>
      <w:r>
        <w:rPr>
          <w:rFonts w:ascii="Times New Roman" w:cs="Times New Roman" w:eastAsia="Times New Roman" w:hAnsi="Times New Roman"/>
          <w:sz w:val="9"/>
          <w:szCs w:val="9"/>
          <w:color w:val="auto"/>
        </w:rPr>
        <w:t>r</w:t>
      </w:r>
    </w:p>
    <w:p>
      <w:pPr>
        <w:ind w:left="980"/>
        <w:spacing w:after="0" w:line="1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persons performing the equivalent functions)</w:t>
      </w:r>
    </w:p>
    <w:p>
      <w:pPr>
        <w:ind w:left="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p>
    <w:p>
      <w:pPr>
        <w:spacing w:after="0" w:line="2" w:lineRule="exact"/>
        <w:rPr>
          <w:rFonts w:ascii="Times New Roman" w:cs="Times New Roman" w:eastAsia="Times New Roman" w:hAnsi="Times New Roman"/>
          <w:sz w:val="14"/>
          <w:szCs w:val="14"/>
          <w:color w:val="auto"/>
        </w:rPr>
      </w:pPr>
    </w:p>
    <w:p>
      <w:pPr>
        <w:ind w:left="1420" w:right="640" w:hanging="441"/>
        <w:spacing w:after="0" w:line="221" w:lineRule="auto"/>
        <w:tabs>
          <w:tab w:leader="none" w:pos="142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w:t>
      </w:r>
    </w:p>
    <w:p>
      <w:pPr>
        <w:spacing w:after="0" w:line="1" w:lineRule="exact"/>
        <w:rPr>
          <w:rFonts w:ascii="Times New Roman" w:cs="Times New Roman" w:eastAsia="Times New Roman" w:hAnsi="Times New Roman"/>
          <w:sz w:val="16"/>
          <w:szCs w:val="16"/>
          <w:color w:val="auto"/>
        </w:rPr>
      </w:pP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w:t>
      </w:r>
    </w:p>
    <w:p>
      <w:pPr>
        <w:spacing w:after="0" w:line="74" w:lineRule="exact"/>
        <w:rPr>
          <w:rFonts w:ascii="Times New Roman" w:cs="Times New Roman" w:eastAsia="Times New Roman" w:hAnsi="Times New Roman"/>
          <w:sz w:val="16"/>
          <w:szCs w:val="16"/>
          <w:color w:val="auto"/>
        </w:rPr>
      </w:pPr>
    </w:p>
    <w:p>
      <w:pPr>
        <w:ind w:left="1420" w:right="600" w:hanging="441"/>
        <w:spacing w:after="0" w:line="207" w:lineRule="auto"/>
        <w:tabs>
          <w:tab w:leader="none" w:pos="142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ind w:left="1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Date:  February 27, 202</w:t>
      </w:r>
    </w:p>
    <w:p>
      <w:pPr>
        <w:ind w:left="1900"/>
        <w:spacing w:after="0"/>
        <w:rPr>
          <w:sz w:val="20"/>
          <w:szCs w:val="20"/>
          <w:color w:val="auto"/>
        </w:rPr>
      </w:pPr>
      <w:r>
        <w:rPr>
          <w:rFonts w:ascii="Times New Roman" w:cs="Times New Roman" w:eastAsia="Times New Roman" w:hAnsi="Times New Roman"/>
          <w:sz w:val="16"/>
          <w:szCs w:val="16"/>
          <w:color w:val="auto"/>
        </w:rPr>
        <w:t>5</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John C. Redett</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John C. Redett</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Chief Financial Officer</w:t>
      </w:r>
    </w:p>
    <w:p>
      <w:pPr>
        <w:ind w:left="1440"/>
        <w:spacing w:after="0" w:line="221" w:lineRule="auto"/>
        <w:rPr>
          <w:sz w:val="20"/>
          <w:szCs w:val="20"/>
          <w:color w:val="auto"/>
        </w:rPr>
      </w:pPr>
      <w:r>
        <w:rPr>
          <w:rFonts w:ascii="Times New Roman" w:cs="Times New Roman" w:eastAsia="Times New Roman" w:hAnsi="Times New Roman"/>
          <w:sz w:val="16"/>
          <w:szCs w:val="16"/>
          <w:color w:val="auto"/>
        </w:rPr>
        <w:t>The Carlyle Group Inc</w:t>
      </w:r>
    </w:p>
    <w:p>
      <w:pPr>
        <w:ind w:left="1440"/>
        <w:spacing w:after="0" w:line="193" w:lineRule="auto"/>
        <w:rPr>
          <w:sz w:val="20"/>
          <w:szCs w:val="20"/>
          <w:color w:val="auto"/>
        </w:rPr>
      </w:pPr>
      <w:r>
        <w:rPr>
          <w:rFonts w:ascii="Times New Roman" w:cs="Times New Roman" w:eastAsia="Times New Roman" w:hAnsi="Times New Roman"/>
          <w:sz w:val="13"/>
          <w:szCs w:val="13"/>
          <w:color w:val="auto"/>
        </w:rPr>
        <w:t>.</w:t>
      </w:r>
    </w:p>
    <w:p>
      <w:pPr>
        <w:ind w:left="1440"/>
        <w:spacing w:after="0" w:line="188" w:lineRule="auto"/>
        <w:rPr>
          <w:sz w:val="20"/>
          <w:szCs w:val="20"/>
          <w:color w:val="auto"/>
        </w:rPr>
      </w:pPr>
      <w:r>
        <w:rPr>
          <w:rFonts w:ascii="Times New Roman" w:cs="Times New Roman" w:eastAsia="Times New Roman" w:hAnsi="Times New Roman"/>
          <w:sz w:val="12"/>
          <w:szCs w:val="12"/>
          <w:i w:val="1"/>
          <w:iCs w:val="1"/>
          <w:color w:val="auto"/>
        </w:rPr>
        <w:t>(Principal Financial Officer</w:t>
      </w:r>
    </w:p>
    <w:p>
      <w:pPr>
        <w:ind w:left="1440"/>
        <w:spacing w:after="0"/>
        <w:rPr>
          <w:sz w:val="20"/>
          <w:szCs w:val="20"/>
          <w:color w:val="auto"/>
        </w:rPr>
      </w:pPr>
      <w:r>
        <w:rPr>
          <w:rFonts w:ascii="Times New Roman" w:cs="Times New Roman" w:eastAsia="Times New Roman" w:hAnsi="Times New Roman"/>
          <w:sz w:val="16"/>
          <w:szCs w:val="16"/>
          <w:i w:val="1"/>
          <w:iCs w:val="1"/>
          <w:color w:val="auto"/>
        </w:rPr>
        <w:t>)</w:t>
      </w:r>
    </w:p>
    <w:p>
      <w:pPr>
        <w:sectPr>
          <w:pgSz w:w="11900" w:h="16840" w:orient="portrait"/>
          <w:cols w:equalWidth="0" w:num="1">
            <w:col w:w="9020"/>
          </w:cols>
          <w:pgMar w:left="1440" w:top="1203" w:right="1440" w:bottom="1440" w:gutter="0" w:footer="0" w:header="0"/>
        </w:sectPr>
      </w:pPr>
    </w:p>
    <w:bookmarkStart w:id="243" w:name="page244"/>
    <w:bookmarkEnd w:id="243"/>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4">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32.1</w:t>
      </w:r>
    </w:p>
    <w:p>
      <w:pPr>
        <w:spacing w:after="0" w:line="1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Certification of the Interim Chief Executive Office</w:t>
      </w:r>
    </w:p>
    <w:tbl>
      <w:tblPr>
        <w:tblLayout w:type="fixed"/>
        <w:tblInd w:w="2080" w:type="dxa"/>
        <w:tblCellMar>
          <w:top w:w="0" w:type="dxa"/>
          <w:left w:w="0" w:type="dxa"/>
          <w:bottom w:w="0" w:type="dxa"/>
          <w:right w:w="0" w:type="dxa"/>
        </w:tblCellMar>
      </w:tblPr>
      <w:tr>
        <w:trPr>
          <w:trHeight w:val="223"/>
        </w:trPr>
        <w:tc>
          <w:tcPr>
            <w:tcW w:w="78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r</w:t>
            </w:r>
          </w:p>
        </w:tc>
        <w:tc>
          <w:tcPr>
            <w:tcW w:w="38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4"/>
              </w:rPr>
              <w:t>As Adopted</w:t>
            </w:r>
          </w:p>
        </w:tc>
        <w:tc>
          <w:tcPr>
            <w:tcW w:w="3860" w:type="dxa"/>
            <w:vAlign w:val="bottom"/>
          </w:tcPr>
          <w:p>
            <w:pPr>
              <w:ind w:left="440"/>
              <w:spacing w:after="0" w:line="108"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84"/>
        </w:trPr>
        <w:tc>
          <w:tcPr>
            <w:tcW w:w="780" w:type="dxa"/>
            <w:vAlign w:val="bottom"/>
            <w:vMerge w:val="continue"/>
          </w:tcPr>
          <w:p>
            <w:pPr>
              <w:spacing w:after="0"/>
              <w:rPr>
                <w:sz w:val="7"/>
                <w:szCs w:val="7"/>
                <w:color w:val="auto"/>
              </w:rPr>
            </w:pPr>
          </w:p>
        </w:tc>
        <w:tc>
          <w:tcPr>
            <w:tcW w:w="3860" w:type="dxa"/>
            <w:vAlign w:val="bottom"/>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Pursuant to Section 906 of the Sarbanes-Oxley Act of 200</w:t>
            </w:r>
          </w:p>
        </w:tc>
        <w:tc>
          <w:tcPr>
            <w:tcW w:w="0" w:type="dxa"/>
            <w:vAlign w:val="bottom"/>
          </w:tcPr>
          <w:p>
            <w:pPr>
              <w:spacing w:after="0"/>
              <w:rPr>
                <w:sz w:val="1"/>
                <w:szCs w:val="1"/>
                <w:color w:val="auto"/>
              </w:rPr>
            </w:pPr>
          </w:p>
        </w:tc>
      </w:tr>
      <w:tr>
        <w:trPr>
          <w:trHeight w:val="174"/>
        </w:trPr>
        <w:tc>
          <w:tcPr>
            <w:tcW w:w="78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2</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0" w:right="1460"/>
        <w:spacing w:after="0"/>
        <w:rPr>
          <w:sz w:val="20"/>
          <w:szCs w:val="20"/>
          <w:color w:val="auto"/>
        </w:rPr>
      </w:pPr>
      <w:r>
        <w:rPr>
          <w:rFonts w:ascii="Times New Roman" w:cs="Times New Roman" w:eastAsia="Times New Roman" w:hAnsi="Times New Roman"/>
          <w:sz w:val="14"/>
          <w:szCs w:val="14"/>
          <w:color w:val="auto"/>
        </w:rPr>
        <w:t>In connection with the Annual Report of The Carlyle Group Inc. (the “Company”) on Form 10-K for the year ende d</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December 31, 2024 filed with the Securities and Exchange Commission on the date hereof (the “Report”), I, Harvey M</w:t>
      </w:r>
    </w:p>
    <w:p>
      <w:pPr>
        <w:ind w:left="400"/>
        <w:spacing w:after="0" w:line="182" w:lineRule="auto"/>
        <w:rPr>
          <w:sz w:val="20"/>
          <w:szCs w:val="20"/>
          <w:color w:val="auto"/>
        </w:rPr>
      </w:pPr>
      <w:r>
        <w:rPr>
          <w:rFonts w:ascii="Times New Roman" w:cs="Times New Roman" w:eastAsia="Times New Roman" w:hAnsi="Times New Roman"/>
          <w:sz w:val="15"/>
          <w:szCs w:val="15"/>
          <w:color w:val="auto"/>
        </w:rPr>
        <w:t>Schwartz, Chief Executive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Officer of the Company, certify, pursuant to 18 U.S.C. §1350, as adopted pursuant to §906 of the</w:t>
      </w:r>
    </w:p>
    <w:p>
      <w:pPr>
        <w:ind w:left="400"/>
        <w:spacing w:after="0" w:line="189" w:lineRule="auto"/>
        <w:rPr>
          <w:sz w:val="20"/>
          <w:szCs w:val="20"/>
          <w:color w:val="auto"/>
        </w:rPr>
      </w:pPr>
      <w:r>
        <w:rPr>
          <w:rFonts w:ascii="Times New Roman" w:cs="Times New Roman" w:eastAsia="Times New Roman" w:hAnsi="Times New Roman"/>
          <w:sz w:val="12"/>
          <w:szCs w:val="12"/>
          <w:color w:val="auto"/>
        </w:rPr>
        <w:t>Sarbanes-Oxley Act of 2002, that</w:t>
      </w:r>
    </w:p>
    <w:p>
      <w:pPr>
        <w:ind w:left="400"/>
        <w:spacing w:after="0"/>
        <w:rPr>
          <w:sz w:val="20"/>
          <w:szCs w:val="20"/>
          <w:color w:val="auto"/>
        </w:rPr>
      </w:pPr>
      <w:r>
        <w:rPr>
          <w:rFonts w:ascii="Times New Roman" w:cs="Times New Roman" w:eastAsia="Times New Roman" w:hAnsi="Times New Roman"/>
          <w:sz w:val="16"/>
          <w:szCs w:val="16"/>
          <w:color w:val="auto"/>
        </w:rPr>
        <w:t>:</w:t>
      </w:r>
    </w:p>
    <w:p>
      <w:pPr>
        <w:spacing w:after="0" w:line="74" w:lineRule="exact"/>
        <w:rPr>
          <w:sz w:val="20"/>
          <w:szCs w:val="20"/>
          <w:color w:val="auto"/>
        </w:rPr>
      </w:pPr>
    </w:p>
    <w:p>
      <w:pPr>
        <w:ind w:left="700" w:right="980" w:hanging="298"/>
        <w:spacing w:after="0" w:line="202" w:lineRule="auto"/>
        <w:tabs>
          <w:tab w:leader="none" w:pos="7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 d</w:t>
      </w:r>
    </w:p>
    <w:p>
      <w:pPr>
        <w:spacing w:after="0" w:line="74" w:lineRule="exact"/>
        <w:rPr>
          <w:rFonts w:ascii="Times New Roman" w:cs="Times New Roman" w:eastAsia="Times New Roman" w:hAnsi="Times New Roman"/>
          <w:sz w:val="16"/>
          <w:szCs w:val="16"/>
          <w:color w:val="auto"/>
        </w:rPr>
      </w:pPr>
    </w:p>
    <w:p>
      <w:pPr>
        <w:ind w:left="700" w:right="1100" w:hanging="298"/>
        <w:spacing w:after="0"/>
        <w:tabs>
          <w:tab w:leader="none" w:pos="7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 f</w:t>
      </w:r>
    </w:p>
    <w:p>
      <w:pPr>
        <w:spacing w:after="0" w:line="49" w:lineRule="exact"/>
        <w:rPr>
          <w:rFonts w:ascii="Times New Roman" w:cs="Times New Roman" w:eastAsia="Times New Roman" w:hAnsi="Times New Roman"/>
          <w:sz w:val="14"/>
          <w:szCs w:val="14"/>
          <w:color w:val="auto"/>
        </w:rPr>
      </w:pPr>
    </w:p>
    <w:p>
      <w:pPr>
        <w:ind w:left="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operations of the Company.</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 Harvey M. Schwart</w:t>
      </w:r>
    </w:p>
    <w:p>
      <w:pPr>
        <w:ind w:left="440"/>
        <w:spacing w:after="0" w:line="192" w:lineRule="auto"/>
        <w:rPr>
          <w:sz w:val="20"/>
          <w:szCs w:val="20"/>
          <w:color w:val="auto"/>
        </w:rPr>
      </w:pPr>
      <w:r>
        <w:rPr>
          <w:rFonts w:ascii="Times New Roman" w:cs="Times New Roman" w:eastAsia="Times New Roman" w:hAnsi="Times New Roman"/>
          <w:sz w:val="13"/>
          <w:szCs w:val="13"/>
          <w:color w:val="auto"/>
        </w:rPr>
        <w:t>z</w:t>
      </w:r>
    </w:p>
    <w:p>
      <w:pPr>
        <w:ind w:left="440"/>
        <w:spacing w:after="0" w:line="188" w:lineRule="auto"/>
        <w:rPr>
          <w:sz w:val="20"/>
          <w:szCs w:val="20"/>
          <w:color w:val="auto"/>
        </w:rPr>
      </w:pPr>
      <w:r>
        <w:rPr>
          <w:rFonts w:ascii="Times New Roman" w:cs="Times New Roman" w:eastAsia="Times New Roman" w:hAnsi="Times New Roman"/>
          <w:sz w:val="12"/>
          <w:szCs w:val="12"/>
          <w:color w:val="auto"/>
        </w:rPr>
        <w:t>Harvey M. Schwart</w:t>
      </w:r>
    </w:p>
    <w:p>
      <w:pPr>
        <w:ind w:left="440"/>
        <w:spacing w:after="0" w:line="193" w:lineRule="auto"/>
        <w:rPr>
          <w:sz w:val="20"/>
          <w:szCs w:val="20"/>
          <w:color w:val="auto"/>
        </w:rPr>
      </w:pPr>
      <w:r>
        <w:rPr>
          <w:rFonts w:ascii="Times New Roman" w:cs="Times New Roman" w:eastAsia="Times New Roman" w:hAnsi="Times New Roman"/>
          <w:sz w:val="13"/>
          <w:szCs w:val="13"/>
          <w:color w:val="auto"/>
        </w:rPr>
        <w:t>z</w:t>
      </w:r>
    </w:p>
    <w:p>
      <w:pPr>
        <w:ind w:left="440"/>
        <w:spacing w:after="0"/>
        <w:rPr>
          <w:sz w:val="20"/>
          <w:szCs w:val="20"/>
          <w:color w:val="auto"/>
        </w:rPr>
      </w:pPr>
      <w:r>
        <w:rPr>
          <w:rFonts w:ascii="Times New Roman" w:cs="Times New Roman" w:eastAsia="Times New Roman" w:hAnsi="Times New Roman"/>
          <w:sz w:val="16"/>
          <w:szCs w:val="16"/>
          <w:color w:val="auto"/>
        </w:rPr>
        <w:t>Chief Executive Officer</w:t>
      </w:r>
    </w:p>
    <w:p>
      <w:pPr>
        <w:ind w:left="440"/>
        <w:spacing w:after="0" w:line="198" w:lineRule="auto"/>
        <w:rPr>
          <w:sz w:val="20"/>
          <w:szCs w:val="20"/>
          <w:color w:val="auto"/>
        </w:rPr>
      </w:pPr>
      <w:r>
        <w:rPr>
          <w:rFonts w:ascii="Times New Roman" w:cs="Times New Roman" w:eastAsia="Times New Roman" w:hAnsi="Times New Roman"/>
          <w:sz w:val="16"/>
          <w:szCs w:val="16"/>
          <w:color w:val="auto"/>
        </w:rPr>
        <w:t>The Carlyle Group Inc</w:t>
      </w:r>
    </w:p>
    <w:p>
      <w:pPr>
        <w:ind w:left="440"/>
        <w:spacing w:after="0" w:line="193" w:lineRule="auto"/>
        <w:rPr>
          <w:sz w:val="20"/>
          <w:szCs w:val="20"/>
          <w:color w:val="auto"/>
        </w:rPr>
      </w:pPr>
      <w:r>
        <w:rPr>
          <w:rFonts w:ascii="Times New Roman" w:cs="Times New Roman" w:eastAsia="Times New Roman" w:hAnsi="Times New Roman"/>
          <w:sz w:val="13"/>
          <w:szCs w:val="13"/>
          <w:color w:val="auto"/>
        </w:rPr>
        <w:t>.</w:t>
      </w:r>
    </w:p>
    <w:p>
      <w:pPr>
        <w:ind w:left="440"/>
        <w:spacing w:after="0" w:line="188" w:lineRule="auto"/>
        <w:rPr>
          <w:sz w:val="20"/>
          <w:szCs w:val="20"/>
          <w:color w:val="auto"/>
        </w:rPr>
      </w:pPr>
      <w:r>
        <w:rPr>
          <w:rFonts w:ascii="Times New Roman" w:cs="Times New Roman" w:eastAsia="Times New Roman" w:hAnsi="Times New Roman"/>
          <w:sz w:val="12"/>
          <w:szCs w:val="12"/>
          <w:color w:val="auto"/>
        </w:rPr>
        <w:t>Date:  February 27, 202</w:t>
      </w:r>
    </w:p>
    <w:p>
      <w:pPr>
        <w:ind w:left="880"/>
        <w:spacing w:after="0"/>
        <w:rPr>
          <w:sz w:val="20"/>
          <w:szCs w:val="20"/>
          <w:color w:val="auto"/>
        </w:rPr>
      </w:pPr>
      <w:r>
        <w:rPr>
          <w:rFonts w:ascii="Times New Roman" w:cs="Times New Roman" w:eastAsia="Times New Roman" w:hAnsi="Times New Roman"/>
          <w:sz w:val="16"/>
          <w:szCs w:val="16"/>
          <w:color w:val="auto"/>
        </w:rPr>
        <w:t>5</w:t>
      </w:r>
    </w:p>
    <w:p>
      <w:pPr>
        <w:spacing w:after="0" w:line="314" w:lineRule="exact"/>
        <w:rPr>
          <w:sz w:val="20"/>
          <w:szCs w:val="20"/>
          <w:color w:val="auto"/>
        </w:rPr>
      </w:pPr>
    </w:p>
    <w:p>
      <w:pPr>
        <w:ind w:left="760" w:right="780" w:hanging="322"/>
        <w:spacing w:after="0" w:line="234" w:lineRule="auto"/>
        <w:tabs>
          <w:tab w:leader="none" w:pos="7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p>
      <w:pPr>
        <w:sectPr>
          <w:pgSz w:w="11900" w:h="16840" w:orient="portrait"/>
          <w:cols w:equalWidth="0" w:num="1">
            <w:col w:w="9020"/>
          </w:cols>
          <w:pgMar w:left="1440" w:top="1203" w:right="1440" w:bottom="1440" w:gutter="0" w:footer="0" w:header="0"/>
        </w:sectPr>
      </w:pPr>
    </w:p>
    <w:bookmarkStart w:id="244" w:name="page245"/>
    <w:bookmarkEnd w:id="244"/>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80492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5">
                      <a:extLst>
                        <a:ext uri="{28A0092B-C50C-407E-A947-70E740481C1C}"/>
                      </a:extLst>
                    </a:blip>
                    <a:srcRect/>
                    <a:stretch>
                      <a:fillRect/>
                    </a:stretch>
                  </pic:blipFill>
                  <pic:spPr bwMode="auto">
                    <a:xfrm>
                      <a:off x="0" y="0"/>
                      <a:ext cx="6707505" cy="8049260"/>
                    </a:xfrm>
                    <a:prstGeom prst="rect">
                      <a:avLst/>
                    </a:prstGeom>
                    <a:noFill/>
                  </pic:spPr>
                </pic:pic>
              </a:graphicData>
            </a:graphic>
          </wp:anchor>
        </w:drawing>
        <w:t>Exhibit 32.2</w:t>
      </w:r>
    </w:p>
    <w:p>
      <w:pPr>
        <w:spacing w:after="0" w:line="1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w:t>
      </w:r>
    </w:p>
    <w:p>
      <w:pPr>
        <w:ind w:left="3040"/>
        <w:spacing w:after="0" w:line="184" w:lineRule="auto"/>
        <w:tabs>
          <w:tab w:leader="none" w:pos="3280" w:val="left"/>
        </w:tabs>
        <w:rPr>
          <w:sz w:val="20"/>
          <w:szCs w:val="20"/>
          <w:color w:val="auto"/>
        </w:rPr>
      </w:pPr>
      <w:r>
        <w:rPr>
          <w:rFonts w:ascii="Times New Roman" w:cs="Times New Roman" w:eastAsia="Times New Roman" w:hAnsi="Times New Roman"/>
          <w:sz w:val="18"/>
          <w:szCs w:val="18"/>
          <w:b w:val="1"/>
          <w:bCs w:val="1"/>
          <w:color w:val="auto"/>
          <w:vertAlign w:val="superscript"/>
        </w:rPr>
        <w:t>r</w:t>
      </w:r>
      <w:r>
        <w:rPr>
          <w:sz w:val="20"/>
          <w:szCs w:val="20"/>
          <w:color w:val="auto"/>
        </w:rPr>
        <w:tab/>
      </w:r>
      <w:r>
        <w:rPr>
          <w:rFonts w:ascii="Times New Roman" w:cs="Times New Roman" w:eastAsia="Times New Roman" w:hAnsi="Times New Roman"/>
          <w:sz w:val="11"/>
          <w:szCs w:val="11"/>
          <w:b w:val="1"/>
          <w:bCs w:val="1"/>
          <w:color w:val="auto"/>
        </w:rPr>
        <w:t>Pursuant to 18 U.S.C. Section 1350</w:t>
      </w:r>
    </w:p>
    <w:p>
      <w:pPr>
        <w:spacing w:after="0" w:line="64" w:lineRule="exact"/>
        <w:rPr>
          <w:sz w:val="20"/>
          <w:szCs w:val="20"/>
          <w:color w:val="auto"/>
        </w:rPr>
      </w:pPr>
    </w:p>
    <w:p>
      <w:pPr>
        <w:ind w:left="2080" w:right="2300"/>
        <w:spacing w:after="0"/>
        <w:rPr>
          <w:sz w:val="20"/>
          <w:szCs w:val="20"/>
          <w:color w:val="auto"/>
        </w:rPr>
      </w:pPr>
      <w:r>
        <w:rPr>
          <w:rFonts w:ascii="Times New Roman" w:cs="Times New Roman" w:eastAsia="Times New Roman" w:hAnsi="Times New Roman"/>
          <w:sz w:val="15"/>
          <w:szCs w:val="15"/>
          <w:b w:val="1"/>
          <w:bCs w:val="1"/>
          <w:color w:val="auto"/>
        </w:rPr>
        <w:t>As Adopted Pursuant</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5"/>
          <w:szCs w:val="15"/>
          <w:b w:val="1"/>
          <w:bCs w:val="1"/>
          <w:color w:val="auto"/>
        </w:rPr>
        <w:t xml:space="preserve"> to Section 906 of the Sarbanes-Oxley Act of 200 2</w:t>
      </w:r>
    </w:p>
    <w:p>
      <w:pPr>
        <w:spacing w:after="0" w:line="74" w:lineRule="exact"/>
        <w:rPr>
          <w:sz w:val="20"/>
          <w:szCs w:val="20"/>
          <w:color w:val="auto"/>
        </w:rPr>
      </w:pPr>
    </w:p>
    <w:p>
      <w:pPr>
        <w:ind w:left="400" w:right="1460"/>
        <w:spacing w:after="0"/>
        <w:rPr>
          <w:sz w:val="20"/>
          <w:szCs w:val="20"/>
          <w:color w:val="auto"/>
        </w:rPr>
      </w:pPr>
      <w:r>
        <w:rPr>
          <w:rFonts w:ascii="Times New Roman" w:cs="Times New Roman" w:eastAsia="Times New Roman" w:hAnsi="Times New Roman"/>
          <w:sz w:val="14"/>
          <w:szCs w:val="14"/>
          <w:color w:val="auto"/>
        </w:rPr>
        <w:t>In connection with the Annual Report of The Carlyle Group Inc. (the “Company”) on Form 10-K for the year ende d</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December 31, 2024 filed with the Securities and Exchange Commission on the date hereof (the “Report”), I, John C. Redett</w:t>
      </w:r>
    </w:p>
    <w:p>
      <w:pPr>
        <w:ind w:left="400"/>
        <w:spacing w:after="0" w:line="186" w:lineRule="auto"/>
        <w:rPr>
          <w:sz w:val="20"/>
          <w:szCs w:val="20"/>
          <w:color w:val="auto"/>
        </w:rPr>
      </w:pPr>
      <w:r>
        <w:rPr>
          <w:rFonts w:ascii="Times New Roman" w:cs="Times New Roman" w:eastAsia="Times New Roman" w:hAnsi="Times New Roman"/>
          <w:sz w:val="11"/>
          <w:szCs w:val="11"/>
          <w:color w:val="auto"/>
        </w:rPr>
        <w:t>Chief Financial Officer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1"/>
          <w:szCs w:val="11"/>
          <w:color w:val="auto"/>
        </w:rPr>
        <w:t xml:space="preserve"> of the Company, certify, pursuant to 18 U.S.C. §1350, as adopted pursuant to §906 of the Sarbanes</w:t>
      </w:r>
    </w:p>
    <w:p>
      <w:pPr>
        <w:ind w:left="400"/>
        <w:spacing w:after="0" w:line="196" w:lineRule="auto"/>
        <w:rPr>
          <w:sz w:val="20"/>
          <w:szCs w:val="20"/>
          <w:color w:val="auto"/>
        </w:rPr>
      </w:pPr>
      <w:r>
        <w:rPr>
          <w:rFonts w:ascii="Times New Roman" w:cs="Times New Roman" w:eastAsia="Times New Roman" w:hAnsi="Times New Roman"/>
          <w:sz w:val="9"/>
          <w:szCs w:val="9"/>
          <w:color w:val="auto"/>
        </w:rPr>
        <w:t>-</w:t>
      </w:r>
    </w:p>
    <w:p>
      <w:pPr>
        <w:ind w:left="400"/>
        <w:spacing w:after="0" w:line="188" w:lineRule="auto"/>
        <w:rPr>
          <w:sz w:val="20"/>
          <w:szCs w:val="20"/>
          <w:color w:val="auto"/>
        </w:rPr>
      </w:pPr>
      <w:r>
        <w:rPr>
          <w:rFonts w:ascii="Times New Roman" w:cs="Times New Roman" w:eastAsia="Times New Roman" w:hAnsi="Times New Roman"/>
          <w:sz w:val="12"/>
          <w:szCs w:val="12"/>
          <w:color w:val="auto"/>
        </w:rPr>
        <w:t>Oxley Act of 2002, that</w:t>
      </w:r>
    </w:p>
    <w:p>
      <w:pPr>
        <w:ind w:left="400"/>
        <w:spacing w:after="0"/>
        <w:rPr>
          <w:sz w:val="20"/>
          <w:szCs w:val="20"/>
          <w:color w:val="auto"/>
        </w:rPr>
      </w:pPr>
      <w:r>
        <w:rPr>
          <w:rFonts w:ascii="Times New Roman" w:cs="Times New Roman" w:eastAsia="Times New Roman" w:hAnsi="Times New Roman"/>
          <w:sz w:val="16"/>
          <w:szCs w:val="16"/>
          <w:color w:val="auto"/>
        </w:rPr>
        <w:t>:</w:t>
      </w:r>
    </w:p>
    <w:p>
      <w:pPr>
        <w:spacing w:after="0" w:line="74" w:lineRule="exact"/>
        <w:rPr>
          <w:sz w:val="20"/>
          <w:szCs w:val="20"/>
          <w:color w:val="auto"/>
        </w:rPr>
      </w:pPr>
    </w:p>
    <w:p>
      <w:pPr>
        <w:ind w:left="700" w:right="980" w:hanging="298"/>
        <w:spacing w:after="0" w:line="202" w:lineRule="auto"/>
        <w:tabs>
          <w:tab w:leader="none" w:pos="7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 d</w:t>
      </w:r>
    </w:p>
    <w:p>
      <w:pPr>
        <w:spacing w:after="0" w:line="74" w:lineRule="exact"/>
        <w:rPr>
          <w:rFonts w:ascii="Times New Roman" w:cs="Times New Roman" w:eastAsia="Times New Roman" w:hAnsi="Times New Roman"/>
          <w:sz w:val="16"/>
          <w:szCs w:val="16"/>
          <w:color w:val="auto"/>
        </w:rPr>
      </w:pPr>
    </w:p>
    <w:p>
      <w:pPr>
        <w:ind w:left="700" w:right="1100" w:hanging="298"/>
        <w:spacing w:after="0"/>
        <w:tabs>
          <w:tab w:leader="none" w:pos="7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 f</w:t>
      </w:r>
    </w:p>
    <w:p>
      <w:pPr>
        <w:spacing w:after="0" w:line="49" w:lineRule="exact"/>
        <w:rPr>
          <w:rFonts w:ascii="Times New Roman" w:cs="Times New Roman" w:eastAsia="Times New Roman" w:hAnsi="Times New Roman"/>
          <w:sz w:val="14"/>
          <w:szCs w:val="14"/>
          <w:color w:val="auto"/>
        </w:rPr>
      </w:pPr>
    </w:p>
    <w:p>
      <w:pPr>
        <w:ind w:left="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operations of the Company.</w:t>
      </w: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 John C. Redett</w:t>
      </w:r>
    </w:p>
    <w:p>
      <w:pPr>
        <w:spacing w:after="0" w:line="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John C. Redett</w:t>
      </w:r>
    </w:p>
    <w:p>
      <w:pPr>
        <w:spacing w:after="0" w:line="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Chief Financial Officer</w:t>
      </w:r>
    </w:p>
    <w:p>
      <w:pPr>
        <w:ind w:left="440"/>
        <w:spacing w:after="0" w:line="221" w:lineRule="auto"/>
        <w:rPr>
          <w:sz w:val="20"/>
          <w:szCs w:val="20"/>
          <w:color w:val="auto"/>
        </w:rPr>
      </w:pPr>
      <w:r>
        <w:rPr>
          <w:rFonts w:ascii="Times New Roman" w:cs="Times New Roman" w:eastAsia="Times New Roman" w:hAnsi="Times New Roman"/>
          <w:sz w:val="16"/>
          <w:szCs w:val="16"/>
          <w:color w:val="auto"/>
        </w:rPr>
        <w:t>The Carlyle Group Inc</w:t>
      </w:r>
    </w:p>
    <w:p>
      <w:pPr>
        <w:ind w:left="440"/>
        <w:spacing w:after="0" w:line="193" w:lineRule="auto"/>
        <w:rPr>
          <w:sz w:val="20"/>
          <w:szCs w:val="20"/>
          <w:color w:val="auto"/>
        </w:rPr>
      </w:pPr>
      <w:r>
        <w:rPr>
          <w:rFonts w:ascii="Times New Roman" w:cs="Times New Roman" w:eastAsia="Times New Roman" w:hAnsi="Times New Roman"/>
          <w:sz w:val="13"/>
          <w:szCs w:val="13"/>
          <w:color w:val="auto"/>
        </w:rPr>
        <w:t>.</w:t>
      </w:r>
    </w:p>
    <w:p>
      <w:pPr>
        <w:ind w:left="440"/>
        <w:spacing w:after="0" w:line="188" w:lineRule="auto"/>
        <w:rPr>
          <w:sz w:val="20"/>
          <w:szCs w:val="20"/>
          <w:color w:val="auto"/>
        </w:rPr>
      </w:pPr>
      <w:r>
        <w:rPr>
          <w:rFonts w:ascii="Times New Roman" w:cs="Times New Roman" w:eastAsia="Times New Roman" w:hAnsi="Times New Roman"/>
          <w:sz w:val="12"/>
          <w:szCs w:val="12"/>
          <w:color w:val="auto"/>
        </w:rPr>
        <w:t>Date:  February 27, 202</w:t>
      </w:r>
    </w:p>
    <w:p>
      <w:pPr>
        <w:ind w:left="880"/>
        <w:spacing w:after="0"/>
        <w:rPr>
          <w:sz w:val="20"/>
          <w:szCs w:val="20"/>
          <w:color w:val="auto"/>
        </w:rPr>
      </w:pPr>
      <w:r>
        <w:rPr>
          <w:rFonts w:ascii="Times New Roman" w:cs="Times New Roman" w:eastAsia="Times New Roman" w:hAnsi="Times New Roman"/>
          <w:sz w:val="16"/>
          <w:szCs w:val="16"/>
          <w:color w:val="auto"/>
        </w:rPr>
        <w:t>5</w:t>
      </w:r>
    </w:p>
    <w:p>
      <w:pPr>
        <w:spacing w:after="0" w:line="314" w:lineRule="exact"/>
        <w:rPr>
          <w:sz w:val="20"/>
          <w:szCs w:val="20"/>
          <w:color w:val="auto"/>
        </w:rPr>
      </w:pPr>
    </w:p>
    <w:p>
      <w:pPr>
        <w:ind w:left="760" w:right="780" w:hanging="322"/>
        <w:spacing w:after="0" w:line="234" w:lineRule="auto"/>
        <w:tabs>
          <w:tab w:leader="none" w:pos="7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p>
      <w:pPr>
        <w:sectPr>
          <w:pgSz w:w="11900" w:h="16840" w:orient="portrait"/>
          <w:cols w:equalWidth="0" w:num="1">
            <w:col w:w="9020"/>
          </w:cols>
          <w:pgMar w:left="1440" w:top="1203" w:right="1440" w:bottom="1440" w:gutter="0" w:footer="0" w:header="0"/>
        </w:sectPr>
      </w:pPr>
    </w:p>
    <w:bookmarkStart w:id="245" w:name="page246"/>
    <w:bookmarkEnd w:id="24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lowerLetter"/>
      <w:start w:val="1"/>
    </w:lvl>
  </w:abstractNum>
  <w:abstractNum w:abstractNumId="3">
    <w:nsid w:val="749ABB43"/>
    <w:multiLevelType w:val="hybridMultilevel"/>
    <w:lvl w:ilvl="0">
      <w:lvlJc w:val="left"/>
      <w:lvlText w:val="(%1)"/>
      <w:numFmt w:val="lowerRoman"/>
      <w:start w:val="3"/>
    </w:lvl>
  </w:abstractNum>
  <w:abstractNum w:abstractNumId="4">
    <w:nsid w:val="3DC240FB"/>
    <w:multiLevelType w:val="hybridMultilevel"/>
    <w:lvl w:ilvl="0">
      <w:lvlJc w:val="left"/>
      <w:lvlText w:val="(%1)"/>
      <w:numFmt w:val="lowerRoman"/>
      <w:start w:val="3"/>
    </w:lvl>
  </w:abstractNum>
  <w:abstractNum w:abstractNumId="5">
    <w:nsid w:val="1BA026FA"/>
    <w:multiLevelType w:val="hybridMultilevel"/>
    <w:lvl w:ilvl="0">
      <w:lvlJc w:val="left"/>
      <w:lvlText w:val="%1"/>
      <w:numFmt w:val="upperLetter"/>
      <w:start w:val="35"/>
    </w:lvl>
  </w:abstractNum>
  <w:abstractNum w:abstractNumId="6">
    <w:nsid w:val="79A1DEAA"/>
    <w:multiLevelType w:val="hybridMultilevel"/>
    <w:lvl w:ilvl="0">
      <w:lvlJc w:val="left"/>
      <w:lvlText w:val="%1"/>
      <w:numFmt w:val="upperLetter"/>
      <w:start w:val="35"/>
    </w:lvl>
  </w:abstractNum>
  <w:abstractNum w:abstractNumId="7">
    <w:nsid w:val="75C6C33A"/>
    <w:multiLevelType w:val="hybridMultilevel"/>
    <w:lvl w:ilvl="0">
      <w:lvlJc w:val="left"/>
      <w:lvlText w:val="(%1)"/>
      <w:numFmt w:val="lowerRoman"/>
      <w:start w:val="2"/>
    </w:lvl>
  </w:abstractNum>
  <w:abstractNum w:abstractNumId="8">
    <w:nsid w:val="12E685FB"/>
    <w:multiLevelType w:val="hybridMultilevel"/>
    <w:lvl w:ilvl="0">
      <w:lvlJc w:val="left"/>
      <w:lvlText w:val="a"/>
      <w:numFmt w:val="bullet"/>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decimal"/>
      <w:start w:val="4"/>
    </w:lvl>
  </w:abstractNum>
  <w:abstractNum w:abstractNumId="11">
    <w:nsid w:val="374A3FE6"/>
    <w:multiLevelType w:val="hybridMultilevel"/>
    <w:lvl w:ilvl="0">
      <w:lvlJc w:val="left"/>
      <w:lvlText w:val="(%1)"/>
      <w:numFmt w:val="decimal"/>
      <w:start w:val="240"/>
    </w:lvl>
  </w:abstractNum>
  <w:abstractNum w:abstractNumId="12">
    <w:nsid w:val="4F4EF005"/>
    <w:multiLevelType w:val="hybridMultilevel"/>
    <w:lvl w:ilvl="0">
      <w:lvlJc w:val="left"/>
      <w:lvlText w:val="(%1)"/>
      <w:numFmt w:val="decimal"/>
      <w:start w:val="631"/>
    </w:lvl>
  </w:abstractNum>
  <w:abstractNum w:abstractNumId="13">
    <w:nsid w:val="23F9C13C"/>
    <w:multiLevelType w:val="hybridMultilevel"/>
    <w:lvl w:ilvl="0">
      <w:lvlJc w:val="left"/>
      <w:lvlText w:val="(%1)"/>
      <w:numFmt w:val="decimal"/>
      <w:start w:val="664"/>
    </w:lvl>
  </w:abstractNum>
  <w:abstractNum w:abstractNumId="14">
    <w:nsid w:val="649BB77C"/>
    <w:multiLevelType w:val="hybridMultilevel"/>
    <w:lvl w:ilvl="0">
      <w:lvlJc w:val="left"/>
      <w:lvlText w:val="(%1)"/>
      <w:numFmt w:val="lowerRoman"/>
      <w:start w:val="2"/>
    </w:lvl>
  </w:abstractNum>
  <w:abstractNum w:abstractNumId="15">
    <w:nsid w:val="275AC794"/>
    <w:multiLevelType w:val="hybridMultilevel"/>
    <w:lvl w:ilvl="0">
      <w:lvlJc w:val="left"/>
      <w:lvlText w:val="%1."/>
      <w:numFmt w:val="decimal"/>
      <w:start w:val="2"/>
    </w:lvl>
  </w:abstractNum>
  <w:abstractNum w:abstractNumId="16">
    <w:nsid w:val="39386575"/>
    <w:multiLevelType w:val="hybridMultilevel"/>
    <w:lvl w:ilvl="0">
      <w:lvlJc w:val="left"/>
      <w:lvlText w:val="(%1)"/>
      <w:numFmt w:val="decimal"/>
      <w:start w:val="5"/>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decimal"/>
      <w:start w:val="8"/>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1)"/>
      <w:numFmt w:val="lowerLetter"/>
      <w:start w:val="3"/>
    </w:lvl>
  </w:abstractNum>
  <w:abstractNum w:abstractNumId="27">
    <w:nsid w:val="61574095"/>
    <w:multiLevelType w:val="hybridMultilevel"/>
    <w:lvl w:ilvl="0">
      <w:lvlJc w:val="left"/>
      <w:lvlText w:val="(%1)"/>
      <w:numFmt w:val="lowerRoman"/>
      <w:start w:val="2"/>
    </w:lvl>
  </w:abstractNum>
  <w:abstractNum w:abstractNumId="28">
    <w:nsid w:val="7E0C57B1"/>
    <w:multiLevelType w:val="hybridMultilevel"/>
    <w:lvl w:ilvl="0">
      <w:lvlJc w:val="left"/>
      <w:lvlText w:val="%1"/>
      <w:numFmt w:val="decimal"/>
      <w:start w:val="97"/>
    </w:lvl>
  </w:abstractNum>
  <w:abstractNum w:abstractNumId="29">
    <w:nsid w:val="77AE35EB"/>
    <w:multiLevelType w:val="hybridMultilevel"/>
    <w:lvl w:ilvl="0">
      <w:lvlJc w:val="left"/>
      <w:lvlText w:val="*"/>
      <w:numFmt w:val="bullet"/>
      <w:start w:val="1"/>
    </w:lvl>
    <w:lvl w:ilvl="1">
      <w:lvlJc w:val="left"/>
      <w:lvlText w:val="%2"/>
      <w:numFmt w:val="decimal"/>
      <w:start w:val="104"/>
    </w:lvl>
  </w:abstractNum>
  <w:abstractNum w:abstractNumId="30">
    <w:nsid w:val="579BE4F1"/>
    <w:multiLevelType w:val="hybridMultilevel"/>
    <w:lvl w:ilvl="0">
      <w:lvlJc w:val="left"/>
      <w:lvlText w:val="**"/>
      <w:numFmt w:val="bullet"/>
      <w:start w:val="1"/>
    </w:lvl>
    <w:lvl w:ilvl="1">
      <w:lvlJc w:val="left"/>
      <w:lvlText w:val="%2"/>
      <w:numFmt w:val="decimal"/>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A"/>
      <w:numFmt w:val="bullet"/>
      <w:start w:val="1"/>
    </w:lvl>
  </w:abstractNum>
  <w:abstractNum w:abstractNumId="33">
    <w:nsid w:val="2F305DEF"/>
    <w:multiLevelType w:val="hybridMultilevel"/>
    <w:lvl w:ilvl="0">
      <w:lvlJc w:val="left"/>
      <w:lvlText w:val="B"/>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2"/>
    </w:lvl>
    <w:lvl w:ilvl="1">
      <w:lvlJc w:val="left"/>
      <w:lvlText w:val="%2."/>
      <w:numFmt w:val="lowerLetter"/>
      <w:start w:val="1"/>
    </w:lvl>
  </w:abstractNum>
  <w:abstractNum w:abstractNumId="36">
    <w:nsid w:val="4AD084E9"/>
    <w:multiLevelType w:val="hybridMultilevel"/>
    <w:lvl w:ilvl="0">
      <w:lvlJc w:val="left"/>
      <w:lvlText w:val="%1."/>
      <w:numFmt w:val="lowerLetter"/>
      <w:start w:val="4"/>
    </w:lvl>
  </w:abstractNum>
  <w:abstractNum w:abstractNumId="37">
    <w:nsid w:val="1F48EAA1"/>
    <w:multiLevelType w:val="hybridMultilevel"/>
    <w:lvl w:ilvl="0">
      <w:lvlJc w:val="left"/>
      <w:lvlText w:val="%1"/>
      <w:numFmt w:val="decimal"/>
      <w:start w:val="1"/>
    </w:lvl>
    <w:lvl w:ilvl="1">
      <w:lvlJc w:val="left"/>
      <w:lvlText w:val="%2."/>
      <w:numFmt w:val="lowerLetter"/>
      <w:start w:val="5"/>
    </w:lvl>
  </w:abstractNum>
  <w:abstractNum w:abstractNumId="38">
    <w:nsid w:val="1381823A"/>
    <w:multiLevelType w:val="hybridMultilevel"/>
    <w:lvl w:ilvl="0">
      <w:lvlJc w:val="left"/>
      <w:lvlText w:val="%1."/>
      <w:numFmt w:val="decimal"/>
      <w:start w:val="3"/>
    </w:lvl>
    <w:lvl w:ilvl="1">
      <w:lvlJc w:val="left"/>
      <w:lvlText w:val="%2."/>
      <w:numFmt w:val="lowerLetter"/>
      <w:start w:val="1"/>
    </w:lvl>
  </w:abstractNum>
  <w:abstractNum w:abstractNumId="39">
    <w:nsid w:val="5DB70AE5"/>
    <w:multiLevelType w:val="hybridMultilevel"/>
    <w:lvl w:ilvl="0">
      <w:lvlJc w:val="left"/>
      <w:lvlText w:val="%1."/>
      <w:numFmt w:val="lowerLetter"/>
      <w:start w:val="2"/>
    </w:lvl>
    <w:lvl w:ilvl="1">
      <w:lvlJc w:val="left"/>
      <w:lvlText w:val="%2."/>
      <w:numFmt w:val="lowerRoman"/>
      <w:start w:val="1"/>
    </w:lvl>
  </w:abstractNum>
  <w:abstractNum w:abstractNumId="40">
    <w:nsid w:val="100F8FCA"/>
    <w:multiLevelType w:val="hybridMultilevel"/>
    <w:lvl w:ilvl="0">
      <w:lvlJc w:val="left"/>
      <w:lvlText w:val="%1."/>
      <w:numFmt w:val="lowerRoman"/>
      <w:start w:val="3"/>
    </w:lvl>
  </w:abstractNum>
  <w:abstractNum w:abstractNumId="41">
    <w:nsid w:val="6590700B"/>
    <w:multiLevelType w:val="hybridMultilevel"/>
    <w:lvl w:ilvl="0">
      <w:lvlJc w:val="left"/>
      <w:lvlText w:val="%1."/>
      <w:numFmt w:val="lowerLetter"/>
      <w:start w:val="3"/>
    </w:lvl>
  </w:abstractNum>
  <w:abstractNum w:abstractNumId="42">
    <w:nsid w:val="15014ACB"/>
    <w:multiLevelType w:val="hybridMultilevel"/>
    <w:lvl w:ilvl="0">
      <w:lvlJc w:val="left"/>
      <w:lvlText w:val="%1."/>
      <w:numFmt w:val="decimal"/>
      <w:start w:val="5"/>
    </w:lvl>
  </w:abstractNum>
  <w:abstractNum w:abstractNumId="43">
    <w:nsid w:val="5F5E7FD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98A3148"/>
    <w:multiLevelType w:val="hybridMultilevel"/>
    <w:lvl w:ilvl="0">
      <w:lvlJc w:val="left"/>
      <w:lvlText w:val="%1"/>
      <w:numFmt w:val="lowerLetter"/>
      <w:start w:val="1"/>
    </w:lvl>
    <w:lvl w:ilvl="1">
      <w:lvlJc w:val="left"/>
      <w:lvlText w:val="%2."/>
      <w:numFmt w:val="lowerLetter"/>
      <w:start w:val="61"/>
    </w:lvl>
  </w:abstractNum>
  <w:abstractNum w:abstractNumId="45">
    <w:nsid w:val="799D0247"/>
    <w:multiLevelType w:val="hybridMultilevel"/>
    <w:lvl w:ilvl="0">
      <w:lvlJc w:val="left"/>
      <w:lvlText w:val="%1."/>
      <w:numFmt w:val="lowerLetter"/>
      <w:start w:val="3"/>
    </w:lvl>
    <w:lvl w:ilvl="1">
      <w:lvlJc w:val="left"/>
      <w:lvlText w:val="%2."/>
      <w:numFmt w:val="lowerLetter"/>
      <w:start w:val="9"/>
    </w:lvl>
  </w:abstractNum>
  <w:abstractNum w:abstractNumId="46">
    <w:nsid w:val="6B94764"/>
    <w:multiLevelType w:val="hybridMultilevel"/>
    <w:lvl w:ilvl="0">
      <w:lvlJc w:val="left"/>
      <w:lvlText w:val="%1"/>
      <w:numFmt w:val="decimal"/>
      <w:start w:val="1"/>
    </w:lvl>
    <w:lvl w:ilvl="1">
      <w:lvlJc w:val="left"/>
      <w:lvlText w:val="%2."/>
      <w:numFmt w:val="lowerLetter"/>
      <w:start w:val="35"/>
    </w:lvl>
  </w:abstractNum>
  <w:abstractNum w:abstractNumId="47">
    <w:nsid w:val="42C296BD"/>
    <w:multiLevelType w:val="hybridMultilevel"/>
    <w:lvl w:ilvl="0">
      <w:lvlJc w:val="left"/>
      <w:lvlText w:val="%1."/>
      <w:numFmt w:val="decimal"/>
      <w:start w:val="7"/>
    </w:lvl>
    <w:lvl w:ilvl="1">
      <w:lvlJc w:val="left"/>
      <w:lvlText w:val="%2."/>
      <w:numFmt w:val="lowerLetter"/>
      <w:start w:val="1"/>
    </w:lvl>
  </w:abstractNum>
  <w:abstractNum w:abstractNumId="48">
    <w:nsid w:val="168E121F"/>
    <w:multiLevelType w:val="hybridMultilevel"/>
    <w:lvl w:ilvl="0">
      <w:lvlJc w:val="left"/>
      <w:lvlText w:val="%1."/>
      <w:numFmt w:val="lowerLetter"/>
      <w:start w:val="2"/>
    </w:lvl>
  </w:abstractNum>
  <w:abstractNum w:abstractNumId="49">
    <w:nsid w:val="1EBA5D23"/>
    <w:multiLevelType w:val="hybridMultilevel"/>
    <w:lvl w:ilvl="0">
      <w:lvlJc w:val="left"/>
      <w:lvlText w:val="(%1)"/>
      <w:numFmt w:val="lowerLetter"/>
      <w:start w:val="25"/>
    </w:lvl>
  </w:abstractNum>
  <w:abstractNum w:abstractNumId="50">
    <w:nsid w:val="661E3F1E"/>
    <w:multiLevelType w:val="hybridMultilevel"/>
    <w:lvl w:ilvl="0">
      <w:lvlJc w:val="left"/>
      <w:lvlText w:val="%1."/>
      <w:numFmt w:val="lowerLetter"/>
      <w:start w:val="3"/>
    </w:lvl>
  </w:abstractNum>
  <w:abstractNum w:abstractNumId="51">
    <w:nsid w:val="5DC79EA8"/>
    <w:multiLevelType w:val="hybridMultilevel"/>
    <w:lvl w:ilvl="0">
      <w:lvlJc w:val="left"/>
      <w:lvlText w:val="%1."/>
      <w:numFmt w:val="lowerLetter"/>
      <w:start w:val="4"/>
    </w:lvl>
  </w:abstractNum>
  <w:abstractNum w:abstractNumId="52">
    <w:nsid w:val="540A471C"/>
    <w:multiLevelType w:val="hybridMultilevel"/>
    <w:lvl w:ilvl="0">
      <w:lvlJc w:val="left"/>
      <w:lvlText w:val="%1."/>
      <w:numFmt w:val="lowerLetter"/>
      <w:start w:val="5"/>
    </w:lvl>
  </w:abstractNum>
  <w:abstractNum w:abstractNumId="53">
    <w:nsid w:val="7BD3EE7B"/>
    <w:multiLevelType w:val="hybridMultilevel"/>
    <w:lvl w:ilvl="0">
      <w:lvlJc w:val="left"/>
      <w:lvlText w:val="%1."/>
      <w:numFmt w:val="lowerLetter"/>
      <w:start w:val="6"/>
    </w:lvl>
  </w:abstractNum>
  <w:abstractNum w:abstractNumId="54">
    <w:nsid w:val="51D9C564"/>
    <w:multiLevelType w:val="hybridMultilevel"/>
    <w:lvl w:ilvl="0">
      <w:lvlJc w:val="left"/>
      <w:lvlText w:val="%1."/>
      <w:numFmt w:val="decimal"/>
      <w:start w:val="8"/>
    </w:lvl>
    <w:lvl w:ilvl="1">
      <w:lvlJc w:val="left"/>
      <w:lvlText w:val="%2."/>
      <w:numFmt w:val="lowerLetter"/>
      <w:start w:val="1"/>
    </w:lvl>
  </w:abstractNum>
  <w:abstractNum w:abstractNumId="55">
    <w:nsid w:val="613EFDC5"/>
    <w:multiLevelType w:val="hybridMultilevel"/>
    <w:lvl w:ilvl="0">
      <w:lvlJc w:val="left"/>
      <w:lvlText w:val="%1."/>
      <w:numFmt w:val="lowerLetter"/>
      <w:start w:val="3"/>
    </w:lvl>
  </w:abstractNum>
  <w:abstractNum w:abstractNumId="56">
    <w:nsid w:val="BF72B14"/>
    <w:multiLevelType w:val="hybridMultilevel"/>
    <w:lvl w:ilvl="0">
      <w:lvlJc w:val="left"/>
      <w:lvlText w:val="%1."/>
      <w:numFmt w:val="lowerLetter"/>
      <w:start w:val="6"/>
    </w:lvl>
  </w:abstractNum>
  <w:abstractNum w:abstractNumId="57">
    <w:nsid w:val="11447B73"/>
    <w:multiLevelType w:val="hybridMultilevel"/>
    <w:lvl w:ilvl="0">
      <w:lvlJc w:val="left"/>
      <w:lvlText w:val="%1"/>
      <w:numFmt w:val="decimal"/>
      <w:start w:val="1"/>
    </w:lvl>
    <w:lvl w:ilvl="1">
      <w:lvlJc w:val="left"/>
      <w:lvlText w:val="%2."/>
      <w:numFmt w:val="lowerLetter"/>
      <w:start w:val="7"/>
    </w:lvl>
  </w:abstractNum>
  <w:abstractNum w:abstractNumId="58">
    <w:nsid w:val="42963E5A"/>
    <w:multiLevelType w:val="hybridMultilevel"/>
    <w:lvl w:ilvl="0">
      <w:lvlJc w:val="left"/>
      <w:lvlText w:val="%1."/>
      <w:numFmt w:val="decimal"/>
      <w:start w:val="9"/>
    </w:lvl>
    <w:lvl w:ilvl="1">
      <w:lvlJc w:val="left"/>
      <w:lvlText w:val="%2."/>
      <w:numFmt w:val="lowerLetter"/>
      <w:start w:val="1"/>
    </w:lvl>
  </w:abstractNum>
  <w:abstractNum w:abstractNumId="59">
    <w:nsid w:val="A0382C5"/>
    <w:multiLevelType w:val="hybridMultilevel"/>
    <w:lvl w:ilvl="0">
      <w:lvlJc w:val="left"/>
      <w:lvlText w:val="%1."/>
      <w:numFmt w:val="lowerLetter"/>
      <w:start w:val="2"/>
    </w:lvl>
  </w:abstractNum>
  <w:abstractNum w:abstractNumId="60">
    <w:nsid w:val="8F2B15E"/>
    <w:multiLevelType w:val="hybridMultilevel"/>
    <w:lvl w:ilvl="0">
      <w:lvlJc w:val="left"/>
      <w:lvlText w:val="%1."/>
      <w:numFmt w:val="decimal"/>
      <w:start w:val="10"/>
    </w:lvl>
  </w:abstractNum>
  <w:abstractNum w:abstractNumId="61">
    <w:nsid w:val="1A32234B"/>
    <w:multiLevelType w:val="hybridMultilevel"/>
    <w:lvl w:ilvl="0">
      <w:lvlJc w:val="left"/>
      <w:lvlText w:val="%1."/>
      <w:numFmt w:val="decimal"/>
      <w:start w:val="11"/>
    </w:lvl>
  </w:abstractNum>
  <w:abstractNum w:abstractNumId="62">
    <w:nsid w:val="3B0FD379"/>
    <w:multiLevelType w:val="hybridMultilevel"/>
    <w:lvl w:ilvl="0">
      <w:lvlJc w:val="left"/>
      <w:lvlText w:val="%1."/>
      <w:numFmt w:val="decimal"/>
      <w:start w:val="12"/>
    </w:lvl>
  </w:abstractNum>
  <w:abstractNum w:abstractNumId="63">
    <w:nsid w:val="68EB2F63"/>
    <w:multiLevelType w:val="hybridMultilevel"/>
    <w:lvl w:ilvl="0">
      <w:lvlJc w:val="left"/>
      <w:lvlText w:val="%1."/>
      <w:numFmt w:val="decimal"/>
      <w:start w:val="13"/>
    </w:lvl>
  </w:abstractNum>
  <w:abstractNum w:abstractNumId="64">
    <w:nsid w:val="4962813B"/>
    <w:multiLevelType w:val="hybridMultilevel"/>
    <w:lvl w:ilvl="0">
      <w:lvlJc w:val="left"/>
      <w:lvlText w:val="%1."/>
      <w:numFmt w:val="decimal"/>
      <w:start w:val="14"/>
    </w:lvl>
  </w:abstractNum>
  <w:abstractNum w:abstractNumId="65">
    <w:nsid w:val="60B6DF70"/>
    <w:multiLevelType w:val="hybridMultilevel"/>
    <w:lvl w:ilvl="0">
      <w:lvlJc w:val="left"/>
      <w:lvlText w:val="%1."/>
      <w:numFmt w:val="decimal"/>
      <w:start w:val="15"/>
    </w:lvl>
    <w:lvl w:ilvl="1">
      <w:lvlJc w:val="left"/>
      <w:lvlText w:val="%2."/>
      <w:numFmt w:val="lowerLetter"/>
      <w:start w:val="1"/>
    </w:lvl>
  </w:abstractNum>
  <w:abstractNum w:abstractNumId="66">
    <w:nsid w:val="6A5EE64"/>
    <w:multiLevelType w:val="hybridMultilevel"/>
    <w:lvl w:ilvl="0">
      <w:lvlJc w:val="left"/>
      <w:lvlText w:val="%1."/>
      <w:numFmt w:val="lowerLetter"/>
      <w:start w:val="2"/>
    </w:lvl>
    <w:lvl w:ilvl="1">
      <w:lvlJc w:val="left"/>
      <w:lvlText w:val="(%2)"/>
      <w:numFmt w:val="lowerRoman"/>
      <w:start w:val="2"/>
    </w:lvl>
  </w:abstractNum>
  <w:abstractNum w:abstractNumId="67">
    <w:nsid w:val="14330624"/>
    <w:multiLevelType w:val="hybridMultilevel"/>
    <w:lvl w:ilvl="0">
      <w:lvlJc w:val="left"/>
      <w:lvlText w:val="%1"/>
      <w:numFmt w:val="lowerLetter"/>
      <w:start w:val="1"/>
    </w:lvl>
    <w:lvl w:ilvl="1">
      <w:lvlJc w:val="left"/>
      <w:lvlText w:val="%2."/>
      <w:numFmt w:val="decimal"/>
      <w:start w:val="17"/>
    </w:lvl>
  </w:abstractNum>
  <w:abstractNum w:abstractNumId="68">
    <w:nsid w:val="7FFFCA11"/>
    <w:multiLevelType w:val="hybridMultilevel"/>
    <w:lvl w:ilvl="0">
      <w:lvlJc w:val="left"/>
      <w:lvlText w:val="(%1)"/>
      <w:numFmt w:val="lowerLetter"/>
      <w:start w:val="2"/>
    </w:lvl>
    <w:lvl w:ilvl="1">
      <w:lvlJc w:val="left"/>
      <w:lvlText w:val="%2."/>
      <w:numFmt w:val="decimal"/>
      <w:start w:val="18"/>
    </w:lvl>
  </w:abstractNum>
  <w:abstractNum w:abstractNumId="69">
    <w:nsid w:val="1A27709E"/>
    <w:multiLevelType w:val="hybridMultilevel"/>
    <w:lvl w:ilvl="0">
      <w:lvlJc w:val="left"/>
      <w:lvlText w:val="%1."/>
      <w:numFmt w:val="decimal"/>
      <w:start w:val="20"/>
    </w:lvl>
  </w:abstractNum>
  <w:abstractNum w:abstractNumId="70">
    <w:nsid w:val="71EA1109"/>
    <w:multiLevelType w:val="hybridMultilevel"/>
    <w:lvl w:ilvl="0">
      <w:lvlJc w:val="left"/>
      <w:lvlText w:val="%1."/>
      <w:numFmt w:val="decimal"/>
      <w:start w:val="21"/>
    </w:lvl>
  </w:abstractNum>
  <w:abstractNum w:abstractNumId="71">
    <w:nsid w:val="100F59DC"/>
    <w:multiLevelType w:val="hybridMultilevel"/>
    <w:lvl w:ilvl="0">
      <w:lvlJc w:val="left"/>
      <w:lvlText w:val="%1."/>
      <w:numFmt w:val="decimal"/>
      <w:start w:val="22"/>
    </w:lvl>
  </w:abstractNum>
  <w:abstractNum w:abstractNumId="72">
    <w:nsid w:val="7FB7E0AA"/>
    <w:multiLevelType w:val="hybridMultilevel"/>
    <w:lvl w:ilvl="0">
      <w:lvlJc w:val="left"/>
      <w:lvlText w:val="%1."/>
      <w:numFmt w:val="decimal"/>
      <w:start w:val="27"/>
    </w:lvl>
  </w:abstractNum>
  <w:abstractNum w:abstractNumId="73">
    <w:nsid w:val="6EB5BD4"/>
    <w:multiLevelType w:val="hybridMultilevel"/>
    <w:lvl w:ilvl="0">
      <w:lvlJc w:val="left"/>
      <w:lvlText w:val="%1."/>
      <w:numFmt w:val="decimal"/>
      <w:start w:val="12"/>
    </w:lvl>
  </w:abstractNum>
  <w:abstractNum w:abstractNumId="74">
    <w:nsid w:val="6F6DD9AC"/>
    <w:multiLevelType w:val="hybridMultilevel"/>
    <w:lvl w:ilvl="0">
      <w:lvlJc w:val="left"/>
      <w:lvlText w:val="%1."/>
      <w:numFmt w:val="decimal"/>
      <w:start w:val="16"/>
    </w:lvl>
  </w:abstractNum>
  <w:abstractNum w:abstractNumId="75">
    <w:nsid w:val="94211F2"/>
    <w:multiLevelType w:val="hybridMultilevel"/>
    <w:lvl w:ilvl="0">
      <w:lvlJc w:val="left"/>
      <w:lvlText w:val="%1."/>
      <w:numFmt w:val="decimal"/>
      <w:start w:val="20"/>
    </w:lvl>
  </w:abstractNum>
  <w:abstractNum w:abstractNumId="76">
    <w:nsid w:val="885E1B"/>
    <w:multiLevelType w:val="hybridMultilevel"/>
    <w:lvl w:ilvl="0">
      <w:lvlJc w:val="left"/>
      <w:lvlText w:val="%1."/>
      <w:numFmt w:val="decimal"/>
      <w:start w:val="26"/>
    </w:lvl>
  </w:abstractNum>
  <w:abstractNum w:abstractNumId="77">
    <w:nsid w:val="76272110"/>
    <w:multiLevelType w:val="hybridMultilevel"/>
    <w:lvl w:ilvl="0">
      <w:lvlJc w:val="left"/>
      <w:lvlText w:val="%1."/>
      <w:numFmt w:val="upperLetter"/>
      <w:start w:val="1"/>
    </w:lvl>
  </w:abstractNum>
  <w:abstractNum w:abstractNumId="78">
    <w:nsid w:val="4C04A8AF"/>
    <w:multiLevelType w:val="hybridMultilevel"/>
    <w:lvl w:ilvl="0">
      <w:lvlJc w:val="left"/>
      <w:lvlText w:val="(%1)"/>
      <w:numFmt w:val="lowerRoman"/>
      <w:start w:val="2"/>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1."/>
      <w:numFmt w:val="upperLetter"/>
      <w:start w:val="3"/>
    </w:lvl>
    <w:lvl w:ilvl="1">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o"/>
      <w:numFmt w:val="bullet"/>
      <w:start w:val="1"/>
    </w:lvl>
  </w:abstractNum>
  <w:abstractNum w:abstractNumId="86">
    <w:nsid w:val="4A2AC315"/>
    <w:multiLevelType w:val="hybridMultilevel"/>
    <w:lvl w:ilvl="0">
      <w:lvlJc w:val="left"/>
      <w:lvlText w:val="o"/>
      <w:numFmt w:val="bullet"/>
      <w:start w:val="1"/>
    </w:lvl>
  </w:abstractNum>
  <w:abstractNum w:abstractNumId="87">
    <w:nsid w:val="39EE015C"/>
    <w:multiLevelType w:val="hybridMultilevel"/>
    <w:lvl w:ilvl="0">
      <w:lvlJc w:val="left"/>
      <w:lvlText w:val="o"/>
      <w:numFmt w:val="bullet"/>
      <w:start w:val="1"/>
    </w:lvl>
  </w:abstractNum>
  <w:abstractNum w:abstractNumId="88">
    <w:nsid w:val="57FC4FBB"/>
    <w:multiLevelType w:val="hybridMultilevel"/>
    <w:lvl w:ilvl="0">
      <w:lvlJc w:val="left"/>
      <w:lvlText w:val="o"/>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2"/>
    </w:lvl>
    <w:lvl w:ilvl="1">
      <w:lvlJc w:val="left"/>
      <w:lvlText w:val="(%2)"/>
      <w:numFmt w:val="lowerLetter"/>
      <w:start w:val="1"/>
    </w:lvl>
  </w:abstractNum>
  <w:abstractNum w:abstractNumId="91">
    <w:nsid w:val="60EF0119"/>
    <w:multiLevelType w:val="hybridMultilevel"/>
    <w:lvl w:ilvl="0">
      <w:lvlJc w:val="left"/>
      <w:lvlText w:val="%1."/>
      <w:numFmt w:val="decimal"/>
      <w:start w:val="2"/>
    </w:lvl>
    <w:lvl w:ilvl="1">
      <w:lvlJc w:val="left"/>
      <w:lvlText w:val="(%2)"/>
      <w:numFmt w:val="lowerLetter"/>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313" Type="http://schemas.openxmlformats.org/officeDocument/2006/relationships/image" Target="media/image253.png"/><Relationship Id="rId314" Type="http://schemas.openxmlformats.org/officeDocument/2006/relationships/image" Target="media/image254.png"/><Relationship Id="rId315" Type="http://schemas.openxmlformats.org/officeDocument/2006/relationships/image" Target="media/image255.png"/><Relationship Id="rId316" Type="http://schemas.openxmlformats.org/officeDocument/2006/relationships/image" Target="media/image256.png"/><Relationship Id="rId317" Type="http://schemas.openxmlformats.org/officeDocument/2006/relationships/image" Target="media/image257.png"/><Relationship Id="rId318" Type="http://schemas.openxmlformats.org/officeDocument/2006/relationships/image" Target="media/image258.png"/><Relationship Id="rId319" Type="http://schemas.openxmlformats.org/officeDocument/2006/relationships/image" Target="media/image259.png"/><Relationship Id="rId320" Type="http://schemas.openxmlformats.org/officeDocument/2006/relationships/image" Target="media/image260.png"/><Relationship Id="rId321" Type="http://schemas.openxmlformats.org/officeDocument/2006/relationships/image" Target="media/image261.png"/><Relationship Id="rId322" Type="http://schemas.openxmlformats.org/officeDocument/2006/relationships/image" Target="media/image262.png"/><Relationship Id="rId323" Type="http://schemas.openxmlformats.org/officeDocument/2006/relationships/image" Target="media/image263.png"/><Relationship Id="rId324" Type="http://schemas.openxmlformats.org/officeDocument/2006/relationships/image" Target="media/image264.png"/><Relationship Id="rId325" Type="http://schemas.openxmlformats.org/officeDocument/2006/relationships/image" Target="media/image265.png"/><Relationship Id="rId326" Type="http://schemas.openxmlformats.org/officeDocument/2006/relationships/image" Target="media/image266.png"/><Relationship Id="rId327" Type="http://schemas.openxmlformats.org/officeDocument/2006/relationships/image" Target="media/image267.png"/><Relationship Id="rId328" Type="http://schemas.openxmlformats.org/officeDocument/2006/relationships/image" Target="media/image268.png"/><Relationship Id="rId329" Type="http://schemas.openxmlformats.org/officeDocument/2006/relationships/image" Target="media/image269.png"/><Relationship Id="rId330" Type="http://schemas.openxmlformats.org/officeDocument/2006/relationships/image" Target="media/image270.png"/><Relationship Id="rId331" Type="http://schemas.openxmlformats.org/officeDocument/2006/relationships/image" Target="media/image271.png"/><Relationship Id="rId332" Type="http://schemas.openxmlformats.org/officeDocument/2006/relationships/image" Target="media/image272.png"/><Relationship Id="rId333" Type="http://schemas.openxmlformats.org/officeDocument/2006/relationships/image" Target="media/image273.png"/><Relationship Id="rId334" Type="http://schemas.openxmlformats.org/officeDocument/2006/relationships/image" Target="media/image274.png"/><Relationship Id="rId335" Type="http://schemas.openxmlformats.org/officeDocument/2006/relationships/image" Target="media/image275.png"/><Relationship Id="rId24" Type="http://schemas.openxmlformats.org/officeDocument/2006/relationships/hyperlink" Target="https://www.sec.gov/Archives/edgar/data/1527166/000152716624000019/cg-20231231.htm" TargetMode="External"/><Relationship Id="rId230" Type="http://schemas.openxmlformats.org/officeDocument/2006/relationships/hyperlink" Target="https://www.sec.gov/Archives/edgar/data/1527166/000152716623000068/cg202305318-kxexhibit31.htm" TargetMode="External"/><Relationship Id="rId231" Type="http://schemas.openxmlformats.org/officeDocument/2006/relationships/hyperlink" Target="https://www.sec.gov/Archives/edgar/data/1527166/000119312520000160/d854789dex33.htm" TargetMode="External"/><Relationship Id="rId232" Type="http://schemas.openxmlformats.org/officeDocument/2006/relationships/hyperlink" Target="https://www.sec.gov/Archives/edgar/data/1527166/000119312513132656/d503582dex41.htm" TargetMode="External"/><Relationship Id="rId233" Type="http://schemas.openxmlformats.org/officeDocument/2006/relationships/hyperlink" Target="https://www.sec.gov/Archives/edgar/data/1527166/000119312513132656/d503582dex42.htm" TargetMode="External"/><Relationship Id="rId234" Type="http://schemas.openxmlformats.org/officeDocument/2006/relationships/hyperlink" Target="https://www.sec.gov/Archives/edgar/data/1527166/000119312514091539/d690619dex41.htm" TargetMode="External"/><Relationship Id="rId235" Type="http://schemas.openxmlformats.org/officeDocument/2006/relationships/hyperlink" Target="https://www.sec.gov/Archives/edgar/data/1527166/000152716620000006/cg20191231exhibit49.htm" TargetMode="External"/><Relationship Id="rId236" Type="http://schemas.openxmlformats.org/officeDocument/2006/relationships/hyperlink" Target="https://www.sec.gov/Archives/edgar/data/1527166/000119312518274205/d604164dex41.htm" TargetMode="External"/><Relationship Id="rId237" Type="http://schemas.openxmlformats.org/officeDocument/2006/relationships/hyperlink" Target="https://www.sec.gov/Archives/edgar/data/1527166/000119312518274205/d604164dex42.htm" TargetMode="External"/><Relationship Id="rId238" Type="http://schemas.openxmlformats.org/officeDocument/2006/relationships/hyperlink" Target="https://www.sec.gov/Archives/edgar/data/1527166/000152716620000006/cg20191231exhibit412.htm" TargetMode="External"/><Relationship Id="rId239" Type="http://schemas.openxmlformats.org/officeDocument/2006/relationships/hyperlink" Target="https://www.sec.gov/Archives/edgar/data/1527166/000119312519249557/d807615dex41.htm" TargetMode="External"/><Relationship Id="rId240" Type="http://schemas.openxmlformats.org/officeDocument/2006/relationships/hyperlink" Target="https://www.sec.gov/Archives/edgar/data/1527166/000119312519249557/d807615dex42.htm" TargetMode="External"/><Relationship Id="rId241" Type="http://schemas.openxmlformats.org/officeDocument/2006/relationships/hyperlink" Target="https://www.sec.gov/Archives/edgar/data/1527166/000152716620000006/cg20191231exhibit417.htm" TargetMode="External"/><Relationship Id="rId242" Type="http://schemas.openxmlformats.org/officeDocument/2006/relationships/hyperlink" Target="https://www.sec.gov/Archives/edgar/data/1527166/000152716622000012/cg_20211231x10-kaxex414.htm" TargetMode="External"/><Relationship Id="rId243" Type="http://schemas.openxmlformats.org/officeDocument/2006/relationships/hyperlink" Target="https://www.sec.gov/Archives/edgar/data/1527166/000119312521157613/d896536dex41.htm" TargetMode="External"/><Relationship Id="rId244" Type="http://schemas.openxmlformats.org/officeDocument/2006/relationships/hyperlink" Target="https://www.sec.gov/Archives/edgar/data/1527166/000119312521157613/d896536dex42.htm" TargetMode="External"/><Relationship Id="rId245" Type="http://schemas.openxmlformats.org/officeDocument/2006/relationships/hyperlink" Target="https://www.sec.gov/Archives/edgar/data/1527166/000119312521185461/d146048dex43.htm" TargetMode="External"/><Relationship Id="rId246" Type="http://schemas.openxmlformats.org/officeDocument/2006/relationships/hyperlink" Target="https://www.sec.gov/Archives/edgar/data/1527166/000119312512218876/d348678dex102.htm" TargetMode="External"/><Relationship Id="rId247" Type="http://schemas.openxmlformats.org/officeDocument/2006/relationships/hyperlink" Target="https://www.sec.gov/Archives/edgar/data/1527166/000119312520000160/d854789dex992.htm" TargetMode="External"/><Relationship Id="rId248" Type="http://schemas.openxmlformats.org/officeDocument/2006/relationships/hyperlink" Target="https://www.sec.gov/Archives/edgar/data/1527166/000119312512218876/d348678dex107.htm" TargetMode="External"/><Relationship Id="rId249" Type="http://schemas.openxmlformats.org/officeDocument/2006/relationships/hyperlink" Target="https://www.sec.gov/Archives/edgar/data/1527166/000119312520000160/d854789dex993.htm" TargetMode="External"/><Relationship Id="rId250" Type="http://schemas.openxmlformats.org/officeDocument/2006/relationships/hyperlink" Target="https://www.sec.gov/Archives/edgar/data/1527166/000152716624000054/cg202405298-kxexhibit101.htm" TargetMode="External"/><Relationship Id="rId251" Type="http://schemas.openxmlformats.org/officeDocument/2006/relationships/hyperlink" Target="https://www.sec.gov/Archives/edgar/data/1527166/000095012312004786/w83442a4exv10w10.htm" TargetMode="External"/><Relationship Id="rId252" Type="http://schemas.openxmlformats.org/officeDocument/2006/relationships/hyperlink" Target="https://www.sec.gov/Archives/edgar/data/1527166/000095012312004786/w83442a4exv10w11.htm" TargetMode="External"/><Relationship Id="rId253" Type="http://schemas.openxmlformats.org/officeDocument/2006/relationships/hyperlink" Target="https://www.sec.gov/Archives/edgar/data/1527166/000095012312004786/w83442a4exv10w12.htm" TargetMode="External"/><Relationship Id="rId254" Type="http://schemas.openxmlformats.org/officeDocument/2006/relationships/hyperlink" Target="https://www.sec.gov/Archives/edgar/data/1527166/000119312520000160/d854789dex101.htm" TargetMode="External"/><Relationship Id="rId255" Type="http://schemas.openxmlformats.org/officeDocument/2006/relationships/hyperlink" Target="https://www.sec.gov/Archives/edgar/data/1527166/000119312520000160/d854789dex102.htm" TargetMode="External"/><Relationship Id="rId256" Type="http://schemas.openxmlformats.org/officeDocument/2006/relationships/hyperlink" Target="https://www.sec.gov/Archives/edgar/data/1527166/000119312520000160/d854789dex103.htm" TargetMode="External"/><Relationship Id="rId257" Type="http://schemas.openxmlformats.org/officeDocument/2006/relationships/hyperlink" Target="https://www.sec.gov/Archives/edgar/data/1527166/000095012312002453/w83442a3exv10w14.htm" TargetMode="External"/><Relationship Id="rId258" Type="http://schemas.openxmlformats.org/officeDocument/2006/relationships/hyperlink" Target="https://www.sec.gov/Archives/edgar/data/1527166/000152716618000022/cg2018630exhibit102.htm" TargetMode="External"/><Relationship Id="rId259" Type="http://schemas.openxmlformats.org/officeDocument/2006/relationships/hyperlink" Target="https://www.sec.gov/Archives/edgar/data/1527166/000095012312002453/w83442a3exv10w21.htm" TargetMode="External"/><Relationship Id="rId260" Type="http://schemas.openxmlformats.org/officeDocument/2006/relationships/hyperlink" Target="https://www.sec.gov/Archives/edgar/data/1527166/000095012312002453/w83442a3exv10w22.htm" TargetMode="External"/><Relationship Id="rId261" Type="http://schemas.openxmlformats.org/officeDocument/2006/relationships/hyperlink" Target="https://www.sec.gov/Archives/edgar/data/1527166/000152716619000008/cg20181221exhibit1022.htm" TargetMode="External"/><Relationship Id="rId262" Type="http://schemas.openxmlformats.org/officeDocument/2006/relationships/hyperlink" Target="https://www.sec.gov/Archives/edgar/data/1527166/000152716622000036/cg2022630exhibit1022.htm" TargetMode="External"/><Relationship Id="rId263" Type="http://schemas.openxmlformats.org/officeDocument/2006/relationships/hyperlink" Target="https://www.sec.gov/Archives/edgar/data/1527166/000152716624000079/cg20240930exhibit101.htm" TargetMode="External"/><Relationship Id="rId264" Type="http://schemas.openxmlformats.org/officeDocument/2006/relationships/hyperlink" Target="https://www.sec.gov/Archives/edgar/data/1527166/000152716620000006/cg20191231exhibit1023.htm" TargetMode="External"/><Relationship Id="rId265" Type="http://schemas.openxmlformats.org/officeDocument/2006/relationships/hyperlink" Target="https://www.sec.gov/Archives/edgar/data/1527166/000152716623000064/cg2023033110-qexhibit101.htm" TargetMode="External"/><Relationship Id="rId266" Type="http://schemas.openxmlformats.org/officeDocument/2006/relationships/hyperlink" Target="https://www.sec.gov/Archives/edgar/data/1527166/000119312512467734/d405157dex101.htm" TargetMode="External"/><Relationship Id="rId267" Type="http://schemas.openxmlformats.org/officeDocument/2006/relationships/hyperlink" Target="https://www.sec.gov/Archives/edgar/data/1527166/000152716622000025/cg2022331exhibit1021.htm" TargetMode="External"/><Relationship Id="rId268" Type="http://schemas.openxmlformats.org/officeDocument/2006/relationships/hyperlink" Target="https://www.sec.gov/Archives/edgar/data/1527166/000152716621000032/cg202133110-q_ex1032.htm" TargetMode="External"/><Relationship Id="rId269" Type="http://schemas.openxmlformats.org/officeDocument/2006/relationships/hyperlink" Target="https://www.sec.gov/Archives/edgar/data/1527166/000152716621000032/cg202133110-q_ex1033.htm" TargetMode="External"/><Relationship Id="rId270" Type="http://schemas.openxmlformats.org/officeDocument/2006/relationships/hyperlink" Target="https://www.sec.gov/Archives/edgar/data/1527166/000152716623000018/a20230213_forms-8xex43rsui.htm" TargetMode="External"/><Relationship Id="rId271" Type="http://schemas.openxmlformats.org/officeDocument/2006/relationships/hyperlink" Target="http://www.sec.gov/Archives/edgar/data/1527166/000152716623000018/a20230213_forms-8xex44psui.htm" TargetMode="External"/><Relationship Id="rId272" Type="http://schemas.openxmlformats.org/officeDocument/2006/relationships/hyperlink" Target="http://www.sec.gov/Archives/edgar/data/1527166/000152716623000018/a20230213_forms-8xex43rsui.htm" TargetMode="External"/><Relationship Id="rId273" Type="http://schemas.openxmlformats.org/officeDocument/2006/relationships/hyperlink" Target="https://www.sec.gov/Archives/edgar/data/1527166/000152716623000018/a20230213_forms-8xex44psui.htm" TargetMode="External"/><Relationship Id="rId274" Type="http://schemas.openxmlformats.org/officeDocument/2006/relationships/hyperlink" Target="https://www.sec.gov/Archives/edgar/data/1527166/000152716623000064/cg2023331exhibit104.htm" TargetMode="External"/><Relationship Id="rId275" Type="http://schemas.openxmlformats.org/officeDocument/2006/relationships/hyperlink" Target="https://www.sec.gov/Archives/edgar/data/1527166/000152716623000064/cg2023331exhibit105.htm" TargetMode="External"/><Relationship Id="rId276" Type="http://schemas.openxmlformats.org/officeDocument/2006/relationships/hyperlink" Target="https://www.sec.gov/Archives/edgar/data/1527166/000152716624000051/cg20240331exhibit101.htm" TargetMode="External"/><Relationship Id="rId277" Type="http://schemas.openxmlformats.org/officeDocument/2006/relationships/hyperlink" Target="https://www.sec.gov/Archives/edgar/data/1527166/000152716624000051/cg20240331exhibit102.htm" TargetMode="External"/><Relationship Id="rId278" Type="http://schemas.openxmlformats.org/officeDocument/2006/relationships/hyperlink" Target="https://www.sec.gov/Archives/edgar/data/1527166/000152716624000051/cg20240331exhibit103.htm" TargetMode="External"/><Relationship Id="rId279" Type="http://schemas.openxmlformats.org/officeDocument/2006/relationships/hyperlink" Target="https://www.sec.gov/Archives/edgar/data/1527166/000152716624000067/cg20240630exhibit102.htm" TargetMode="External"/><Relationship Id="rId280" Type="http://schemas.openxmlformats.org/officeDocument/2006/relationships/hyperlink" Target="https://www.sec.gov/Archives/edgar/data/1527166/000152716624000019/cg20231231ex1032formofrest.htm" TargetMode="External"/><Relationship Id="rId281" Type="http://schemas.openxmlformats.org/officeDocument/2006/relationships/hyperlink" Target="https://www.sec.gov/Archives/edgar/data/1527166/000152716624000019/cg20231231ex97doddxfrank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2025-02-27T17:07:02Z</dcterms:created>
  <dcterms:modified xsi:type="dcterms:W3CDTF">2025-02-27T17:07:02Z</dcterms:modified>
</cp:coreProperties>
</file>