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61096.xml.htm"/>
      <w:bookmarkStart w:id="1" w:name="kswkform4_17891610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Rubenstein David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Carlyle Group Inc.</w:t>
              </w:r>
            </w:hyperlink>
            <w:r>
              <w:rPr/>
              <w:t xml:space="preserve"> [ </w:t>
            </w:r>
            <w:r>
              <w:rPr>
                <w:rFonts w:ascii="Times;serif" w:hAnsi="Times;serif"/>
                <w:color w:val="0000FF"/>
                <w:sz w:val="24"/>
                <w:shd w:fill="FFFFFF" w:val="clear"/>
              </w:rPr>
              <w:t>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01"/>
        <w:gridCol w:w="432"/>
        <w:gridCol w:w="788"/>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27,299,644</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42.74</w:t>
            </w:r>
            <w:r>
              <w:rPr>
                <w:rFonts w:ascii="Times;serif" w:hAnsi="Times;serif"/>
                <w:color w:val="008000"/>
                <w:position w:val="7"/>
                <w:sz w:val="16"/>
                <w:sz w:val="20"/>
                <w:shd w:fill="FFFFFF" w:val="clear"/>
              </w:rPr>
              <w:t>(2)</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26,899,644</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charitable donation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securities were sold in multiple transactions at prices ranging from $42.74 to $42.93, inclusive. The Reporting Person undertakes to provide to The Carlyle Group Inc., any security holder of The Carlyle Group Inc. or the staff of the Securities and Exchange Commission, upon request, full information regarding the number of shares of common stock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David M. Rubenstein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3895" TargetMode="External"/><Relationship Id="rId5" Type="http://schemas.openxmlformats.org/officeDocument/2006/relationships/hyperlink" Target="http://www.sec.gov/cgi-bin/browse-edgar?action=getcompany&amp;CIK=00015271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3603</Characters>
  <CharactersWithSpaces>4194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