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-10795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66" w:orient="portrait"/>
          <w:cols w:equalWidth="0" w:num="2">
            <w:col w:w="2180" w:space="28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Carlyle Group Inc.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580"/>
        <w:spacing w:after="0" w:line="395" w:lineRule="auto"/>
        <w:rPr>
          <w:sz w:val="20"/>
          <w:szCs w:val="20"/>
          <w:color w:val="auto"/>
        </w:rPr>
      </w:pPr>
      <w:r>
        <w:rPr>
          <w:rFonts w:ascii="Arial" w:cs="Arial" w:eastAsia="Arial" w:hAnsi="Arial"/>
          <w:sz w:val="16"/>
          <w:szCs w:val="16"/>
          <w:color w:val="0000FF"/>
        </w:rPr>
        <w:t>C/O THE CARLYLE GROUP, 1001 PENNSYLVANIA AVE., N.W., SUITE 220</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WASHINGTON DC</w:t>
            </w:r>
          </w:p>
        </w:tc>
        <w:tc>
          <w:tcPr>
            <w:tcW w:w="1600" w:type="dxa"/>
            <w:vAlign w:val="bottom"/>
          </w:tcPr>
          <w:p>
            <w:pPr>
              <w:ind w:left="400"/>
              <w:spacing w:after="0"/>
              <w:rPr>
                <w:sz w:val="20"/>
                <w:szCs w:val="20"/>
                <w:color w:val="auto"/>
              </w:rPr>
            </w:pPr>
            <w:r>
              <w:rPr>
                <w:rFonts w:ascii="Arial" w:cs="Arial" w:eastAsia="Arial" w:hAnsi="Arial"/>
                <w:sz w:val="17"/>
                <w:szCs w:val="17"/>
                <w:color w:val="0000FF"/>
              </w:rPr>
              <w:t>20004-2505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Ortho Clinical Diagnostics Holdings plc </w:t>
              </w:r>
            </w:hyperlink>
            <w:r>
              <w:rPr>
                <w:rFonts w:ascii="Arial" w:cs="Arial" w:eastAsia="Arial" w:hAnsi="Arial"/>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3"/>
          </w:tcPr>
          <w:p>
            <w:pPr>
              <w:spacing w:after="0"/>
              <w:rPr>
                <w:sz w:val="3"/>
                <w:szCs w:val="3"/>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360" w:type="dxa"/>
            <w:vAlign w:val="bottom"/>
            <w:vMerge w:val="restart"/>
          </w:tcPr>
          <w:p>
            <w:pPr>
              <w:ind w:left="140"/>
              <w:spacing w:after="0" w:line="54" w:lineRule="exact"/>
              <w:rPr>
                <w:sz w:val="20"/>
                <w:szCs w:val="20"/>
                <w:color w:val="auto"/>
              </w:rPr>
            </w:pPr>
            <w:r>
              <w:rPr>
                <w:rFonts w:ascii="Arial" w:cs="Arial" w:eastAsia="Arial" w:hAnsi="Arial"/>
                <w:sz w:val="6"/>
                <w:szCs w:val="6"/>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OCDX </w:t>
              </w:r>
              <w:r>
                <w:rPr>
                  <w:rFonts w:ascii="Arial" w:cs="Arial" w:eastAsia="Arial" w:hAnsi="Arial"/>
                  <w:sz w:val="1"/>
                  <w:szCs w:val="1"/>
                  <w:color w:val="000000"/>
                </w:rPr>
                <w:t>]</w:t>
              </w:r>
            </w:hyperlink>
          </w:p>
        </w:tc>
        <w:tc>
          <w:tcPr>
            <w:tcW w:w="320" w:type="dxa"/>
            <w:vAlign w:val="bottom"/>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7"/>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3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700" w:type="dxa"/>
            <w:vAlign w:val="bottom"/>
          </w:tcPr>
          <w:p>
            <w:pPr>
              <w:ind w:left="600"/>
              <w:spacing w:after="0" w:line="101" w:lineRule="exact"/>
              <w:rPr>
                <w:sz w:val="20"/>
                <w:szCs w:val="20"/>
                <w:color w:val="auto"/>
              </w:rPr>
            </w:pPr>
            <w:r>
              <w:rPr>
                <w:rFonts w:ascii="Arial" w:cs="Arial" w:eastAsia="Arial" w:hAnsi="Arial"/>
                <w:sz w:val="11"/>
                <w:szCs w:val="11"/>
                <w:color w:val="auto"/>
              </w:rPr>
              <w:t>below)</w:t>
            </w:r>
          </w:p>
        </w:tc>
        <w:tc>
          <w:tcPr>
            <w:tcW w:w="360" w:type="dxa"/>
            <w:vAlign w:val="bottom"/>
          </w:tcPr>
          <w:p>
            <w:pPr>
              <w:spacing w:after="0"/>
              <w:rPr>
                <w:sz w:val="11"/>
                <w:szCs w:val="11"/>
                <w:color w:val="auto"/>
              </w:rPr>
            </w:pPr>
          </w:p>
        </w:tc>
        <w:tc>
          <w:tcPr>
            <w:tcW w:w="124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500" w:type="dxa"/>
            <w:vAlign w:val="bottom"/>
            <w:gridSpan w:val="3"/>
          </w:tcPr>
          <w:p>
            <w:pPr>
              <w:ind w:left="80"/>
              <w:spacing w:after="0"/>
              <w:rPr>
                <w:sz w:val="20"/>
                <w:szCs w:val="20"/>
                <w:color w:val="auto"/>
              </w:rPr>
            </w:pPr>
            <w:r>
              <w:rPr>
                <w:rFonts w:ascii="Arial" w:cs="Arial" w:eastAsia="Arial" w:hAnsi="Arial"/>
                <w:sz w:val="17"/>
                <w:szCs w:val="17"/>
                <w:color w:val="0000FF"/>
              </w:rPr>
              <w:t>05/27/2022</w:t>
            </w: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0"/>
          <w:szCs w:val="20"/>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21" w:lineRule="exact"/>
        <w:rPr>
          <w:sz w:val="20"/>
          <w:szCs w:val="20"/>
          <w:color w:val="auto"/>
        </w:rPr>
      </w:pPr>
    </w:p>
    <w:p>
      <w:pPr>
        <w:sectPr>
          <w:pgSz w:w="11900" w:h="16866"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ind w:left="1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4"/>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3"/>
                <w:szCs w:val="13"/>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3"/>
                <w:szCs w:val="13"/>
                <w:color w:val="auto"/>
              </w:rPr>
            </w:pP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5"/>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60" w:type="dxa"/>
            <w:vAlign w:val="bottom"/>
            <w:gridSpan w:val="5"/>
          </w:tcPr>
          <w:p>
            <w:pPr>
              <w:ind w:left="1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6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4"/>
                <w:szCs w:val="14"/>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102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5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0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0"/>
                <w:szCs w:val="10"/>
                <w:color w:val="auto"/>
              </w:rPr>
            </w:pPr>
          </w:p>
        </w:tc>
        <w:tc>
          <w:tcPr>
            <w:tcW w:w="660" w:type="dxa"/>
            <w:vAlign w:val="bottom"/>
            <w:gridSpan w:val="3"/>
            <w:vMerge w:val="restart"/>
          </w:tcPr>
          <w:p>
            <w:pPr>
              <w:jc w:val="right"/>
              <w:ind w:right="2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6"/>
                <w:szCs w:val="6"/>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3"/>
              </w:rPr>
              <w:t>Ordinary Shares, $0.00001 par value</w:t>
            </w:r>
          </w:p>
        </w:tc>
        <w:tc>
          <w:tcPr>
            <w:tcW w:w="1060" w:type="dxa"/>
            <w:vAlign w:val="bottom"/>
            <w:vMerge w:val="restart"/>
          </w:tcPr>
          <w:p>
            <w:pPr>
              <w:jc w:val="right"/>
              <w:spacing w:after="0"/>
              <w:rPr>
                <w:sz w:val="20"/>
                <w:szCs w:val="20"/>
                <w:color w:val="auto"/>
              </w:rPr>
            </w:pPr>
            <w:r>
              <w:rPr>
                <w:rFonts w:ascii="Arial" w:cs="Arial" w:eastAsia="Arial" w:hAnsi="Arial"/>
                <w:sz w:val="17"/>
                <w:szCs w:val="17"/>
                <w:color w:val="0000FF"/>
              </w:rPr>
              <w:t>05/27/2022</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vMerge w:val="restart"/>
          </w:tcPr>
          <w:p>
            <w:pPr>
              <w:ind w:left="180"/>
              <w:spacing w:after="0"/>
              <w:rPr>
                <w:sz w:val="20"/>
                <w:szCs w:val="20"/>
                <w:color w:val="auto"/>
              </w:rPr>
            </w:pPr>
            <w:r>
              <w:rPr>
                <w:rFonts w:ascii="Arial" w:cs="Arial" w:eastAsia="Arial" w:hAnsi="Arial"/>
                <w:sz w:val="13"/>
                <w:szCs w:val="13"/>
                <w:color w:val="0000FF"/>
              </w:rPr>
              <w:t>D</w:t>
            </w:r>
          </w:p>
        </w:tc>
        <w:tc>
          <w:tcPr>
            <w:tcW w:w="480" w:type="dxa"/>
            <w:vAlign w:val="bottom"/>
          </w:tcPr>
          <w:p>
            <w:pPr>
              <w:spacing w:after="0"/>
              <w:rPr>
                <w:sz w:val="22"/>
                <w:szCs w:val="22"/>
                <w:color w:val="auto"/>
              </w:rPr>
            </w:pPr>
          </w:p>
        </w:tc>
        <w:tc>
          <w:tcPr>
            <w:tcW w:w="1020" w:type="dxa"/>
            <w:vAlign w:val="bottom"/>
            <w:vMerge w:val="restart"/>
          </w:tcPr>
          <w:p>
            <w:pPr>
              <w:ind w:left="80"/>
              <w:spacing w:after="0"/>
              <w:rPr>
                <w:sz w:val="20"/>
                <w:szCs w:val="20"/>
                <w:color w:val="auto"/>
              </w:rPr>
            </w:pPr>
            <w:r>
              <w:rPr>
                <w:rFonts w:ascii="Arial" w:cs="Arial" w:eastAsia="Arial" w:hAnsi="Arial"/>
                <w:sz w:val="17"/>
                <w:szCs w:val="17"/>
                <w:color w:val="0000FF"/>
                <w:w w:val="97"/>
              </w:rPr>
              <w:t>118,106,000</w:t>
            </w:r>
          </w:p>
        </w:tc>
        <w:tc>
          <w:tcPr>
            <w:tcW w:w="42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580" w:type="dxa"/>
            <w:vAlign w:val="bottom"/>
            <w:vMerge w:val="restart"/>
          </w:tcPr>
          <w:p>
            <w:pPr>
              <w:jc w:val="right"/>
              <w:ind w:right="141"/>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vMerge w:val="restart"/>
          </w:tcPr>
          <w:p>
            <w:pPr>
              <w:ind w:left="480"/>
              <w:spacing w:after="0"/>
              <w:rPr>
                <w:sz w:val="20"/>
                <w:szCs w:val="20"/>
                <w:color w:val="auto"/>
              </w:rPr>
            </w:pPr>
            <w:r>
              <w:rPr>
                <w:rFonts w:ascii="Arial" w:cs="Arial" w:eastAsia="Arial" w:hAnsi="Arial"/>
                <w:sz w:val="17"/>
                <w:szCs w:val="17"/>
                <w:color w:val="0000FF"/>
              </w:rPr>
              <w:t>0</w:t>
            </w:r>
          </w:p>
        </w:tc>
        <w:tc>
          <w:tcPr>
            <w:tcW w:w="420" w:type="dxa"/>
            <w:vAlign w:val="bottom"/>
          </w:tcPr>
          <w:p>
            <w:pPr>
              <w:spacing w:after="0"/>
              <w:rPr>
                <w:sz w:val="22"/>
                <w:szCs w:val="22"/>
                <w:color w:val="auto"/>
              </w:rPr>
            </w:pPr>
          </w:p>
        </w:tc>
        <w:tc>
          <w:tcPr>
            <w:tcW w:w="5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40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00" w:type="dxa"/>
            <w:vAlign w:val="bottom"/>
            <w:gridSpan w:val="6"/>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60" w:type="dxa"/>
            <w:vAlign w:val="bottom"/>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20" w:type="dxa"/>
            <w:vAlign w:val="bottom"/>
            <w:gridSpan w:val="13"/>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5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Carlyle Group Inc.</w:t>
              </w:r>
            </w:hyperlink>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0000FF"/>
                <w:w w:val="97"/>
              </w:rPr>
              <w:t>C/O THE CARLYLE GROUP, 1001</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PENNSYLVANIA AVE., N.W., SUITE 220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WASHINGTON</w:t>
            </w:r>
          </w:p>
        </w:tc>
        <w:tc>
          <w:tcPr>
            <w:tcW w:w="1220" w:type="dxa"/>
            <w:vAlign w:val="bottom"/>
            <w:gridSpan w:val="3"/>
          </w:tcPr>
          <w:p>
            <w:pPr>
              <w:ind w:left="20"/>
              <w:spacing w:after="0"/>
              <w:rPr>
                <w:sz w:val="20"/>
                <w:szCs w:val="20"/>
                <w:color w:val="auto"/>
              </w:rPr>
            </w:pPr>
            <w:r>
              <w:rPr>
                <w:rFonts w:ascii="Arial" w:cs="Arial" w:eastAsia="Arial" w:hAnsi="Arial"/>
                <w:sz w:val="17"/>
                <w:szCs w:val="17"/>
                <w:color w:val="0000FF"/>
              </w:rPr>
              <w:t>DC</w:t>
            </w:r>
          </w:p>
        </w:tc>
        <w:tc>
          <w:tcPr>
            <w:tcW w:w="1060" w:type="dxa"/>
            <w:vAlign w:val="bottom"/>
          </w:tcPr>
          <w:p>
            <w:pPr>
              <w:jc w:val="right"/>
              <w:spacing w:after="0"/>
              <w:rPr>
                <w:sz w:val="20"/>
                <w:szCs w:val="20"/>
                <w:color w:val="auto"/>
              </w:rPr>
            </w:pPr>
            <w:r>
              <w:rPr>
                <w:rFonts w:ascii="Arial" w:cs="Arial" w:eastAsia="Arial" w:hAnsi="Arial"/>
                <w:sz w:val="17"/>
                <w:szCs w:val="17"/>
                <w:color w:val="0000FF"/>
              </w:rPr>
              <w:t>20004-2505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5"/>
          </w:tcPr>
          <w:p>
            <w:pPr>
              <w:spacing w:after="0" w:line="221" w:lineRule="exact"/>
              <w:rPr>
                <w:rFonts w:ascii="Arial" w:cs="Arial" w:eastAsia="Arial" w:hAnsi="Arial"/>
                <w:sz w:val="21"/>
                <w:szCs w:val="21"/>
                <w:color w:val="0000EE"/>
                <w:w w:val="96"/>
              </w:rPr>
            </w:pPr>
            <w:hyperlink r:id="rId14">
              <w:r>
                <w:rPr>
                  <w:rFonts w:ascii="Arial" w:cs="Arial" w:eastAsia="Arial" w:hAnsi="Arial"/>
                  <w:sz w:val="21"/>
                  <w:szCs w:val="21"/>
                  <w:color w:val="0000EE"/>
                  <w:w w:val="96"/>
                </w:rPr>
                <w:t>Carlyle Holdings II GP L.L.C.</w:t>
              </w:r>
            </w:hyperlink>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0000FF"/>
              </w:rPr>
              <w:t>C/O THE CARLYLE GROUP</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1001 PENNSYLVANIA AVE. NW, SUITE 220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WASHINGTON</w:t>
            </w:r>
          </w:p>
        </w:tc>
        <w:tc>
          <w:tcPr>
            <w:tcW w:w="1220" w:type="dxa"/>
            <w:vAlign w:val="bottom"/>
            <w:gridSpan w:val="3"/>
          </w:tcPr>
          <w:p>
            <w:pPr>
              <w:ind w:left="20"/>
              <w:spacing w:after="0"/>
              <w:rPr>
                <w:sz w:val="20"/>
                <w:szCs w:val="20"/>
                <w:color w:val="auto"/>
              </w:rPr>
            </w:pPr>
            <w:r>
              <w:rPr>
                <w:rFonts w:ascii="Arial" w:cs="Arial" w:eastAsia="Arial" w:hAnsi="Arial"/>
                <w:sz w:val="17"/>
                <w:szCs w:val="17"/>
                <w:color w:val="0000FF"/>
              </w:rPr>
              <w:t>DC</w:t>
            </w:r>
          </w:p>
        </w:tc>
        <w:tc>
          <w:tcPr>
            <w:tcW w:w="1060" w:type="dxa"/>
            <w:vAlign w:val="bottom"/>
          </w:tcPr>
          <w:p>
            <w:pPr>
              <w:jc w:val="right"/>
              <w:spacing w:after="0"/>
              <w:rPr>
                <w:sz w:val="20"/>
                <w:szCs w:val="20"/>
                <w:color w:val="auto"/>
              </w:rPr>
            </w:pPr>
            <w:r>
              <w:rPr>
                <w:rFonts w:ascii="Arial" w:cs="Arial" w:eastAsia="Arial" w:hAnsi="Arial"/>
                <w:sz w:val="17"/>
                <w:szCs w:val="17"/>
                <w:color w:val="0000FF"/>
              </w:rPr>
              <w:t>20004-2505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5"/>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Carlyle Holdings II L.L.C.</w:t>
              </w:r>
            </w:hyperlink>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-6019800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66"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C/O THE CARLYLE GROUP</w:t>
      </w:r>
    </w:p>
    <w:p>
      <w:pPr>
        <w:sectPr>
          <w:pgSz w:w="11900" w:h="16866"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t>1001 PENNSYLVANIA AVE. NW, SUITE 220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480" w:type="dxa"/>
            <w:vAlign w:val="bottom"/>
            <w:gridSpan w:val="2"/>
          </w:tcPr>
          <w:p>
            <w:pPr>
              <w:ind w:left="120"/>
              <w:spacing w:after="0"/>
              <w:rPr>
                <w:sz w:val="20"/>
                <w:szCs w:val="20"/>
                <w:color w:val="auto"/>
              </w:rPr>
            </w:pPr>
            <w:r>
              <w:rPr>
                <w:rFonts w:ascii="Arial" w:cs="Arial" w:eastAsia="Arial" w:hAnsi="Arial"/>
                <w:sz w:val="17"/>
                <w:szCs w:val="17"/>
                <w:color w:val="0000FF"/>
              </w:rPr>
              <w:t>DC</w:t>
            </w:r>
          </w:p>
        </w:tc>
        <w:tc>
          <w:tcPr>
            <w:tcW w:w="1400" w:type="dxa"/>
            <w:vAlign w:val="bottom"/>
          </w:tcPr>
          <w:p>
            <w:pPr>
              <w:ind w:left="40"/>
              <w:spacing w:after="0"/>
              <w:rPr>
                <w:sz w:val="20"/>
                <w:szCs w:val="20"/>
                <w:color w:val="auto"/>
              </w:rPr>
            </w:pPr>
            <w:r>
              <w:rPr>
                <w:rFonts w:ascii="Arial" w:cs="Arial" w:eastAsia="Arial" w:hAnsi="Arial"/>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60" w:type="dxa"/>
            <w:vAlign w:val="bottom"/>
            <w:gridSpan w:val="3"/>
          </w:tcPr>
          <w:p>
            <w:pPr>
              <w:spacing w:after="0" w:line="221" w:lineRule="exact"/>
              <w:rPr>
                <w:rFonts w:ascii="Arial" w:cs="Arial" w:eastAsia="Arial" w:hAnsi="Arial"/>
                <w:sz w:val="21"/>
                <w:szCs w:val="21"/>
                <w:color w:val="0000EE"/>
                <w:w w:val="96"/>
              </w:rPr>
            </w:pPr>
            <w:hyperlink r:id="rId18">
              <w:r>
                <w:rPr>
                  <w:rFonts w:ascii="Arial" w:cs="Arial" w:eastAsia="Arial" w:hAnsi="Arial"/>
                  <w:sz w:val="21"/>
                  <w:szCs w:val="21"/>
                  <w:color w:val="0000EE"/>
                  <w:w w:val="96"/>
                </w:rPr>
                <w:t>CG Subsidiary Holdings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7"/>
                <w:szCs w:val="17"/>
                <w:color w:val="0000FF"/>
              </w:rPr>
              <w:t>C/O THE CARLYLE GROUP, 1001</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5"/>
          </w:tcPr>
          <w:p>
            <w:pPr>
              <w:spacing w:after="0"/>
              <w:rPr>
                <w:sz w:val="20"/>
                <w:szCs w:val="20"/>
                <w:color w:val="auto"/>
              </w:rPr>
            </w:pPr>
            <w:r>
              <w:rPr>
                <w:rFonts w:ascii="Arial" w:cs="Arial" w:eastAsia="Arial" w:hAnsi="Arial"/>
                <w:sz w:val="17"/>
                <w:szCs w:val="17"/>
                <w:color w:val="0000FF"/>
              </w:rPr>
              <w:t>PENNSYLVANIA AVE. N.W., SUITE 220</w:t>
            </w: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480" w:type="dxa"/>
            <w:vAlign w:val="bottom"/>
            <w:gridSpan w:val="2"/>
          </w:tcPr>
          <w:p>
            <w:pPr>
              <w:ind w:left="120"/>
              <w:spacing w:after="0"/>
              <w:rPr>
                <w:sz w:val="20"/>
                <w:szCs w:val="20"/>
                <w:color w:val="auto"/>
              </w:rPr>
            </w:pPr>
            <w:r>
              <w:rPr>
                <w:rFonts w:ascii="Arial" w:cs="Arial" w:eastAsia="Arial" w:hAnsi="Arial"/>
                <w:sz w:val="17"/>
                <w:szCs w:val="17"/>
                <w:color w:val="0000FF"/>
              </w:rPr>
              <w:t>DC</w:t>
            </w:r>
          </w:p>
        </w:tc>
        <w:tc>
          <w:tcPr>
            <w:tcW w:w="1400" w:type="dxa"/>
            <w:vAlign w:val="bottom"/>
          </w:tcPr>
          <w:p>
            <w:pPr>
              <w:ind w:left="40"/>
              <w:spacing w:after="0"/>
              <w:rPr>
                <w:sz w:val="20"/>
                <w:szCs w:val="20"/>
                <w:color w:val="auto"/>
              </w:rPr>
            </w:pPr>
            <w:r>
              <w:rPr>
                <w:rFonts w:ascii="Arial" w:cs="Arial" w:eastAsia="Arial" w:hAnsi="Arial"/>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TC Group Cayman Investment Holdings, L.P.</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180" w:type="dxa"/>
            <w:vAlign w:val="bottom"/>
          </w:tcPr>
          <w:p>
            <w:pPr>
              <w:ind w:left="120"/>
              <w:spacing w:after="0"/>
              <w:rPr>
                <w:sz w:val="20"/>
                <w:szCs w:val="20"/>
                <w:color w:val="auto"/>
              </w:rPr>
            </w:pPr>
            <w:r>
              <w:rPr>
                <w:rFonts w:ascii="Arial" w:cs="Arial" w:eastAsia="Arial" w:hAnsi="Arial"/>
                <w:sz w:val="13"/>
                <w:szCs w:val="13"/>
                <w:color w:val="auto"/>
              </w:rPr>
              <w:t>(First)</w:t>
            </w:r>
          </w:p>
        </w:tc>
        <w:tc>
          <w:tcPr>
            <w:tcW w:w="1700" w:type="dxa"/>
            <w:vAlign w:val="bottom"/>
          </w:tcPr>
          <w:p>
            <w:pPr>
              <w:ind w:left="34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17"/>
                <w:szCs w:val="17"/>
                <w:color w:val="0000FF"/>
              </w:rPr>
              <w:t>C/O THE CARLYLE GROUP</w:t>
            </w:r>
          </w:p>
        </w:tc>
        <w:tc>
          <w:tcPr>
            <w:tcW w:w="17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1001 PENNSYLVANIA AVE. NW, SUITE 220</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267"/>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180" w:type="dxa"/>
            <w:vAlign w:val="bottom"/>
          </w:tcPr>
          <w:p>
            <w:pPr>
              <w:ind w:left="120"/>
              <w:spacing w:after="0"/>
              <w:rPr>
                <w:sz w:val="20"/>
                <w:szCs w:val="20"/>
                <w:color w:val="auto"/>
              </w:rPr>
            </w:pPr>
            <w:r>
              <w:rPr>
                <w:rFonts w:ascii="Arial" w:cs="Arial" w:eastAsia="Arial" w:hAnsi="Arial"/>
                <w:sz w:val="17"/>
                <w:szCs w:val="17"/>
                <w:color w:val="0000FF"/>
              </w:rPr>
              <w:t>DC</w:t>
            </w:r>
          </w:p>
        </w:tc>
        <w:tc>
          <w:tcPr>
            <w:tcW w:w="1700" w:type="dxa"/>
            <w:vAlign w:val="bottom"/>
          </w:tcPr>
          <w:p>
            <w:pPr>
              <w:ind w:left="340"/>
              <w:spacing w:after="0"/>
              <w:rPr>
                <w:sz w:val="20"/>
                <w:szCs w:val="20"/>
                <w:color w:val="auto"/>
              </w:rPr>
            </w:pPr>
            <w:r>
              <w:rPr>
                <w:rFonts w:ascii="Arial" w:cs="Arial" w:eastAsia="Arial" w:hAnsi="Arial"/>
                <w:sz w:val="17"/>
                <w:szCs w:val="17"/>
                <w:color w:val="0000FF"/>
              </w:rPr>
              <w:t>20004-2505</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120"/>
              <w:spacing w:after="0"/>
              <w:rPr>
                <w:sz w:val="20"/>
                <w:szCs w:val="20"/>
                <w:color w:val="auto"/>
              </w:rPr>
            </w:pPr>
            <w:r>
              <w:rPr>
                <w:rFonts w:ascii="Arial" w:cs="Arial" w:eastAsia="Arial" w:hAnsi="Arial"/>
                <w:sz w:val="13"/>
                <w:szCs w:val="13"/>
                <w:color w:val="auto"/>
              </w:rPr>
              <w:t>(State)</w:t>
            </w:r>
          </w:p>
        </w:tc>
        <w:tc>
          <w:tcPr>
            <w:tcW w:w="1700" w:type="dxa"/>
            <w:vAlign w:val="bottom"/>
          </w:tcPr>
          <w:p>
            <w:pPr>
              <w:ind w:left="3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TC Group Cayman Investment Holdings Sub</w:t>
        </w:r>
      </w:hyperlink>
    </w:p>
    <w:p>
      <w:pPr>
        <w:ind w:left="100"/>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L.P.</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Arial" w:cs="Arial" w:eastAsia="Arial" w:hAnsi="Arial"/>
                <w:sz w:val="17"/>
                <w:szCs w:val="17"/>
                <w:color w:val="0000FF"/>
              </w:rPr>
              <w:t>C/O THE CARLYLE GROUP</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6"/>
          </w:tcPr>
          <w:p>
            <w:pPr>
              <w:spacing w:after="0"/>
              <w:rPr>
                <w:sz w:val="20"/>
                <w:szCs w:val="20"/>
                <w:color w:val="auto"/>
              </w:rPr>
            </w:pPr>
            <w:r>
              <w:rPr>
                <w:rFonts w:ascii="Arial" w:cs="Arial" w:eastAsia="Arial" w:hAnsi="Arial"/>
                <w:sz w:val="17"/>
                <w:szCs w:val="17"/>
                <w:color w:val="0000FF"/>
              </w:rPr>
              <w:t>1001 PENNSYLVANIA AVE. NW, SUITE 220</w:t>
            </w: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420" w:type="dxa"/>
            <w:vAlign w:val="bottom"/>
            <w:gridSpan w:val="3"/>
          </w:tcPr>
          <w:p>
            <w:pPr>
              <w:ind w:left="120"/>
              <w:spacing w:after="0"/>
              <w:rPr>
                <w:sz w:val="20"/>
                <w:szCs w:val="20"/>
                <w:color w:val="auto"/>
              </w:rPr>
            </w:pPr>
            <w:r>
              <w:rPr>
                <w:rFonts w:ascii="Arial" w:cs="Arial" w:eastAsia="Arial" w:hAnsi="Arial"/>
                <w:sz w:val="17"/>
                <w:szCs w:val="17"/>
                <w:color w:val="0000FF"/>
              </w:rPr>
              <w:t>DC</w:t>
            </w:r>
          </w:p>
        </w:tc>
        <w:tc>
          <w:tcPr>
            <w:tcW w:w="1460" w:type="dxa"/>
            <w:vAlign w:val="bottom"/>
          </w:tcPr>
          <w:p>
            <w:pPr>
              <w:ind w:left="100"/>
              <w:spacing w:after="0"/>
              <w:rPr>
                <w:sz w:val="20"/>
                <w:szCs w:val="20"/>
                <w:color w:val="auto"/>
              </w:rPr>
            </w:pPr>
            <w:r>
              <w:rPr>
                <w:rFonts w:ascii="Arial" w:cs="Arial" w:eastAsia="Arial" w:hAnsi="Arial"/>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4"/>
          </w:tcPr>
          <w:p>
            <w:pPr>
              <w:spacing w:after="0" w:line="221" w:lineRule="exact"/>
              <w:rPr>
                <w:rFonts w:ascii="Arial" w:cs="Arial" w:eastAsia="Arial" w:hAnsi="Arial"/>
                <w:sz w:val="21"/>
                <w:szCs w:val="21"/>
                <w:color w:val="0000EE"/>
                <w:w w:val="99"/>
              </w:rPr>
            </w:pPr>
            <w:hyperlink r:id="rId21">
              <w:r>
                <w:rPr>
                  <w:rFonts w:ascii="Arial" w:cs="Arial" w:eastAsia="Arial" w:hAnsi="Arial"/>
                  <w:sz w:val="21"/>
                  <w:szCs w:val="21"/>
                  <w:color w:val="0000EE"/>
                  <w:w w:val="99"/>
                </w:rPr>
                <w:t>TC Group VI Cayman,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Arial" w:cs="Arial" w:eastAsia="Arial" w:hAnsi="Arial"/>
                <w:sz w:val="17"/>
                <w:szCs w:val="17"/>
                <w:color w:val="0000FF"/>
              </w:rPr>
              <w:t>C/O THE CARLYLE GROUP</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6"/>
          </w:tcPr>
          <w:p>
            <w:pPr>
              <w:spacing w:after="0"/>
              <w:rPr>
                <w:sz w:val="20"/>
                <w:szCs w:val="20"/>
                <w:color w:val="auto"/>
              </w:rPr>
            </w:pPr>
            <w:r>
              <w:rPr>
                <w:rFonts w:ascii="Arial" w:cs="Arial" w:eastAsia="Arial" w:hAnsi="Arial"/>
                <w:sz w:val="17"/>
                <w:szCs w:val="17"/>
                <w:color w:val="0000FF"/>
              </w:rPr>
              <w:t>1001 PENNSYLVANIA AVE. NW, SUITE 220</w:t>
            </w: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420" w:type="dxa"/>
            <w:vAlign w:val="bottom"/>
            <w:gridSpan w:val="3"/>
          </w:tcPr>
          <w:p>
            <w:pPr>
              <w:ind w:left="120"/>
              <w:spacing w:after="0"/>
              <w:rPr>
                <w:sz w:val="20"/>
                <w:szCs w:val="20"/>
                <w:color w:val="auto"/>
              </w:rPr>
            </w:pPr>
            <w:r>
              <w:rPr>
                <w:rFonts w:ascii="Arial" w:cs="Arial" w:eastAsia="Arial" w:hAnsi="Arial"/>
                <w:sz w:val="17"/>
                <w:szCs w:val="17"/>
                <w:color w:val="0000FF"/>
              </w:rPr>
              <w:t>DC</w:t>
            </w:r>
          </w:p>
        </w:tc>
        <w:tc>
          <w:tcPr>
            <w:tcW w:w="1460" w:type="dxa"/>
            <w:vAlign w:val="bottom"/>
          </w:tcPr>
          <w:p>
            <w:pPr>
              <w:ind w:left="100"/>
              <w:spacing w:after="0"/>
              <w:rPr>
                <w:sz w:val="20"/>
                <w:szCs w:val="20"/>
                <w:color w:val="auto"/>
              </w:rPr>
            </w:pPr>
            <w:r>
              <w:rPr>
                <w:rFonts w:ascii="Arial" w:cs="Arial" w:eastAsia="Arial" w:hAnsi="Arial"/>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4"/>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TC Group VI Cayman,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THE CARLYLE GROUP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1001 PENNSYLVANIA AVE. NW, SUITE 220</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020" w:type="dxa"/>
            <w:vAlign w:val="bottom"/>
          </w:tcPr>
          <w:p>
            <w:pPr>
              <w:ind w:left="120"/>
              <w:spacing w:after="0"/>
              <w:rPr>
                <w:sz w:val="20"/>
                <w:szCs w:val="20"/>
                <w:color w:val="auto"/>
              </w:rPr>
            </w:pPr>
            <w:r>
              <w:rPr>
                <w:rFonts w:ascii="Arial" w:cs="Arial" w:eastAsia="Arial" w:hAnsi="Arial"/>
                <w:sz w:val="17"/>
                <w:szCs w:val="17"/>
                <w:color w:val="0000FF"/>
              </w:rPr>
              <w:t>DC</w:t>
            </w:r>
          </w:p>
        </w:tc>
        <w:tc>
          <w:tcPr>
            <w:tcW w:w="1860" w:type="dxa"/>
            <w:vAlign w:val="bottom"/>
          </w:tcPr>
          <w:p>
            <w:pPr>
              <w:ind w:left="500"/>
              <w:spacing w:after="0"/>
              <w:rPr>
                <w:sz w:val="20"/>
                <w:szCs w:val="20"/>
                <w:color w:val="auto"/>
              </w:rPr>
            </w:pPr>
            <w:r>
              <w:rPr>
                <w:rFonts w:ascii="Arial" w:cs="Arial" w:eastAsia="Arial" w:hAnsi="Arial"/>
                <w:sz w:val="17"/>
                <w:szCs w:val="17"/>
                <w:color w:val="0000FF"/>
              </w:rPr>
              <w:t>20004-2505</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9979"/>
          </w:cols>
          <w:pgMar w:left="480" w:top="171" w:right="1440" w:bottom="0" w:gutter="0" w:footer="0" w:header="0"/>
        </w:sectPr>
      </w:pPr>
    </w:p>
    <w:p>
      <w:pPr>
        <w:ind w:left="100"/>
        <w:spacing w:after="0"/>
        <w:rPr>
          <w:rFonts w:ascii="Arial" w:cs="Arial" w:eastAsia="Arial" w:hAnsi="Arial"/>
          <w:sz w:val="19"/>
          <w:szCs w:val="19"/>
          <w:u w:val="single" w:color="auto"/>
          <w:color w:val="0000EE"/>
        </w:rPr>
      </w:pPr>
      <w:hyperlink r:id="rId23">
        <w:r>
          <w:rPr>
            <w:rFonts w:ascii="Arial" w:cs="Arial" w:eastAsia="Arial" w:hAnsi="Arial"/>
            <w:sz w:val="19"/>
            <w:szCs w:val="19"/>
            <w:u w:val="single" w:color="auto"/>
            <w:color w:val="0000EE"/>
          </w:rPr>
          <w:t>Carlyle Partners VI Cayman Holdings, L.P.</w:t>
        </w:r>
      </w:hyperlink>
    </w:p>
    <w:p>
      <w:pPr>
        <w:sectPr>
          <w:pgSz w:w="11900" w:h="16838" w:orient="portrait"/>
          <w:cols w:equalWidth="0" w:num="1">
            <w:col w:w="9979"/>
          </w:cols>
          <w:pgMar w:left="480" w:top="171" w:right="1440" w:bottom="0" w:gutter="0" w:footer="0" w:header="0"/>
          <w:type w:val="continuous"/>
        </w:sectPr>
      </w:pPr>
    </w:p>
    <w:bookmarkStart w:id="2" w:name="page3"/>
    <w:bookmarkEnd w:id="2"/>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180" w:type="dxa"/>
            <w:vAlign w:val="bottom"/>
          </w:tcPr>
          <w:p>
            <w:pPr>
              <w:ind w:left="120"/>
              <w:spacing w:after="0"/>
              <w:rPr>
                <w:sz w:val="20"/>
                <w:szCs w:val="20"/>
                <w:color w:val="auto"/>
              </w:rPr>
            </w:pPr>
            <w:r>
              <w:rPr>
                <w:rFonts w:ascii="Arial" w:cs="Arial" w:eastAsia="Arial" w:hAnsi="Arial"/>
                <w:sz w:val="13"/>
                <w:szCs w:val="13"/>
                <w:color w:val="auto"/>
              </w:rPr>
              <w:t>(First)</w:t>
            </w:r>
          </w:p>
        </w:tc>
        <w:tc>
          <w:tcPr>
            <w:tcW w:w="1700" w:type="dxa"/>
            <w:vAlign w:val="bottom"/>
          </w:tcPr>
          <w:p>
            <w:pPr>
              <w:ind w:left="34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17"/>
                <w:szCs w:val="17"/>
                <w:color w:val="0000FF"/>
              </w:rPr>
              <w:t>C/O THE CARLYLE GROUP</w:t>
            </w:r>
          </w:p>
        </w:tc>
        <w:tc>
          <w:tcPr>
            <w:tcW w:w="17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1001 PENNSYLVANIA AVE. NW, SUITE 220</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267"/>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180" w:type="dxa"/>
            <w:vAlign w:val="bottom"/>
          </w:tcPr>
          <w:p>
            <w:pPr>
              <w:ind w:left="120"/>
              <w:spacing w:after="0"/>
              <w:rPr>
                <w:sz w:val="20"/>
                <w:szCs w:val="20"/>
                <w:color w:val="auto"/>
              </w:rPr>
            </w:pPr>
            <w:r>
              <w:rPr>
                <w:rFonts w:ascii="Arial" w:cs="Arial" w:eastAsia="Arial" w:hAnsi="Arial"/>
                <w:sz w:val="17"/>
                <w:szCs w:val="17"/>
                <w:color w:val="0000FF"/>
              </w:rPr>
              <w:t>DC</w:t>
            </w:r>
          </w:p>
        </w:tc>
        <w:tc>
          <w:tcPr>
            <w:tcW w:w="1700" w:type="dxa"/>
            <w:vAlign w:val="bottom"/>
          </w:tcPr>
          <w:p>
            <w:pPr>
              <w:ind w:left="340"/>
              <w:spacing w:after="0"/>
              <w:rPr>
                <w:sz w:val="20"/>
                <w:szCs w:val="20"/>
                <w:color w:val="auto"/>
              </w:rPr>
            </w:pPr>
            <w:r>
              <w:rPr>
                <w:rFonts w:ascii="Arial" w:cs="Arial" w:eastAsia="Arial" w:hAnsi="Arial"/>
                <w:sz w:val="17"/>
                <w:szCs w:val="17"/>
                <w:color w:val="0000FF"/>
              </w:rPr>
              <w:t>20004-2505</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120"/>
              <w:spacing w:after="0"/>
              <w:rPr>
                <w:sz w:val="20"/>
                <w:szCs w:val="20"/>
                <w:color w:val="auto"/>
              </w:rPr>
            </w:pPr>
            <w:r>
              <w:rPr>
                <w:rFonts w:ascii="Arial" w:cs="Arial" w:eastAsia="Arial" w:hAnsi="Arial"/>
                <w:sz w:val="13"/>
                <w:szCs w:val="13"/>
                <w:color w:val="auto"/>
              </w:rPr>
              <w:t>(State)</w:t>
            </w:r>
          </w:p>
        </w:tc>
        <w:tc>
          <w:tcPr>
            <w:tcW w:w="1700" w:type="dxa"/>
            <w:vAlign w:val="bottom"/>
          </w:tcPr>
          <w:p>
            <w:pPr>
              <w:ind w:left="3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29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809240" cy="129032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81"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Business Combination Agreement, dated December 22, 2021 (the "BCA"), by and among Coronado Topco, Inc. ("Coronado Topco"), Laguna Merger Sub, Inc., Orca Holdco, Inc., Orca Holdco 2, Inc., Quidel Corporation and the Issuer, the Issuer became a wholly owned subsidiary of Coronado Topco upon consummation of the business combinations (the "Effective Time"). At the Effective Time, each of the Issuer's ordinary shares was automatically converted into the right to receive (i) 0.1055 shares of common stock of Coronado Topco and (ii) $7.14 in cash.</w:t>
      </w:r>
    </w:p>
    <w:p>
      <w:pPr>
        <w:spacing w:after="0" w:line="8" w:lineRule="exact"/>
        <w:rPr>
          <w:rFonts w:ascii="Arial" w:cs="Arial" w:eastAsia="Arial" w:hAnsi="Arial"/>
          <w:sz w:val="12"/>
          <w:szCs w:val="12"/>
          <w:color w:val="008000"/>
        </w:rPr>
      </w:pPr>
    </w:p>
    <w:p>
      <w:pPr>
        <w:jc w:val="both"/>
        <w:ind w:right="2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ordinary shares held of record by Carlyle Partners VI Cayman Holdings, L.P. (the "Carlyle Investor"). The Carlyle Group Inc., a publicly traded company listed on Nasdaq, is the sole member of Carlyle Holdings II GP L.L.C., which is the managing member of Carlyle Holdings II L.L.C., which, with respect to the securities reported herein, is the managing member of CG Subsidiary Holdings L.L.C., which is the general partner of TC Group Cayman Investment Holdings, L.P., which is the general partner of TC Group Cayman Investment Holdings Sub L.P., which is the sole member of TC Group VI Cayman, L.L.C., which is the general partner of TC Group VI Cayman, L.P., which is the general partner of the Carlyle Investor.</w:t>
      </w:r>
    </w:p>
    <w:p>
      <w:pPr>
        <w:spacing w:after="0" w:line="29" w:lineRule="exact"/>
        <w:rPr>
          <w:rFonts w:ascii="Arial" w:cs="Arial" w:eastAsia="Arial" w:hAnsi="Arial"/>
          <w:sz w:val="13"/>
          <w:szCs w:val="13"/>
          <w:color w:val="008000"/>
        </w:rPr>
      </w:pPr>
    </w:p>
    <w:p>
      <w:pPr>
        <w:ind w:right="40" w:firstLine="7"/>
        <w:spacing w:after="0" w:line="292"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Voting and investment determinations with respect to the ordinary shares held of record by the Carlyle Investor are made by an investment committee of TC Group VI Cayman, L.P. Accordingly, each of the foregoing entities may be deemed to share beneficial ownership of the securities held of record by the Carlyle Investor. Each of them disclaims beneficial ownership of such securities.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820"/>
          </w:cols>
          <w:pgMar w:left="500" w:top="179" w:right="579" w:bottom="224" w:gutter="0" w:footer="0" w:header="0"/>
        </w:sectPr>
      </w:pPr>
    </w:p>
    <w:p>
      <w:pPr>
        <w:spacing w:after="0" w:line="148"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The Carlyle Group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40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Anne Frederick,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1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in-fact for Curtis L. Buser,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84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1684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79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524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Carlyle Holdings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By: The Carlyle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627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Inc., its sole member,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04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Anne Frederick, Attorney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65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 for Curtis L. Buser,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64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79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524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Carlyle Holdings II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563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Anne Frederick,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1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in-fact for Curtis L. Buser,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84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1684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CG Subsidiary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14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By: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10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9010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Frederick,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4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Curtis L. Buser,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15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1715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TC Group Cayman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5715</wp:posOffset>
            </wp:positionV>
            <wp:extent cx="13595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28"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Subsidiary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65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47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1347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Anne Frederick,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22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 for Curtis L. Buser,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64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TC Group Cayman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5715</wp:posOffset>
            </wp:positionV>
            <wp:extent cx="13595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28"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Sub L.P., By: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23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Group Cayman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12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Holdings,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8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By: CG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95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Holdings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By: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8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Frederick, Attorney in 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284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Curtis L. Buser,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15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1715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TC Group VI Cayman,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595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/s/ Jeremy W.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68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216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TC Group VI Cayman,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401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/s/ Jeremy W.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68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216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Carlyle Partners VI Cayman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490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Holdings, L.P., By: /s/ Jeremy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201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W. Anderson,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64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990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2990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color w:val="0000FF"/>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color w:val="0000FF"/>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0000FF"/>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700" w:space="40"/>
            <w:col w:w="2080"/>
          </w:cols>
          <w:pgMar w:left="500" w:top="179" w:right="579" w:bottom="224"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79" w:right="579" w:bottom="22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12" Type="http://schemas.openxmlformats.org/officeDocument/2006/relationships/hyperlink" Target="http://www.sec.gov/cgi-bin/browse-edgar?action=getcompany&amp;CIK=0001527166" TargetMode="External"/><Relationship Id="rId13" Type="http://schemas.openxmlformats.org/officeDocument/2006/relationships/hyperlink" Target="http://www.sec.gov/cgi-bin/browse-edgar?action=getcompany&amp;CIK=0001828443" TargetMode="External"/><Relationship Id="rId14" Type="http://schemas.openxmlformats.org/officeDocument/2006/relationships/hyperlink" Target="http://www.sec.gov/cgi-bin/browse-edgar?action=getcompany&amp;CIK=0001548629" TargetMode="External"/><Relationship Id="rId15" Type="http://schemas.openxmlformats.org/officeDocument/2006/relationships/hyperlink" Target="http://www.sec.gov/cgi-bin/browse-edgar?action=getcompany&amp;CIK=0001548630" TargetMode="External"/><Relationship Id="rId18" Type="http://schemas.openxmlformats.org/officeDocument/2006/relationships/hyperlink" Target="http://www.sec.gov/cgi-bin/browse-edgar?action=getcompany&amp;CIK=0001790577" TargetMode="External"/><Relationship Id="rId19" Type="http://schemas.openxmlformats.org/officeDocument/2006/relationships/hyperlink" Target="http://www.sec.gov/cgi-bin/browse-edgar?action=getcompany&amp;CIK=0001475444" TargetMode="External"/><Relationship Id="rId20" Type="http://schemas.openxmlformats.org/officeDocument/2006/relationships/hyperlink" Target="http://www.sec.gov/cgi-bin/browse-edgar?action=getcompany&amp;CIK=0001548636" TargetMode="External"/><Relationship Id="rId21" Type="http://schemas.openxmlformats.org/officeDocument/2006/relationships/hyperlink" Target="http://www.sec.gov/cgi-bin/browse-edgar?action=getcompany&amp;CIK=0001838774" TargetMode="External"/><Relationship Id="rId22" Type="http://schemas.openxmlformats.org/officeDocument/2006/relationships/hyperlink" Target="http://www.sec.gov/cgi-bin/browse-edgar?action=getcompany&amp;CIK=0001838781" TargetMode="External"/><Relationship Id="rId23" Type="http://schemas.openxmlformats.org/officeDocument/2006/relationships/hyperlink" Target="http://www.sec.gov/cgi-bin/browse-edgar?action=getcompany&amp;CIK=00018387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2022-05-31T15:40:27Z</dcterms:created>
  <dcterms:modified xsi:type="dcterms:W3CDTF">2022-05-31T15:40:27Z</dcterms:modified>
</cp:coreProperties>
</file>