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Plouffe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Carlyle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20004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4,077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911,225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accrued on certain existing restricted stock unit awards, the grant of which was previously reported, in connection with the issuer's quarterly dividend. Such dividend equivalent units will vest on the same schedule and subject to the same terms and conditions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K. Frederick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Power of Attorney for Justin</w:t>
        <w:tab/>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Plouffe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1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19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2041" TargetMode="External"/><Relationship Id="rId14"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2026-05-29T18:15:27Z</dcterms:created>
  <dcterms:modified xsi:type="dcterms:W3CDTF">2026-05-29T18:15:27Z</dcterms:modified>
</cp:coreProperties>
</file>