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950944.xml.htm"/>
      <w:bookmarkStart w:id="1" w:name="kswkform4_17879509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Redett John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53"/>
        <w:gridCol w:w="459"/>
        <w:gridCol w:w="622"/>
        <w:gridCol w:w="1288"/>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1,752,000</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accrued on certain existing restricted stock unit awards, the grant of which was previously reported, in connection with the issuer's quarterly dividend. Such dividend equivalent units will vest on the same schedule and subject to the same terms and conditions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John C. Redett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0605"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3370</Characters>
  <CharactersWithSpaces>3921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