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7579.xml.htm"/>
      <w:bookmarkStart w:id="1" w:name="kswkform4_17858775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Nedelman Jeffrey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AVENUE, NW</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Carlyle Group Inc.</w:t>
              </w:r>
            </w:hyperlink>
            <w:r>
              <w:rPr/>
              <w:t xml:space="preserve"> [ </w:t>
            </w:r>
            <w:r>
              <w:rPr>
                <w:rFonts w:ascii="Times;serif" w:hAnsi="Times;serif"/>
                <w:color w:val="0000FF"/>
                <w:sz w:val="24"/>
                <w:shd w:fill="FFFFFF" w:val="clear"/>
              </w:rPr>
              <w:t>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22"/>
        <w:gridCol w:w="447"/>
        <w:gridCol w:w="749"/>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43,081</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46.02</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1,602,864</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that have been withheld by the Issuer in connection with the payment of taxes resulting from the vesting of previously reported restricted stock unit awards (including previously reported dividend equivalent units accrued thereon, as applicable). No shares of common stock were sold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Anne K. Frederick by Power of Attorney for Jeffrey Nedelman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2643" TargetMode="External"/><Relationship Id="rId5" Type="http://schemas.openxmlformats.org/officeDocument/2006/relationships/hyperlink" Target="http://www.sec.gov/cgi-bin/browse-edgar?action=getcompany&amp;CIK=00015271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3396</Characters>
  <CharactersWithSpaces>3948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